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0" w:lineRule="auto"/>
        <w:ind w:left="0"/>
        <w:rPr>
          <w:rFonts w:ascii="Times New Roman"/>
        </w:rPr>
      </w:pPr>
    </w:p>
    <w:p>
      <w:pPr>
        <w:pStyle w:val="BodyText"/>
        <w:spacing w:line="240" w:lineRule="auto" w:before="3"/>
        <w:ind w:left="0"/>
        <w:rPr>
          <w:rFonts w:ascii="Times New Roman"/>
          <w:sz w:val="20"/>
        </w:rPr>
      </w:pPr>
    </w:p>
    <w:p>
      <w:pPr>
        <w:pStyle w:val="Heading1"/>
        <w:spacing w:line="219" w:lineRule="exact"/>
      </w:pPr>
      <w:r>
        <w:rPr/>
        <w:t>【产品名称】</w:t>
      </w:r>
    </w:p>
    <w:p>
      <w:pPr>
        <w:spacing w:before="110"/>
        <w:ind w:left="107" w:right="0" w:firstLine="0"/>
        <w:jc w:val="left"/>
        <w:rPr>
          <w:b/>
          <w:sz w:val="21"/>
        </w:rPr>
      </w:pPr>
      <w:r>
        <w:rPr/>
        <w:br w:type="column"/>
      </w:r>
      <w:r>
        <w:rPr>
          <w:b/>
          <w:sz w:val="21"/>
        </w:rPr>
        <w:t>肺炎支原体核酸检测试剂盒（PCR-荧光探针法）说明书</w:t>
      </w:r>
    </w:p>
    <w:p>
      <w:pPr>
        <w:spacing w:after="0"/>
        <w:jc w:val="left"/>
        <w:rPr>
          <w:sz w:val="21"/>
        </w:rPr>
        <w:sectPr>
          <w:headerReference w:type="default" r:id="rId5"/>
          <w:footerReference w:type="default" r:id="rId6"/>
          <w:type w:val="continuous"/>
          <w:pgSz w:w="11910" w:h="16840"/>
          <w:pgMar w:header="462" w:footer="465" w:top="660" w:bottom="660" w:left="800" w:right="700"/>
          <w:pgNumType w:start="1"/>
          <w:cols w:num="2" w:equalWidth="0">
            <w:col w:w="1211" w:space="1314"/>
            <w:col w:w="7885"/>
          </w:cols>
        </w:sectPr>
      </w:pPr>
    </w:p>
    <w:p>
      <w:pPr>
        <w:pStyle w:val="BodyText"/>
        <w:spacing w:line="197" w:lineRule="exact"/>
        <w:rPr>
          <w:rFonts w:ascii="Times New Roman" w:eastAsia="Times New Roman"/>
        </w:rPr>
      </w:pPr>
      <w:r>
        <w:rPr/>
        <w:pict>
          <v:line style="position:absolute;mso-position-horizontal-relative:page;mso-position-vertical-relative:page;z-index:251658240" from="45.349998pt,35.710026pt" to="549.949998pt,35.710026pt" stroked="true" strokeweight=".72pt" strokecolor="#000000">
            <v:stroke dashstyle="solid"/>
            <w10:wrap type="none"/>
          </v:line>
        </w:pict>
      </w:r>
      <w:r>
        <w:rPr/>
        <w:t>通用名称：肺炎支原体核酸检测试剂盒</w:t>
      </w:r>
      <w:r>
        <w:rPr>
          <w:rFonts w:ascii="Times New Roman" w:eastAsia="Times New Roman"/>
        </w:rPr>
        <w:t>(PCR-</w:t>
      </w:r>
      <w:r>
        <w:rPr/>
        <w:t>荧光探针法</w:t>
      </w:r>
      <w:r>
        <w:rPr>
          <w:rFonts w:ascii="Times New Roman" w:eastAsia="Times New Roman"/>
        </w:rPr>
        <w:t>)</w:t>
      </w:r>
    </w:p>
    <w:p>
      <w:pPr>
        <w:spacing w:line="200" w:lineRule="exact" w:before="0"/>
        <w:ind w:left="107" w:right="0" w:firstLine="0"/>
        <w:jc w:val="left"/>
        <w:rPr>
          <w:sz w:val="18"/>
        </w:rPr>
      </w:pPr>
      <w:r>
        <w:rPr>
          <w:b/>
          <w:sz w:val="18"/>
        </w:rPr>
        <w:t>【包装规格】</w:t>
      </w:r>
      <w:r>
        <w:rPr>
          <w:rFonts w:ascii="Times New Roman" w:eastAsia="Times New Roman"/>
          <w:sz w:val="18"/>
        </w:rPr>
        <w:t>48 </w:t>
      </w:r>
      <w:r>
        <w:rPr>
          <w:sz w:val="18"/>
        </w:rPr>
        <w:t>人份</w:t>
      </w:r>
      <w:r>
        <w:rPr>
          <w:rFonts w:ascii="Times New Roman" w:eastAsia="Times New Roman"/>
          <w:sz w:val="18"/>
        </w:rPr>
        <w:t>/</w:t>
      </w:r>
      <w:r>
        <w:rPr>
          <w:sz w:val="18"/>
        </w:rPr>
        <w:t>盒</w:t>
      </w:r>
    </w:p>
    <w:p>
      <w:pPr>
        <w:pStyle w:val="Heading1"/>
        <w:spacing w:line="199" w:lineRule="exact"/>
      </w:pPr>
      <w:r>
        <w:rPr/>
        <w:t>【预期用途】</w:t>
      </w:r>
    </w:p>
    <w:p>
      <w:pPr>
        <w:pStyle w:val="BodyText"/>
        <w:ind w:left="460"/>
      </w:pPr>
      <w:r>
        <w:rPr/>
        <w:t>本试剂盒适用于定性检测痰液、咽拭子样本中的肺炎支原体（</w:t>
      </w:r>
      <w:r>
        <w:rPr>
          <w:rFonts w:ascii="Times New Roman" w:eastAsia="Times New Roman"/>
        </w:rPr>
        <w:t>MP</w:t>
      </w:r>
      <w:r>
        <w:rPr/>
        <w:t>）</w:t>
      </w:r>
      <w:r>
        <w:rPr>
          <w:rFonts w:ascii="Times New Roman" w:eastAsia="Times New Roman"/>
        </w:rPr>
        <w:t>DNA</w:t>
      </w:r>
      <w:r>
        <w:rPr/>
        <w:t>。</w:t>
      </w:r>
    </w:p>
    <w:p>
      <w:pPr>
        <w:pStyle w:val="BodyText"/>
        <w:ind w:left="460"/>
      </w:pPr>
      <w:r>
        <w:rPr/>
        <w:t>本试剂盒可用于临床中肺炎支原体感染的辅助诊断，为肺炎支原体感染提供分子诊断依据。</w:t>
      </w:r>
    </w:p>
    <w:p>
      <w:pPr>
        <w:pStyle w:val="BodyText"/>
        <w:spacing w:line="208" w:lineRule="auto" w:before="7"/>
        <w:ind w:right="200" w:firstLine="360"/>
        <w:jc w:val="both"/>
      </w:pPr>
      <w:r>
        <w:rPr/>
        <w:t>肺炎支原体（</w:t>
      </w:r>
      <w:r>
        <w:rPr>
          <w:rFonts w:ascii="Times New Roman" w:eastAsia="Times New Roman"/>
        </w:rPr>
        <w:t>mycoplasma pneumoniae</w:t>
      </w:r>
      <w:r>
        <w:rPr/>
        <w:t>，</w:t>
      </w:r>
      <w:r>
        <w:rPr>
          <w:rFonts w:ascii="Times New Roman" w:eastAsia="Times New Roman"/>
        </w:rPr>
        <w:t>MP</w:t>
      </w:r>
      <w:r>
        <w:rPr/>
        <w:t>）是介于细菌与病毒之间的一种病原体微生物，主要引起呼吸系统疾病，由口、</w:t>
      </w:r>
      <w:r>
        <w:rPr>
          <w:spacing w:val="-1"/>
        </w:rPr>
        <w:t>鼻分泌物经空气传播，主要见于儿童和青少年。呼吸道感染表现为咽炎和支气管炎，少数累及肺。近年来，婴幼儿发病率也呈增</w:t>
      </w:r>
      <w:r>
        <w:rPr>
          <w:spacing w:val="-11"/>
        </w:rPr>
        <w:t>多趋势，早诊断、早治疗能减少儿童急性肺炎病情恶化。随着分子生物学的发展，基于肺炎支原体核酸的荧光定量 </w:t>
      </w:r>
      <w:r>
        <w:rPr>
          <w:rFonts w:ascii="Times New Roman" w:eastAsia="Times New Roman"/>
        </w:rPr>
        <w:t>PCR </w:t>
      </w:r>
      <w:r>
        <w:rPr>
          <w:spacing w:val="-4"/>
        </w:rPr>
        <w:t>方法受到越</w:t>
      </w:r>
      <w:r>
        <w:rPr>
          <w:spacing w:val="-5"/>
        </w:rPr>
        <w:t>来越多研究者的重视。</w:t>
      </w:r>
    </w:p>
    <w:p>
      <w:pPr>
        <w:pStyle w:val="Heading1"/>
        <w:spacing w:line="189" w:lineRule="exact"/>
      </w:pPr>
      <w:r>
        <w:rPr/>
        <w:t>【检验原理】</w:t>
      </w:r>
    </w:p>
    <w:p>
      <w:pPr>
        <w:pStyle w:val="BodyText"/>
        <w:spacing w:line="206" w:lineRule="auto" w:before="11"/>
        <w:ind w:right="202" w:firstLine="352"/>
        <w:jc w:val="both"/>
      </w:pPr>
      <w:r>
        <w:rPr>
          <w:spacing w:val="-5"/>
        </w:rPr>
        <w:t>本试剂盒采用核酸释放剂快速裂解、释放经浓缩液处理的痰液、咽拭子待测样本中的肺炎支原体 </w:t>
      </w:r>
      <w:r>
        <w:rPr>
          <w:rFonts w:ascii="Times New Roman" w:eastAsia="Times New Roman"/>
        </w:rPr>
        <w:t>DNA</w:t>
      </w:r>
      <w:r>
        <w:rPr>
          <w:spacing w:val="-4"/>
        </w:rPr>
        <w:t>，利用针对肺炎支原体核酸保守区设计的一对特异性引物、一条特异荧光探针，配以</w:t>
      </w:r>
      <w:r>
        <w:rPr>
          <w:rFonts w:ascii="Times New Roman" w:eastAsia="Times New Roman"/>
        </w:rPr>
        <w:t>PCR </w:t>
      </w:r>
      <w:r>
        <w:rPr>
          <w:spacing w:val="-1"/>
        </w:rPr>
        <w:t>反应液等组分，在荧光定量</w:t>
      </w:r>
      <w:r>
        <w:rPr>
          <w:rFonts w:ascii="Times New Roman" w:eastAsia="Times New Roman"/>
        </w:rPr>
        <w:t>PCR </w:t>
      </w:r>
      <w:r>
        <w:rPr/>
        <w:t>仪上，应用实时荧光定量</w:t>
      </w:r>
      <w:r>
        <w:rPr>
          <w:rFonts w:ascii="Times New Roman" w:eastAsia="Times New Roman"/>
        </w:rPr>
        <w:t>PCR </w:t>
      </w:r>
      <w:r>
        <w:rPr>
          <w:spacing w:val="-5"/>
        </w:rPr>
        <w:t>检测技术，通过荧光信号的变化实现肺炎支原体 </w:t>
      </w:r>
      <w:r>
        <w:rPr>
          <w:rFonts w:ascii="Times New Roman" w:eastAsia="Times New Roman"/>
        </w:rPr>
        <w:t>DNA </w:t>
      </w:r>
      <w:r>
        <w:rPr>
          <w:spacing w:val="-5"/>
        </w:rPr>
        <w:t>的快速检测。</w:t>
      </w:r>
    </w:p>
    <w:p>
      <w:pPr>
        <w:pStyle w:val="BodyText"/>
        <w:spacing w:line="195" w:lineRule="exact"/>
        <w:ind w:left="460"/>
        <w:jc w:val="both"/>
      </w:pPr>
      <w:r>
        <w:rPr>
          <w:rFonts w:ascii="Times New Roman" w:eastAsia="Times New Roman"/>
        </w:rPr>
        <w:t>PCR </w:t>
      </w:r>
      <w:r>
        <w:rPr/>
        <w:t>检测体系含有</w:t>
      </w:r>
      <w:r>
        <w:rPr>
          <w:rFonts w:ascii="Times New Roman" w:eastAsia="Times New Roman"/>
        </w:rPr>
        <w:t>UNG </w:t>
      </w:r>
      <w:r>
        <w:rPr/>
        <w:t>酶</w:t>
      </w:r>
      <w:r>
        <w:rPr>
          <w:rFonts w:ascii="Times New Roman" w:eastAsia="Times New Roman"/>
        </w:rPr>
        <w:t>+dUTP </w:t>
      </w:r>
      <w:r>
        <w:rPr/>
        <w:t>防污染措施，将可能的产物污染充分降解，避免假阳性结果。</w:t>
      </w:r>
    </w:p>
    <w:p>
      <w:pPr>
        <w:pStyle w:val="BodyText"/>
        <w:spacing w:line="199" w:lineRule="exact"/>
        <w:ind w:left="460"/>
        <w:jc w:val="both"/>
      </w:pPr>
      <w:r>
        <w:rPr>
          <w:rFonts w:ascii="Times New Roman" w:eastAsia="Times New Roman"/>
        </w:rPr>
        <w:t>P</w:t>
      </w:r>
      <w:r>
        <w:rPr>
          <w:rFonts w:ascii="Times New Roman" w:eastAsia="Times New Roman"/>
          <w:spacing w:val="-3"/>
        </w:rPr>
        <w:t>C</w:t>
      </w:r>
      <w:r>
        <w:rPr>
          <w:rFonts w:ascii="Times New Roman" w:eastAsia="Times New Roman"/>
        </w:rPr>
        <w:t>R</w:t>
      </w:r>
      <w:r>
        <w:rPr>
          <w:rFonts w:ascii="Times New Roman" w:eastAsia="Times New Roman"/>
          <w:spacing w:val="-7"/>
        </w:rPr>
        <w:t> </w:t>
      </w:r>
      <w:r>
        <w:rPr>
          <w:spacing w:val="-5"/>
        </w:rPr>
        <w:t>检测体系含有阳性内对照（</w:t>
      </w:r>
      <w:r>
        <w:rPr>
          <w:spacing w:val="-4"/>
        </w:rPr>
        <w:t>内标</w:t>
      </w:r>
      <w:r>
        <w:rPr>
          <w:spacing w:val="-94"/>
        </w:rPr>
        <w:t>）</w:t>
      </w:r>
      <w:r>
        <w:rPr>
          <w:spacing w:val="-7"/>
        </w:rPr>
        <w:t>，通过检测内标是否正常来监测待测样本中是否具有 </w:t>
      </w:r>
      <w:r>
        <w:rPr>
          <w:rFonts w:ascii="Times New Roman" w:eastAsia="Times New Roman"/>
        </w:rPr>
        <w:t>P</w:t>
      </w:r>
      <w:r>
        <w:rPr>
          <w:rFonts w:ascii="Times New Roman" w:eastAsia="Times New Roman"/>
          <w:spacing w:val="-3"/>
        </w:rPr>
        <w:t>C</w:t>
      </w:r>
      <w:r>
        <w:rPr>
          <w:rFonts w:ascii="Times New Roman" w:eastAsia="Times New Roman"/>
        </w:rPr>
        <w:t>R</w:t>
      </w:r>
      <w:r>
        <w:rPr>
          <w:rFonts w:ascii="Times New Roman" w:eastAsia="Times New Roman"/>
          <w:spacing w:val="-5"/>
        </w:rPr>
        <w:t> </w:t>
      </w:r>
      <w:r>
        <w:rPr>
          <w:spacing w:val="2"/>
        </w:rPr>
        <w:t>抑制物，避免</w:t>
      </w:r>
      <w:r>
        <w:rPr>
          <w:rFonts w:ascii="Times New Roman" w:eastAsia="Times New Roman"/>
        </w:rPr>
        <w:t>P</w:t>
      </w:r>
      <w:r>
        <w:rPr>
          <w:rFonts w:ascii="Times New Roman" w:eastAsia="Times New Roman"/>
          <w:spacing w:val="-3"/>
        </w:rPr>
        <w:t>C</w:t>
      </w:r>
      <w:r>
        <w:rPr>
          <w:rFonts w:ascii="Times New Roman" w:eastAsia="Times New Roman"/>
        </w:rPr>
        <w:t>R</w:t>
      </w:r>
      <w:r>
        <w:rPr>
          <w:rFonts w:ascii="Times New Roman" w:eastAsia="Times New Roman"/>
          <w:spacing w:val="-5"/>
        </w:rPr>
        <w:t> </w:t>
      </w:r>
      <w:r>
        <w:rPr>
          <w:spacing w:val="-4"/>
        </w:rPr>
        <w:t>假阴性。</w:t>
      </w:r>
    </w:p>
    <w:p>
      <w:pPr>
        <w:pStyle w:val="Heading1"/>
      </w:pPr>
      <w:r>
        <w:rPr/>
        <w:t>【主要组成成分】</w:t>
      </w:r>
    </w:p>
    <w:p>
      <w:pPr>
        <w:spacing w:line="216" w:lineRule="exact" w:before="0"/>
        <w:ind w:left="450" w:right="0" w:firstLine="0"/>
        <w:jc w:val="left"/>
        <w:rPr>
          <w:b/>
          <w:sz w:val="18"/>
        </w:rPr>
      </w:pPr>
      <w:r>
        <w:rPr>
          <w:b/>
          <w:sz w:val="18"/>
        </w:rPr>
        <w:t>本试剂盒由以下组分组成：</w:t>
      </w:r>
    </w:p>
    <w:tbl>
      <w:tblPr>
        <w:tblW w:w="0" w:type="auto"/>
        <w:jc w:val="left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9"/>
        <w:gridCol w:w="2205"/>
        <w:gridCol w:w="1843"/>
        <w:gridCol w:w="3543"/>
      </w:tblGrid>
      <w:tr>
        <w:trPr>
          <w:trHeight w:val="199" w:hRule="atLeast"/>
        </w:trPr>
        <w:tc>
          <w:tcPr>
            <w:tcW w:w="7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74" w:right="160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序号</w:t>
            </w:r>
          </w:p>
        </w:tc>
        <w:tc>
          <w:tcPr>
            <w:tcW w:w="22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86" w:right="72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试剂名称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0" w:right="345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规格与装量</w:t>
            </w:r>
          </w:p>
        </w:tc>
        <w:tc>
          <w:tcPr>
            <w:tcW w:w="354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72" w:right="57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主要成分</w:t>
            </w:r>
          </w:p>
        </w:tc>
      </w:tr>
      <w:tr>
        <w:trPr>
          <w:trHeight w:val="199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70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肺炎支原体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核酸释放剂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4" w:right="344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2.5mL/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69" w:right="57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KCl</w:t>
            </w:r>
            <w:r>
              <w:rPr>
                <w:rFonts w:ascii="宋体" w:eastAsia="宋体" w:hint="eastAsia"/>
                <w:sz w:val="18"/>
              </w:rPr>
              <w:t>、十二烷基硫酸钠、</w:t>
            </w:r>
            <w:r>
              <w:rPr>
                <w:rFonts w:ascii="宋体" w:eastAsia="宋体" w:hint="eastAsia"/>
                <w:color w:val="333333"/>
                <w:sz w:val="18"/>
              </w:rPr>
              <w:t>莎梵婷</w:t>
            </w:r>
          </w:p>
        </w:tc>
      </w:tr>
      <w:tr>
        <w:trPr>
          <w:trHeight w:val="200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70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肺炎支原体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酶混合液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3" w:right="34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96μL/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72" w:right="57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DNA</w:t>
            </w:r>
            <w:r>
              <w:rPr>
                <w:rFonts w:ascii="宋体" w:eastAsia="宋体" w:hint="eastAsia"/>
                <w:sz w:val="18"/>
              </w:rPr>
              <w:t>聚合酶和尿嘧啶</w:t>
            </w:r>
            <w:r>
              <w:rPr>
                <w:sz w:val="18"/>
              </w:rPr>
              <w:t>DNA</w:t>
            </w:r>
            <w:r>
              <w:rPr>
                <w:rFonts w:ascii="宋体" w:eastAsia="宋体" w:hint="eastAsia"/>
                <w:sz w:val="18"/>
              </w:rPr>
              <w:t>糖基化酶</w:t>
            </w:r>
          </w:p>
        </w:tc>
      </w:tr>
      <w:tr>
        <w:trPr>
          <w:trHeight w:val="200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70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肺炎支原体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内标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3" w:right="34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69" w:right="57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含内标基因片段的克隆质粒</w:t>
            </w:r>
          </w:p>
        </w:tc>
      </w:tr>
      <w:tr>
        <w:trPr>
          <w:trHeight w:val="200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68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肺炎支原体</w:t>
            </w:r>
            <w:r>
              <w:rPr>
                <w:sz w:val="18"/>
              </w:rPr>
              <w:t>-PCR</w:t>
            </w:r>
            <w:r>
              <w:rPr>
                <w:rFonts w:ascii="宋体" w:eastAsia="宋体" w:hint="eastAsia"/>
                <w:sz w:val="18"/>
              </w:rPr>
              <w:t>反应液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3" w:right="34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912μL/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×2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72" w:right="57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引物、探针、</w:t>
            </w:r>
            <w:r>
              <w:rPr>
                <w:sz w:val="18"/>
              </w:rPr>
              <w:t>dNTPs</w:t>
            </w:r>
            <w:r>
              <w:rPr>
                <w:rFonts w:ascii="宋体" w:eastAsia="宋体" w:hint="eastAsia"/>
                <w:sz w:val="18"/>
              </w:rPr>
              <w:t>、镁离子、</w:t>
            </w:r>
            <w:r>
              <w:rPr>
                <w:sz w:val="18"/>
              </w:rPr>
              <w:t>PCR</w:t>
            </w:r>
            <w:r>
              <w:rPr>
                <w:rFonts w:ascii="宋体" w:eastAsia="宋体" w:hint="eastAsia"/>
                <w:sz w:val="18"/>
              </w:rPr>
              <w:t>缓冲液</w:t>
            </w:r>
          </w:p>
        </w:tc>
      </w:tr>
      <w:tr>
        <w:trPr>
          <w:trHeight w:val="200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72"/>
              <w:rPr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肺炎支原体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阳性参照品</w:t>
            </w:r>
            <w:r>
              <w:rPr>
                <w:sz w:val="18"/>
              </w:rPr>
              <w:t>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3" w:right="34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69" w:right="57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含目的基因片段的克隆质粒</w:t>
            </w:r>
          </w:p>
        </w:tc>
      </w:tr>
      <w:tr>
        <w:trPr>
          <w:trHeight w:val="200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72"/>
              <w:rPr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肺炎支原体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阳性参照品</w:t>
            </w:r>
            <w:r>
              <w:rPr>
                <w:sz w:val="18"/>
              </w:rPr>
              <w:t>B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3" w:right="34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69" w:right="57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含目的基因片段的克隆质粒</w:t>
            </w:r>
          </w:p>
        </w:tc>
      </w:tr>
      <w:tr>
        <w:trPr>
          <w:trHeight w:val="200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72"/>
              <w:rPr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肺炎支原体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阳性参照品</w:t>
            </w:r>
            <w:r>
              <w:rPr>
                <w:sz w:val="18"/>
              </w:rPr>
              <w:t>C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3" w:right="34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69" w:right="57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含目的基因片段的克隆质粒</w:t>
            </w:r>
          </w:p>
        </w:tc>
      </w:tr>
      <w:tr>
        <w:trPr>
          <w:trHeight w:val="200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72"/>
              <w:rPr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肺炎支原体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阳性参照品</w:t>
            </w:r>
            <w:r>
              <w:rPr>
                <w:sz w:val="18"/>
              </w:rPr>
              <w:t>D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3" w:right="34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69" w:right="57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含目的基因片段的克隆质粒</w:t>
            </w:r>
          </w:p>
        </w:tc>
      </w:tr>
      <w:tr>
        <w:trPr>
          <w:trHeight w:val="200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70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肺炎支原体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阴性对照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3" w:right="34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67" w:right="57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肺炎支原体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阴性样本（已灭活）</w:t>
            </w:r>
          </w:p>
        </w:tc>
      </w:tr>
      <w:tr>
        <w:trPr>
          <w:trHeight w:val="200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74" w:right="159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70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肺炎支原体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阳性对照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3" w:right="34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67" w:right="57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肺炎支原体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阳性样本（已灭活）</w:t>
            </w:r>
          </w:p>
        </w:tc>
      </w:tr>
      <w:tr>
        <w:trPr>
          <w:trHeight w:val="200" w:hRule="atLeast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74" w:right="154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right="70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浓缩液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63" w:right="345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5mL/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69" w:right="57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color w:val="333333"/>
                <w:sz w:val="18"/>
              </w:rPr>
              <w:t>聚乙二醇</w:t>
            </w:r>
            <w:r>
              <w:rPr>
                <w:sz w:val="18"/>
              </w:rPr>
              <w:t>-6000 </w:t>
            </w:r>
            <w:r>
              <w:rPr>
                <w:rFonts w:ascii="宋体" w:eastAsia="宋体" w:hint="eastAsia"/>
                <w:sz w:val="18"/>
              </w:rPr>
              <w:t>、</w:t>
            </w:r>
            <w:r>
              <w:rPr>
                <w:sz w:val="18"/>
              </w:rPr>
              <w:t>NaCl</w:t>
            </w:r>
            <w:r>
              <w:rPr>
                <w:rFonts w:ascii="宋体" w:eastAsia="宋体" w:hint="eastAsia"/>
                <w:sz w:val="18"/>
              </w:rPr>
              <w:t>、纯化水</w:t>
            </w:r>
          </w:p>
        </w:tc>
      </w:tr>
    </w:tbl>
    <w:p>
      <w:pPr>
        <w:spacing w:line="177" w:lineRule="exact" w:before="0"/>
        <w:ind w:left="107" w:right="0" w:firstLine="0"/>
        <w:jc w:val="left"/>
        <w:rPr>
          <w:b/>
          <w:sz w:val="18"/>
        </w:rPr>
      </w:pPr>
      <w:r>
        <w:rPr>
          <w:b/>
          <w:sz w:val="18"/>
        </w:rPr>
        <w:t>备注：</w:t>
      </w:r>
      <w:r>
        <w:rPr>
          <w:rFonts w:ascii="Times New Roman" w:eastAsia="Times New Roman"/>
          <w:b/>
          <w:sz w:val="18"/>
        </w:rPr>
        <w:t>1</w:t>
      </w:r>
      <w:r>
        <w:rPr>
          <w:b/>
          <w:sz w:val="18"/>
        </w:rPr>
        <w:t>）不同批号产品的成分之间不可以混用或互换。</w:t>
      </w:r>
    </w:p>
    <w:p>
      <w:pPr>
        <w:pStyle w:val="ListParagraph"/>
        <w:numPr>
          <w:ilvl w:val="0"/>
          <w:numId w:val="1"/>
        </w:numPr>
        <w:tabs>
          <w:tab w:pos="896" w:val="left" w:leader="none"/>
        </w:tabs>
        <w:spacing w:line="208" w:lineRule="exact" w:before="0" w:after="0"/>
        <w:ind w:left="895" w:right="0" w:hanging="285"/>
        <w:jc w:val="left"/>
        <w:rPr>
          <w:rFonts w:ascii="Times New Roman" w:eastAsia="Times New Roman"/>
          <w:sz w:val="19"/>
        </w:rPr>
      </w:pPr>
      <w:r>
        <w:rPr>
          <w:spacing w:val="-5"/>
          <w:sz w:val="18"/>
        </w:rPr>
        <w:t>试剂盒内的生物样本均已经灭活处理；肺炎支原体</w:t>
      </w:r>
      <w:r>
        <w:rPr>
          <w:rFonts w:ascii="Times New Roman" w:eastAsia="Times New Roman"/>
          <w:spacing w:val="-3"/>
          <w:sz w:val="18"/>
        </w:rPr>
        <w:t>-</w:t>
      </w:r>
      <w:r>
        <w:rPr>
          <w:spacing w:val="4"/>
          <w:sz w:val="18"/>
        </w:rPr>
        <w:t>阳性参照品</w:t>
      </w:r>
      <w:r>
        <w:rPr>
          <w:rFonts w:ascii="Times New Roman" w:eastAsia="Times New Roman"/>
          <w:sz w:val="18"/>
        </w:rPr>
        <w:t>A~D</w:t>
      </w:r>
      <w:r>
        <w:rPr>
          <w:rFonts w:ascii="Times New Roman" w:eastAsia="Times New Roman"/>
          <w:spacing w:val="-6"/>
          <w:sz w:val="18"/>
        </w:rPr>
        <w:t> </w:t>
      </w:r>
      <w:r>
        <w:rPr>
          <w:spacing w:val="-5"/>
          <w:sz w:val="18"/>
        </w:rPr>
        <w:t>的具体浓度请参照试剂盒内给定值。</w:t>
      </w:r>
    </w:p>
    <w:p>
      <w:pPr>
        <w:pStyle w:val="ListParagraph"/>
        <w:numPr>
          <w:ilvl w:val="0"/>
          <w:numId w:val="1"/>
        </w:numPr>
        <w:tabs>
          <w:tab w:pos="893" w:val="left" w:leader="none"/>
        </w:tabs>
        <w:spacing w:line="215" w:lineRule="exact" w:before="0" w:after="0"/>
        <w:ind w:left="893" w:right="0" w:hanging="270"/>
        <w:jc w:val="left"/>
        <w:rPr>
          <w:rFonts w:ascii="Times New Roman" w:eastAsia="Times New Roman"/>
          <w:sz w:val="16"/>
        </w:rPr>
      </w:pPr>
      <w:r>
        <w:rPr>
          <w:spacing w:val="-5"/>
          <w:sz w:val="18"/>
        </w:rPr>
        <w:t>自备试剂：灭菌生理盐水。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240" w:lineRule="auto" w:before="28" w:after="0"/>
        <w:ind w:left="576" w:right="0" w:hanging="271"/>
        <w:jc w:val="left"/>
        <w:rPr>
          <w:rFonts w:ascii="Times New Roman" w:eastAsia="Times New Roman"/>
          <w:sz w:val="16"/>
        </w:rPr>
      </w:pPr>
      <w:r>
        <w:rPr>
          <w:spacing w:val="-5"/>
          <w:sz w:val="18"/>
        </w:rPr>
        <w:t>样本处理：推荐使用本公司的核酸提取或纯化试剂</w:t>
      </w:r>
      <w:r>
        <w:rPr>
          <w:sz w:val="18"/>
        </w:rPr>
        <w:t>（</w:t>
      </w:r>
      <w:r>
        <w:rPr>
          <w:spacing w:val="-10"/>
          <w:sz w:val="18"/>
        </w:rPr>
        <w:t>湘长械备 </w:t>
      </w:r>
      <w:r>
        <w:rPr>
          <w:sz w:val="18"/>
        </w:rPr>
        <w:t>20150021</w:t>
      </w:r>
      <w:r>
        <w:rPr>
          <w:spacing w:val="-23"/>
          <w:sz w:val="18"/>
        </w:rPr>
        <w:t> 号</w:t>
      </w:r>
      <w:r>
        <w:rPr>
          <w:sz w:val="18"/>
        </w:rPr>
        <w:t>）</w:t>
      </w:r>
      <w:r>
        <w:rPr>
          <w:spacing w:val="3"/>
          <w:sz w:val="18"/>
        </w:rPr>
        <w:t>处理，得到的</w:t>
      </w:r>
      <w:r>
        <w:rPr>
          <w:rFonts w:ascii="Times New Roman" w:eastAsia="Times New Roman"/>
          <w:sz w:val="18"/>
        </w:rPr>
        <w:t>DNA</w:t>
      </w:r>
      <w:r>
        <w:rPr>
          <w:rFonts w:ascii="Times New Roman" w:eastAsia="Times New Roman"/>
          <w:spacing w:val="-6"/>
          <w:sz w:val="18"/>
        </w:rPr>
        <w:t> </w:t>
      </w:r>
      <w:r>
        <w:rPr>
          <w:spacing w:val="-5"/>
          <w:sz w:val="18"/>
        </w:rPr>
        <w:t>不需核酸释放剂处理。</w:t>
      </w:r>
    </w:p>
    <w:p>
      <w:pPr>
        <w:pStyle w:val="Heading1"/>
        <w:spacing w:line="216" w:lineRule="exact" w:before="22"/>
      </w:pPr>
      <w:r>
        <w:rPr/>
        <w:t>【储存条件及有效期】</w:t>
      </w:r>
    </w:p>
    <w:p>
      <w:pPr>
        <w:pStyle w:val="BodyText"/>
        <w:ind w:left="450"/>
      </w:pPr>
      <w:r>
        <w:rPr/>
        <w:t>试剂应避光密闭储存于</w:t>
      </w:r>
      <w:r>
        <w:rPr>
          <w:rFonts w:ascii="Times New Roman" w:hAnsi="Times New Roman" w:eastAsia="Times New Roman"/>
        </w:rPr>
        <w:t>-20±5</w:t>
      </w:r>
      <w:r>
        <w:rPr/>
        <w:t>℃，避免反复冻融；</w:t>
      </w:r>
    </w:p>
    <w:p>
      <w:pPr>
        <w:pStyle w:val="BodyText"/>
        <w:spacing w:line="199" w:lineRule="exact"/>
        <w:ind w:left="450"/>
      </w:pPr>
      <w:r>
        <w:rPr/>
        <w:t>试剂盒有效期为 </w:t>
      </w:r>
      <w:r>
        <w:rPr>
          <w:rFonts w:ascii="Times New Roman" w:eastAsia="Times New Roman"/>
        </w:rPr>
        <w:t>12 </w:t>
      </w:r>
      <w:r>
        <w:rPr/>
        <w:t>个月，生产日期，失效日期请见外包装盒。</w:t>
      </w:r>
    </w:p>
    <w:p>
      <w:pPr>
        <w:pStyle w:val="Heading1"/>
      </w:pPr>
      <w:r>
        <w:rPr/>
        <w:t>【适用仪器】</w:t>
      </w:r>
    </w:p>
    <w:p>
      <w:pPr>
        <w:pStyle w:val="BodyText"/>
        <w:ind w:left="460"/>
        <w:jc w:val="both"/>
      </w:pPr>
      <w:r>
        <w:rPr/>
        <w:t>适用于</w:t>
      </w:r>
      <w:r>
        <w:rPr>
          <w:rFonts w:ascii="Times New Roman" w:eastAsia="Times New Roman"/>
        </w:rPr>
        <w:t>ABI7500</w:t>
      </w:r>
      <w:r>
        <w:rPr/>
        <w:t>、</w:t>
      </w:r>
      <w:r>
        <w:rPr>
          <w:rFonts w:ascii="Times New Roman" w:eastAsia="Times New Roman"/>
        </w:rPr>
        <w:t>Roche Light Cycler 480</w:t>
      </w:r>
      <w:r>
        <w:rPr/>
        <w:t>、</w:t>
      </w:r>
      <w:r>
        <w:rPr>
          <w:rFonts w:ascii="Times New Roman" w:eastAsia="Times New Roman"/>
        </w:rPr>
        <w:t>Mx3000P </w:t>
      </w:r>
      <w:r>
        <w:rPr/>
        <w:t>荧光</w:t>
      </w:r>
      <w:r>
        <w:rPr>
          <w:rFonts w:ascii="Times New Roman" w:eastAsia="Times New Roman"/>
        </w:rPr>
        <w:t>PCR </w:t>
      </w:r>
      <w:r>
        <w:rPr/>
        <w:t>仪。</w:t>
      </w:r>
    </w:p>
    <w:p>
      <w:pPr>
        <w:pStyle w:val="Heading1"/>
        <w:spacing w:line="199" w:lineRule="exact"/>
      </w:pPr>
      <w:r>
        <w:rPr/>
        <w:t>【样本要求】</w:t>
      </w:r>
    </w:p>
    <w:p>
      <w:pPr>
        <w:pStyle w:val="ListParagraph"/>
        <w:numPr>
          <w:ilvl w:val="0"/>
          <w:numId w:val="2"/>
        </w:numPr>
        <w:tabs>
          <w:tab w:pos="280" w:val="left" w:leader="none"/>
        </w:tabs>
        <w:spacing w:line="200" w:lineRule="exact" w:before="0" w:after="0"/>
        <w:ind w:left="280" w:right="0" w:hanging="173"/>
        <w:jc w:val="left"/>
        <w:rPr>
          <w:sz w:val="18"/>
        </w:rPr>
      </w:pPr>
      <w:r>
        <w:rPr>
          <w:spacing w:val="-5"/>
          <w:sz w:val="18"/>
        </w:rPr>
        <w:t>适用样本类型：痰液、咽拭子样本。</w:t>
      </w:r>
    </w:p>
    <w:p>
      <w:pPr>
        <w:pStyle w:val="ListParagraph"/>
        <w:numPr>
          <w:ilvl w:val="0"/>
          <w:numId w:val="2"/>
        </w:numPr>
        <w:tabs>
          <w:tab w:pos="240" w:val="left" w:leader="none"/>
        </w:tabs>
        <w:spacing w:line="200" w:lineRule="exact" w:before="0" w:after="0"/>
        <w:ind w:left="239" w:right="0" w:hanging="133"/>
        <w:jc w:val="left"/>
        <w:rPr>
          <w:sz w:val="18"/>
        </w:rPr>
      </w:pPr>
      <w:r>
        <w:rPr>
          <w:spacing w:val="-4"/>
          <w:sz w:val="18"/>
        </w:rPr>
        <w:t>样本采集</w:t>
      </w:r>
    </w:p>
    <w:p>
      <w:pPr>
        <w:pStyle w:val="ListParagraph"/>
        <w:numPr>
          <w:ilvl w:val="1"/>
          <w:numId w:val="2"/>
        </w:numPr>
        <w:tabs>
          <w:tab w:pos="369" w:val="left" w:leader="none"/>
        </w:tabs>
        <w:spacing w:line="199" w:lineRule="exact" w:before="0" w:after="0"/>
        <w:ind w:left="368" w:right="0" w:hanging="262"/>
        <w:jc w:val="left"/>
        <w:rPr>
          <w:sz w:val="18"/>
        </w:rPr>
      </w:pPr>
      <w:r>
        <w:rPr>
          <w:sz w:val="18"/>
        </w:rPr>
        <w:t>痰液样本采集：</w:t>
      </w:r>
    </w:p>
    <w:p>
      <w:pPr>
        <w:pStyle w:val="BodyText"/>
        <w:spacing w:line="208" w:lineRule="auto" w:before="7"/>
        <w:ind w:right="113" w:firstLine="309"/>
      </w:pPr>
      <w:r>
        <w:rPr>
          <w:spacing w:val="-5"/>
        </w:rPr>
        <w:t>使用一次性吸痰器，患儿取仰头平卧位，将吸痰管缓缓插入咽喉部，调节负压，将气管深部分泌物</w:t>
      </w:r>
      <w:r>
        <w:rPr/>
        <w:t>（在雾化吸入后效果较好</w:t>
      </w:r>
      <w:r>
        <w:rPr>
          <w:spacing w:val="-14"/>
        </w:rPr>
        <w:t>） </w:t>
      </w:r>
      <w:r>
        <w:rPr/>
        <w:t>缓缓吸入储液瓶中，反复数次，储液瓶中分泌物即为标本，密封送检；吸取的分泌物应尽快送检，以免干燥无法分析化验。</w:t>
      </w:r>
    </w:p>
    <w:p>
      <w:pPr>
        <w:pStyle w:val="ListParagraph"/>
        <w:numPr>
          <w:ilvl w:val="1"/>
          <w:numId w:val="2"/>
        </w:numPr>
        <w:tabs>
          <w:tab w:pos="369" w:val="left" w:leader="none"/>
        </w:tabs>
        <w:spacing w:line="191" w:lineRule="exact" w:before="0" w:after="0"/>
        <w:ind w:left="368" w:right="0" w:hanging="262"/>
        <w:jc w:val="left"/>
        <w:rPr>
          <w:sz w:val="18"/>
        </w:rPr>
      </w:pPr>
      <w:r>
        <w:rPr>
          <w:spacing w:val="-5"/>
          <w:sz w:val="18"/>
        </w:rPr>
        <w:t>咽拭子样本采集：用无菌棉拭子取咽部分泌物，将棉拭子置于无菌玻璃管，密封送检。</w:t>
      </w:r>
    </w:p>
    <w:p>
      <w:pPr>
        <w:pStyle w:val="ListParagraph"/>
        <w:numPr>
          <w:ilvl w:val="1"/>
          <w:numId w:val="2"/>
        </w:numPr>
        <w:tabs>
          <w:tab w:pos="412" w:val="left" w:leader="none"/>
        </w:tabs>
        <w:spacing w:line="208" w:lineRule="auto" w:before="8" w:after="0"/>
        <w:ind w:left="107" w:right="284" w:firstLine="0"/>
        <w:jc w:val="left"/>
        <w:rPr>
          <w:sz w:val="18"/>
        </w:rPr>
      </w:pPr>
      <w:r>
        <w:rPr>
          <w:spacing w:val="-7"/>
          <w:sz w:val="18"/>
        </w:rPr>
        <w:t>样本保存和运送：上述采集的样本可立即用于检测，或 </w:t>
      </w:r>
      <w:r>
        <w:rPr>
          <w:rFonts w:ascii="Times New Roman" w:hAnsi="Times New Roman" w:eastAsia="Times New Roman"/>
          <w:spacing w:val="-2"/>
          <w:sz w:val="18"/>
        </w:rPr>
        <w:t>2~</w:t>
      </w:r>
      <w:r>
        <w:rPr>
          <w:rFonts w:ascii="Times New Roman" w:hAnsi="Times New Roman" w:eastAsia="Times New Roman"/>
          <w:spacing w:val="-4"/>
          <w:sz w:val="18"/>
        </w:rPr>
        <w:t>8</w:t>
      </w:r>
      <w:r>
        <w:rPr>
          <w:spacing w:val="-4"/>
          <w:sz w:val="18"/>
        </w:rPr>
        <w:t>℃保存</w:t>
      </w:r>
      <w:r>
        <w:rPr>
          <w:spacing w:val="-5"/>
          <w:sz w:val="18"/>
        </w:rPr>
        <w:t>（</w:t>
      </w:r>
      <w:r>
        <w:rPr>
          <w:spacing w:val="-15"/>
          <w:sz w:val="18"/>
        </w:rPr>
        <w:t>不超过 </w:t>
      </w:r>
      <w:r>
        <w:rPr>
          <w:rFonts w:ascii="Times New Roman" w:hAnsi="Times New Roman" w:eastAsia="Times New Roman"/>
          <w:spacing w:val="-2"/>
          <w:sz w:val="18"/>
        </w:rPr>
        <w:t>2</w:t>
      </w:r>
      <w:r>
        <w:rPr>
          <w:rFonts w:ascii="Times New Roman" w:hAnsi="Times New Roman" w:eastAsia="Times New Roman"/>
          <w:sz w:val="18"/>
        </w:rPr>
        <w:t>4</w:t>
      </w:r>
      <w:r>
        <w:rPr>
          <w:rFonts w:ascii="Times New Roman" w:hAnsi="Times New Roman" w:eastAsia="Times New Roman"/>
          <w:spacing w:val="-6"/>
          <w:sz w:val="18"/>
        </w:rPr>
        <w:t> </w:t>
      </w:r>
      <w:r>
        <w:rPr>
          <w:spacing w:val="-4"/>
          <w:sz w:val="18"/>
        </w:rPr>
        <w:t>小时</w:t>
      </w:r>
      <w:r>
        <w:rPr>
          <w:spacing w:val="-92"/>
          <w:sz w:val="18"/>
        </w:rPr>
        <w:t>）</w:t>
      </w:r>
      <w:r>
        <w:rPr>
          <w:spacing w:val="-5"/>
          <w:sz w:val="18"/>
        </w:rPr>
        <w:t>，长期保存请置于</w:t>
      </w:r>
      <w:r>
        <w:rPr>
          <w:rFonts w:ascii="Times New Roman" w:hAnsi="Times New Roman" w:eastAsia="Times New Roman"/>
          <w:sz w:val="18"/>
        </w:rPr>
        <w:t>-</w:t>
      </w:r>
      <w:r>
        <w:rPr>
          <w:rFonts w:ascii="Times New Roman" w:hAnsi="Times New Roman" w:eastAsia="Times New Roman"/>
          <w:spacing w:val="-2"/>
          <w:sz w:val="18"/>
        </w:rPr>
        <w:t>2</w:t>
      </w:r>
      <w:r>
        <w:rPr>
          <w:rFonts w:ascii="Times New Roman" w:hAnsi="Times New Roman" w:eastAsia="Times New Roman"/>
          <w:spacing w:val="-4"/>
          <w:sz w:val="18"/>
        </w:rPr>
        <w:t>0</w:t>
      </w:r>
      <w:r>
        <w:rPr>
          <w:spacing w:val="-5"/>
          <w:sz w:val="18"/>
        </w:rPr>
        <w:t>℃以下。标本运送采用冰壶加冰或泡沫箱加冰密封进行运输。</w:t>
      </w:r>
    </w:p>
    <w:p>
      <w:pPr>
        <w:pStyle w:val="Heading1"/>
        <w:spacing w:line="191" w:lineRule="exact"/>
      </w:pPr>
      <w:r>
        <w:rPr/>
        <w:t>【检验方法】</w:t>
      </w:r>
    </w:p>
    <w:p>
      <w:pPr>
        <w:pStyle w:val="ListParagraph"/>
        <w:numPr>
          <w:ilvl w:val="0"/>
          <w:numId w:val="3"/>
        </w:numPr>
        <w:tabs>
          <w:tab w:pos="242" w:val="left" w:leader="none"/>
        </w:tabs>
        <w:spacing w:line="200" w:lineRule="exact" w:before="0" w:after="0"/>
        <w:ind w:left="241" w:right="0" w:hanging="135"/>
        <w:jc w:val="left"/>
        <w:rPr>
          <w:b/>
          <w:sz w:val="18"/>
        </w:rPr>
      </w:pPr>
      <w:r>
        <w:rPr>
          <w:b/>
          <w:spacing w:val="-4"/>
          <w:sz w:val="18"/>
        </w:rPr>
        <w:t>试剂准备</w:t>
      </w:r>
      <w:r>
        <w:rPr>
          <w:b/>
          <w:spacing w:val="-5"/>
          <w:sz w:val="18"/>
        </w:rPr>
        <w:t>（在试剂准备区进行</w:t>
      </w:r>
      <w:r>
        <w:rPr>
          <w:b/>
          <w:sz w:val="18"/>
        </w:rPr>
        <w:t>）</w:t>
      </w:r>
    </w:p>
    <w:p>
      <w:pPr>
        <w:pStyle w:val="ListParagraph"/>
        <w:numPr>
          <w:ilvl w:val="1"/>
          <w:numId w:val="3"/>
        </w:numPr>
        <w:tabs>
          <w:tab w:pos="412" w:val="left" w:leader="none"/>
        </w:tabs>
        <w:spacing w:line="200" w:lineRule="exact" w:before="0" w:after="0"/>
        <w:ind w:left="412" w:right="0" w:hanging="305"/>
        <w:jc w:val="left"/>
        <w:rPr>
          <w:sz w:val="18"/>
        </w:rPr>
      </w:pPr>
      <w:r>
        <w:rPr>
          <w:spacing w:val="-5"/>
          <w:sz w:val="18"/>
        </w:rPr>
        <w:t>取出试剂盒中的各组分，室温放置，待其温度平衡至室温，混匀后备用；</w:t>
      </w:r>
    </w:p>
    <w:p>
      <w:pPr>
        <w:pStyle w:val="ListParagraph"/>
        <w:numPr>
          <w:ilvl w:val="1"/>
          <w:numId w:val="3"/>
        </w:numPr>
        <w:tabs>
          <w:tab w:pos="369" w:val="left" w:leader="none"/>
        </w:tabs>
        <w:spacing w:line="206" w:lineRule="auto" w:before="9" w:after="0"/>
        <w:ind w:left="371" w:right="192" w:hanging="264"/>
        <w:jc w:val="left"/>
        <w:rPr>
          <w:sz w:val="18"/>
        </w:rPr>
      </w:pPr>
      <w:r>
        <w:rPr>
          <w:spacing w:val="-10"/>
          <w:sz w:val="18"/>
        </w:rPr>
        <w:t>根据待测样本、阴性对照、阳性对照的数量，按比例</w:t>
      </w:r>
      <w:r>
        <w:rPr>
          <w:spacing w:val="-5"/>
          <w:sz w:val="18"/>
        </w:rPr>
        <w:t>（</w:t>
      </w:r>
      <w:r>
        <w:rPr>
          <w:spacing w:val="-15"/>
          <w:sz w:val="18"/>
        </w:rPr>
        <w:t>反应液 </w:t>
      </w:r>
      <w:r>
        <w:rPr>
          <w:rFonts w:ascii="Times New Roman" w:hAnsi="Times New Roman" w:eastAsia="Times New Roman"/>
          <w:spacing w:val="-3"/>
          <w:sz w:val="18"/>
        </w:rPr>
        <w:t>38μL/</w:t>
      </w:r>
      <w:r>
        <w:rPr>
          <w:spacing w:val="-5"/>
          <w:sz w:val="18"/>
        </w:rPr>
        <w:t>人份</w:t>
      </w:r>
      <w:r>
        <w:rPr>
          <w:rFonts w:ascii="Times New Roman" w:hAnsi="Times New Roman" w:eastAsia="Times New Roman"/>
          <w:sz w:val="18"/>
        </w:rPr>
        <w:t>+</w:t>
      </w:r>
      <w:r>
        <w:rPr>
          <w:spacing w:val="-4"/>
          <w:sz w:val="18"/>
        </w:rPr>
        <w:t>酶混合液 </w:t>
      </w:r>
      <w:r>
        <w:rPr>
          <w:rFonts w:ascii="Times New Roman" w:hAnsi="Times New Roman" w:eastAsia="Times New Roman"/>
          <w:spacing w:val="-3"/>
          <w:sz w:val="18"/>
        </w:rPr>
        <w:t>2μL/</w:t>
      </w:r>
      <w:r>
        <w:rPr>
          <w:spacing w:val="-4"/>
          <w:sz w:val="18"/>
        </w:rPr>
        <w:t>人份</w:t>
      </w:r>
      <w:r>
        <w:rPr>
          <w:rFonts w:ascii="Times New Roman" w:hAnsi="Times New Roman" w:eastAsia="Times New Roman"/>
          <w:spacing w:val="-4"/>
          <w:sz w:val="18"/>
        </w:rPr>
        <w:t>+</w:t>
      </w:r>
      <w:r>
        <w:rPr>
          <w:spacing w:val="-18"/>
          <w:sz w:val="18"/>
        </w:rPr>
        <w:t>内标 </w:t>
      </w:r>
      <w:r>
        <w:rPr>
          <w:rFonts w:ascii="Times New Roman" w:hAnsi="Times New Roman" w:eastAsia="Times New Roman"/>
          <w:spacing w:val="-3"/>
          <w:sz w:val="18"/>
        </w:rPr>
        <w:t>0.4μL/</w:t>
      </w:r>
      <w:r>
        <w:rPr>
          <w:spacing w:val="-4"/>
          <w:sz w:val="18"/>
        </w:rPr>
        <w:t>人份</w:t>
      </w:r>
      <w:r>
        <w:rPr>
          <w:spacing w:val="-15"/>
          <w:sz w:val="18"/>
        </w:rPr>
        <w:t>）</w:t>
      </w:r>
      <w:r>
        <w:rPr>
          <w:spacing w:val="-5"/>
          <w:sz w:val="18"/>
        </w:rPr>
        <w:t>取相应量的反应</w:t>
      </w:r>
      <w:r>
        <w:rPr>
          <w:spacing w:val="-3"/>
          <w:sz w:val="18"/>
        </w:rPr>
        <w:t>液、酶混合液以及内标充分混匀成</w:t>
      </w:r>
      <w:r>
        <w:rPr>
          <w:rFonts w:ascii="Times New Roman" w:hAnsi="Times New Roman" w:eastAsia="Times New Roman"/>
          <w:spacing w:val="-3"/>
          <w:sz w:val="18"/>
        </w:rPr>
        <w:t>PCR-</w:t>
      </w:r>
      <w:r>
        <w:rPr>
          <w:spacing w:val="-5"/>
          <w:sz w:val="18"/>
        </w:rPr>
        <w:t>混合液，瞬时离心后备用。</w:t>
      </w:r>
    </w:p>
    <w:p>
      <w:pPr>
        <w:pStyle w:val="Heading1"/>
        <w:numPr>
          <w:ilvl w:val="0"/>
          <w:numId w:val="3"/>
        </w:numPr>
        <w:tabs>
          <w:tab w:pos="324" w:val="left" w:leader="none"/>
        </w:tabs>
        <w:spacing w:line="194" w:lineRule="exact" w:before="0" w:after="0"/>
        <w:ind w:left="323" w:right="0" w:hanging="217"/>
        <w:jc w:val="left"/>
      </w:pPr>
      <w:r>
        <w:rPr>
          <w:spacing w:val="-5"/>
        </w:rPr>
        <w:t>样本处理与加样</w:t>
      </w:r>
      <w:r>
        <w:rPr>
          <w:spacing w:val="-3"/>
        </w:rPr>
        <w:t>（</w:t>
      </w:r>
      <w:r>
        <w:rPr>
          <w:spacing w:val="-5"/>
        </w:rPr>
        <w:t>在样本处理区进行</w:t>
      </w:r>
      <w:r>
        <w:rPr/>
        <w:t>）</w:t>
      </w:r>
    </w:p>
    <w:p>
      <w:pPr>
        <w:pStyle w:val="ListParagraph"/>
        <w:numPr>
          <w:ilvl w:val="2"/>
          <w:numId w:val="4"/>
        </w:numPr>
        <w:tabs>
          <w:tab w:pos="544" w:val="left" w:leader="none"/>
        </w:tabs>
        <w:spacing w:line="199" w:lineRule="exact" w:before="0" w:after="0"/>
        <w:ind w:left="544" w:right="0" w:hanging="437"/>
        <w:jc w:val="left"/>
        <w:rPr>
          <w:sz w:val="18"/>
        </w:rPr>
      </w:pPr>
      <w:r>
        <w:rPr>
          <w:spacing w:val="-5"/>
          <w:sz w:val="18"/>
        </w:rPr>
        <w:t>阴性对照、阳性对照、阳性参照品</w:t>
      </w:r>
    </w:p>
    <w:p>
      <w:pPr>
        <w:pStyle w:val="BodyText"/>
        <w:ind w:left="450"/>
      </w:pPr>
      <w:r>
        <w:rPr/>
        <w:t>阴性对照、阳性对照、阳性参照品</w:t>
      </w:r>
      <w:r>
        <w:rPr>
          <w:rFonts w:ascii="Times New Roman" w:hAnsi="Times New Roman" w:eastAsia="Times New Roman"/>
        </w:rPr>
        <w:t>A~D </w:t>
      </w:r>
      <w:r>
        <w:rPr/>
        <w:t>分别取 </w:t>
      </w:r>
      <w:r>
        <w:rPr>
          <w:rFonts w:ascii="Times New Roman" w:hAnsi="Times New Roman" w:eastAsia="Times New Roman"/>
        </w:rPr>
        <w:t>10μL </w:t>
      </w:r>
      <w:r>
        <w:rPr/>
        <w:t>与 </w:t>
      </w:r>
      <w:r>
        <w:rPr>
          <w:rFonts w:ascii="Times New Roman" w:hAnsi="Times New Roman" w:eastAsia="Times New Roman"/>
        </w:rPr>
        <w:t>10μL </w:t>
      </w:r>
      <w:r>
        <w:rPr/>
        <w:t>核酸释放剂混匀待用。</w:t>
      </w:r>
    </w:p>
    <w:p>
      <w:pPr>
        <w:pStyle w:val="ListParagraph"/>
        <w:numPr>
          <w:ilvl w:val="2"/>
          <w:numId w:val="4"/>
        </w:numPr>
        <w:tabs>
          <w:tab w:pos="501" w:val="left" w:leader="none"/>
        </w:tabs>
        <w:spacing w:line="200" w:lineRule="exact" w:before="0" w:after="0"/>
        <w:ind w:left="500" w:right="0" w:hanging="394"/>
        <w:jc w:val="left"/>
        <w:rPr>
          <w:sz w:val="18"/>
        </w:rPr>
      </w:pPr>
      <w:r>
        <w:rPr>
          <w:spacing w:val="-3"/>
          <w:sz w:val="18"/>
        </w:rPr>
        <w:t>痰液</w:t>
      </w:r>
    </w:p>
    <w:p>
      <w:pPr>
        <w:pStyle w:val="BodyText"/>
        <w:spacing w:line="208" w:lineRule="auto" w:before="8"/>
        <w:ind w:right="193" w:firstLine="352"/>
        <w:jc w:val="both"/>
      </w:pPr>
      <w:r>
        <w:rPr>
          <w:spacing w:val="-9"/>
        </w:rPr>
        <w:t>用枪头挑取适量痰液置于 </w:t>
      </w:r>
      <w:r>
        <w:rPr>
          <w:rFonts w:ascii="Times New Roman" w:hAnsi="Times New Roman" w:eastAsia="Times New Roman"/>
          <w:spacing w:val="-3"/>
        </w:rPr>
        <w:t>1.5mL </w:t>
      </w:r>
      <w:r>
        <w:rPr>
          <w:spacing w:val="-12"/>
        </w:rPr>
        <w:t>灭菌离心管中，加入 </w:t>
      </w:r>
      <w:r>
        <w:rPr>
          <w:rFonts w:ascii="Times New Roman" w:hAnsi="Times New Roman" w:eastAsia="Times New Roman"/>
          <w:spacing w:val="-2"/>
        </w:rPr>
        <w:t>1mL </w:t>
      </w:r>
      <w:r>
        <w:rPr>
          <w:spacing w:val="-8"/>
        </w:rPr>
        <w:t>生理盐水，充分震荡混匀后静置一个小时使痰液液化，液化后的痰液</w:t>
      </w:r>
      <w:r>
        <w:rPr>
          <w:spacing w:val="-11"/>
        </w:rPr>
        <w:t>样本混匀后吸取 </w:t>
      </w:r>
      <w:r>
        <w:rPr>
          <w:rFonts w:ascii="Times New Roman" w:hAnsi="Times New Roman" w:eastAsia="Times New Roman"/>
        </w:rPr>
        <w:t>100μL </w:t>
      </w:r>
      <w:r>
        <w:rPr>
          <w:spacing w:val="-25"/>
        </w:rPr>
        <w:t>至 </w:t>
      </w:r>
      <w:r>
        <w:rPr>
          <w:rFonts w:ascii="Times New Roman" w:hAnsi="Times New Roman" w:eastAsia="Times New Roman"/>
          <w:spacing w:val="-3"/>
        </w:rPr>
        <w:t>1.5mL </w:t>
      </w:r>
      <w:r>
        <w:rPr>
          <w:spacing w:val="-14"/>
        </w:rPr>
        <w:t>离心管中，加入浓缩液 </w:t>
      </w:r>
      <w:r>
        <w:rPr>
          <w:rFonts w:ascii="Times New Roman" w:hAnsi="Times New Roman" w:eastAsia="Times New Roman"/>
          <w:spacing w:val="-6"/>
        </w:rPr>
        <w:t>100μL</w:t>
      </w:r>
      <w:r>
        <w:rPr>
          <w:spacing w:val="-6"/>
        </w:rPr>
        <w:t>，</w:t>
      </w:r>
      <w:r>
        <w:rPr>
          <w:rFonts w:ascii="Times New Roman" w:hAnsi="Times New Roman" w:eastAsia="Times New Roman"/>
          <w:spacing w:val="-6"/>
        </w:rPr>
        <w:t>12,000rpm </w:t>
      </w:r>
      <w:r>
        <w:rPr>
          <w:spacing w:val="-19"/>
        </w:rPr>
        <w:t>离心 </w:t>
      </w:r>
      <w:r>
        <w:rPr>
          <w:rFonts w:ascii="Times New Roman" w:hAnsi="Times New Roman" w:eastAsia="Times New Roman"/>
          <w:spacing w:val="-13"/>
        </w:rPr>
        <w:t>5min</w:t>
      </w:r>
      <w:r>
        <w:rPr>
          <w:spacing w:val="-18"/>
        </w:rPr>
        <w:t>，弃上清</w:t>
      </w:r>
      <w:r>
        <w:rPr>
          <w:spacing w:val="-5"/>
        </w:rPr>
        <w:t>（</w:t>
      </w:r>
      <w:r>
        <w:rPr>
          <w:spacing w:val="-16"/>
        </w:rPr>
        <w:t>建议有 </w:t>
      </w:r>
      <w:r>
        <w:rPr>
          <w:rFonts w:ascii="Times New Roman" w:hAnsi="Times New Roman" w:eastAsia="Times New Roman"/>
        </w:rPr>
        <w:t>20μL </w:t>
      </w:r>
      <w:r>
        <w:rPr>
          <w:spacing w:val="-4"/>
        </w:rPr>
        <w:t>残留</w:t>
      </w:r>
      <w:r>
        <w:rPr>
          <w:spacing w:val="-72"/>
        </w:rPr>
        <w:t>）</w:t>
      </w:r>
      <w:r>
        <w:rPr>
          <w:spacing w:val="-21"/>
        </w:rPr>
        <w:t>，沉淀中加入 </w:t>
      </w:r>
      <w:r>
        <w:rPr>
          <w:rFonts w:ascii="Times New Roman" w:hAnsi="Times New Roman" w:eastAsia="Times New Roman"/>
          <w:spacing w:val="-3"/>
        </w:rPr>
        <w:t>50μL </w:t>
      </w:r>
      <w:r>
        <w:rPr>
          <w:spacing w:val="-5"/>
        </w:rPr>
        <w:t>核酸释放剂，震荡或移液枪吸打混匀，作为待测样本备用。</w:t>
      </w:r>
    </w:p>
    <w:p>
      <w:pPr>
        <w:pStyle w:val="ListParagraph"/>
        <w:numPr>
          <w:ilvl w:val="2"/>
          <w:numId w:val="4"/>
        </w:numPr>
        <w:tabs>
          <w:tab w:pos="501" w:val="left" w:leader="none"/>
        </w:tabs>
        <w:spacing w:line="190" w:lineRule="exact" w:before="0" w:after="0"/>
        <w:ind w:left="500" w:right="0" w:hanging="394"/>
        <w:jc w:val="left"/>
        <w:rPr>
          <w:sz w:val="18"/>
        </w:rPr>
      </w:pPr>
      <w:r>
        <w:rPr>
          <w:spacing w:val="-3"/>
          <w:sz w:val="18"/>
        </w:rPr>
        <w:t>咽拭子</w:t>
      </w:r>
    </w:p>
    <w:p>
      <w:pPr>
        <w:pStyle w:val="BodyText"/>
        <w:spacing w:line="208" w:lineRule="auto" w:before="8"/>
        <w:ind w:right="193" w:firstLine="352"/>
      </w:pPr>
      <w:r>
        <w:rPr>
          <w:spacing w:val="-10"/>
        </w:rPr>
        <w:t>往样本收集管中加入 </w:t>
      </w:r>
      <w:r>
        <w:rPr>
          <w:rFonts w:ascii="Times New Roman" w:hAnsi="Times New Roman" w:eastAsia="Times New Roman"/>
          <w:spacing w:val="-2"/>
        </w:rPr>
        <w:t>1mL </w:t>
      </w:r>
      <w:r>
        <w:rPr>
          <w:spacing w:val="-5"/>
        </w:rPr>
        <w:t>无菌生理盐水，充分振荡混匀，然后把全部液体（样本洗脱液）</w:t>
      </w:r>
      <w:r>
        <w:rPr>
          <w:spacing w:val="-19"/>
        </w:rPr>
        <w:t>倒入 </w:t>
      </w:r>
      <w:r>
        <w:rPr>
          <w:rFonts w:ascii="Times New Roman" w:hAnsi="Times New Roman" w:eastAsia="Times New Roman"/>
        </w:rPr>
        <w:t>1.5mL </w:t>
      </w:r>
      <w:r>
        <w:rPr>
          <w:spacing w:val="-5"/>
        </w:rPr>
        <w:t>灭菌离心管中（</w:t>
      </w:r>
      <w:r>
        <w:rPr>
          <w:spacing w:val="-3"/>
        </w:rPr>
        <w:t>棉拭子</w:t>
      </w:r>
      <w:r>
        <w:rPr>
          <w:spacing w:val="-5"/>
        </w:rPr>
        <w:t>靠离心管壁挤干后丢弃</w:t>
      </w:r>
      <w:r>
        <w:rPr>
          <w:spacing w:val="-63"/>
        </w:rPr>
        <w:t>）</w:t>
      </w:r>
      <w:r>
        <w:rPr>
          <w:spacing w:val="-21"/>
        </w:rPr>
        <w:t>，混匀后吸取 </w:t>
      </w:r>
      <w:r>
        <w:rPr>
          <w:rFonts w:ascii="Times New Roman" w:hAnsi="Times New Roman" w:eastAsia="Times New Roman"/>
        </w:rPr>
        <w:t>100μL </w:t>
      </w:r>
      <w:r>
        <w:rPr>
          <w:spacing w:val="-15"/>
        </w:rPr>
        <w:t>至另一 </w:t>
      </w:r>
      <w:r>
        <w:rPr>
          <w:rFonts w:ascii="Times New Roman" w:hAnsi="Times New Roman" w:eastAsia="Times New Roman"/>
          <w:spacing w:val="-3"/>
        </w:rPr>
        <w:t>1.5mL </w:t>
      </w:r>
      <w:r>
        <w:rPr>
          <w:spacing w:val="-10"/>
        </w:rPr>
        <w:t>离心管中加入浓缩液 </w:t>
      </w:r>
      <w:r>
        <w:rPr>
          <w:rFonts w:ascii="Times New Roman" w:hAnsi="Times New Roman" w:eastAsia="Times New Roman"/>
          <w:spacing w:val="-5"/>
        </w:rPr>
        <w:t>100μL</w:t>
      </w:r>
      <w:r>
        <w:rPr>
          <w:spacing w:val="-5"/>
        </w:rPr>
        <w:t>，</w:t>
      </w:r>
      <w:r>
        <w:rPr>
          <w:rFonts w:ascii="Times New Roman" w:hAnsi="Times New Roman" w:eastAsia="Times New Roman"/>
          <w:spacing w:val="-5"/>
        </w:rPr>
        <w:t>12,000rpm </w:t>
      </w:r>
      <w:r>
        <w:rPr>
          <w:spacing w:val="-18"/>
        </w:rPr>
        <w:t>离心 </w:t>
      </w:r>
      <w:r>
        <w:rPr>
          <w:rFonts w:ascii="Times New Roman" w:hAnsi="Times New Roman" w:eastAsia="Times New Roman"/>
          <w:spacing w:val="-9"/>
        </w:rPr>
        <w:t>5min</w:t>
      </w:r>
      <w:r>
        <w:rPr>
          <w:spacing w:val="-13"/>
        </w:rPr>
        <w:t>，弃上清</w:t>
      </w:r>
      <w:r>
        <w:rPr>
          <w:spacing w:val="-5"/>
        </w:rPr>
        <w:t>（</w:t>
      </w:r>
      <w:r>
        <w:rPr>
          <w:spacing w:val="-15"/>
        </w:rPr>
        <w:t>建议有 </w:t>
      </w:r>
      <w:r>
        <w:rPr>
          <w:rFonts w:ascii="Times New Roman" w:hAnsi="Times New Roman" w:eastAsia="Times New Roman"/>
        </w:rPr>
        <w:t>20μL </w:t>
      </w:r>
      <w:r>
        <w:rPr>
          <w:spacing w:val="-4"/>
        </w:rPr>
        <w:t>残留</w:t>
      </w:r>
      <w:r>
        <w:rPr>
          <w:spacing w:val="-94"/>
        </w:rPr>
        <w:t>）</w:t>
      </w:r>
      <w:r>
        <w:rPr>
          <w:spacing w:val="-12"/>
        </w:rPr>
        <w:t>，沉淀中加入 </w:t>
      </w:r>
      <w:r>
        <w:rPr>
          <w:rFonts w:ascii="Times New Roman" w:hAnsi="Times New Roman" w:eastAsia="Times New Roman"/>
          <w:spacing w:val="-2"/>
        </w:rPr>
        <w:t>5</w:t>
      </w:r>
      <w:r>
        <w:rPr>
          <w:rFonts w:ascii="Times New Roman" w:hAnsi="Times New Roman" w:eastAsia="Times New Roman"/>
          <w:spacing w:val="-4"/>
        </w:rPr>
        <w:t>0</w:t>
      </w:r>
      <w:r>
        <w:rPr>
          <w:rFonts w:ascii="Times New Roman" w:hAnsi="Times New Roman" w:eastAsia="Times New Roman"/>
          <w:spacing w:val="-3"/>
        </w:rPr>
        <w:t>μ</w:t>
      </w:r>
      <w:r>
        <w:rPr>
          <w:rFonts w:ascii="Times New Roman" w:hAnsi="Times New Roman" w:eastAsia="Times New Roman"/>
        </w:rPr>
        <w:t>L </w:t>
      </w:r>
      <w:r>
        <w:rPr>
          <w:spacing w:val="-5"/>
        </w:rPr>
        <w:t>核酸释放剂，震荡或移液枪吸打混匀，作为待测样本备用。</w:t>
      </w:r>
    </w:p>
    <w:p>
      <w:pPr>
        <w:pStyle w:val="ListParagraph"/>
        <w:numPr>
          <w:ilvl w:val="1"/>
          <w:numId w:val="5"/>
        </w:numPr>
        <w:tabs>
          <w:tab w:pos="412" w:val="left" w:leader="none"/>
        </w:tabs>
        <w:spacing w:line="191" w:lineRule="exact" w:before="0" w:after="0"/>
        <w:ind w:left="412" w:right="0" w:hanging="305"/>
        <w:jc w:val="left"/>
        <w:rPr>
          <w:sz w:val="18"/>
        </w:rPr>
      </w:pPr>
      <w:r>
        <w:rPr>
          <w:spacing w:val="-3"/>
          <w:sz w:val="18"/>
        </w:rPr>
        <w:t>加样</w:t>
      </w:r>
    </w:p>
    <w:p>
      <w:pPr>
        <w:pStyle w:val="ListParagraph"/>
        <w:numPr>
          <w:ilvl w:val="2"/>
          <w:numId w:val="5"/>
        </w:numPr>
        <w:tabs>
          <w:tab w:pos="501" w:val="left" w:leader="none"/>
        </w:tabs>
        <w:spacing w:line="200" w:lineRule="exact" w:before="0" w:after="0"/>
        <w:ind w:left="500" w:right="0" w:hanging="394"/>
        <w:jc w:val="left"/>
        <w:rPr>
          <w:sz w:val="18"/>
        </w:rPr>
      </w:pPr>
      <w:r>
        <w:rPr>
          <w:spacing w:val="17"/>
          <w:sz w:val="18"/>
        </w:rPr>
        <w:t>每个</w:t>
      </w:r>
      <w:r>
        <w:rPr>
          <w:rFonts w:ascii="Times New Roman" w:hAnsi="Times New Roman" w:eastAsia="Times New Roman"/>
          <w:sz w:val="18"/>
        </w:rPr>
        <w:t>PCR</w:t>
      </w:r>
      <w:r>
        <w:rPr>
          <w:rFonts w:ascii="Times New Roman" w:hAnsi="Times New Roman" w:eastAsia="Times New Roman"/>
          <w:spacing w:val="-6"/>
          <w:sz w:val="18"/>
        </w:rPr>
        <w:t> </w:t>
      </w:r>
      <w:r>
        <w:rPr>
          <w:spacing w:val="-4"/>
          <w:sz w:val="18"/>
        </w:rPr>
        <w:t>反应管中加入上述处理后的待测样本、阴性对照、阳性对照以及阳性参照品</w:t>
      </w:r>
      <w:r>
        <w:rPr>
          <w:rFonts w:ascii="Times New Roman" w:hAnsi="Times New Roman" w:eastAsia="Times New Roman"/>
          <w:sz w:val="18"/>
        </w:rPr>
        <w:t>A~D</w:t>
      </w:r>
      <w:r>
        <w:rPr>
          <w:rFonts w:ascii="Times New Roman" w:hAnsi="Times New Roman" w:eastAsia="Times New Roman"/>
          <w:spacing w:val="38"/>
          <w:sz w:val="18"/>
        </w:rPr>
        <w:t> </w:t>
      </w:r>
      <w:r>
        <w:rPr>
          <w:spacing w:val="-26"/>
          <w:sz w:val="18"/>
        </w:rPr>
        <w:t>各 </w:t>
      </w:r>
      <w:r>
        <w:rPr>
          <w:rFonts w:ascii="Times New Roman" w:hAnsi="Times New Roman" w:eastAsia="Times New Roman"/>
          <w:sz w:val="18"/>
        </w:rPr>
        <w:t>10μL</w:t>
      </w:r>
      <w:r>
        <w:rPr>
          <w:sz w:val="18"/>
        </w:rPr>
        <w:t>；</w:t>
      </w:r>
    </w:p>
    <w:p>
      <w:pPr>
        <w:pStyle w:val="ListParagraph"/>
        <w:numPr>
          <w:ilvl w:val="2"/>
          <w:numId w:val="5"/>
        </w:numPr>
        <w:tabs>
          <w:tab w:pos="501" w:val="left" w:leader="none"/>
        </w:tabs>
        <w:spacing w:line="199" w:lineRule="exact" w:before="0" w:after="0"/>
        <w:ind w:left="500" w:right="0" w:hanging="394"/>
        <w:jc w:val="left"/>
        <w:rPr>
          <w:sz w:val="18"/>
        </w:rPr>
      </w:pPr>
      <w:r>
        <w:rPr>
          <w:spacing w:val="-19"/>
          <w:sz w:val="18"/>
        </w:rPr>
        <w:t>静置 </w:t>
      </w:r>
      <w:r>
        <w:rPr>
          <w:rFonts w:ascii="Times New Roman" w:hAnsi="Times New Roman" w:eastAsia="Times New Roman"/>
          <w:spacing w:val="-2"/>
          <w:sz w:val="18"/>
        </w:rPr>
        <w:t>1</w:t>
      </w:r>
      <w:r>
        <w:rPr>
          <w:rFonts w:ascii="Times New Roman" w:hAnsi="Times New Roman" w:eastAsia="Times New Roman"/>
          <w:sz w:val="18"/>
        </w:rPr>
        <w:t>0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z w:val="18"/>
        </w:rPr>
        <w:t>分钟后，每管加入</w:t>
      </w:r>
      <w:r>
        <w:rPr>
          <w:rFonts w:ascii="Times New Roman" w:hAnsi="Times New Roman" w:eastAsia="Times New Roman"/>
          <w:sz w:val="18"/>
        </w:rPr>
        <w:t>P</w:t>
      </w:r>
      <w:r>
        <w:rPr>
          <w:rFonts w:ascii="Times New Roman" w:hAnsi="Times New Roman" w:eastAsia="Times New Roman"/>
          <w:spacing w:val="-3"/>
          <w:sz w:val="18"/>
        </w:rPr>
        <w:t>CR</w:t>
      </w:r>
      <w:r>
        <w:rPr>
          <w:rFonts w:ascii="Times New Roman" w:hAnsi="Times New Roman" w:eastAsia="Times New Roman"/>
          <w:spacing w:val="-5"/>
          <w:sz w:val="18"/>
        </w:rPr>
        <w:t>-</w:t>
      </w:r>
      <w:r>
        <w:rPr>
          <w:spacing w:val="-5"/>
          <w:sz w:val="18"/>
        </w:rPr>
        <w:t>混合液 </w:t>
      </w:r>
      <w:r>
        <w:rPr>
          <w:rFonts w:ascii="Times New Roman" w:hAnsi="Times New Roman" w:eastAsia="Times New Roman"/>
          <w:spacing w:val="-2"/>
          <w:sz w:val="18"/>
        </w:rPr>
        <w:t>4</w:t>
      </w:r>
      <w:r>
        <w:rPr>
          <w:rFonts w:ascii="Times New Roman" w:hAnsi="Times New Roman" w:eastAsia="Times New Roman"/>
          <w:spacing w:val="-4"/>
          <w:sz w:val="18"/>
        </w:rPr>
        <w:t>0</w:t>
      </w:r>
      <w:r>
        <w:rPr>
          <w:rFonts w:ascii="Times New Roman" w:hAnsi="Times New Roman" w:eastAsia="Times New Roman"/>
          <w:spacing w:val="-3"/>
          <w:sz w:val="18"/>
        </w:rPr>
        <w:t>μ</w:t>
      </w:r>
      <w:r>
        <w:rPr>
          <w:rFonts w:ascii="Times New Roman" w:hAnsi="Times New Roman" w:eastAsia="Times New Roman"/>
          <w:spacing w:val="-2"/>
          <w:sz w:val="18"/>
        </w:rPr>
        <w:t>L</w:t>
      </w:r>
      <w:r>
        <w:rPr>
          <w:spacing w:val="-12"/>
          <w:sz w:val="18"/>
        </w:rPr>
        <w:t>，吸打混匀 </w:t>
      </w:r>
      <w:r>
        <w:rPr>
          <w:rFonts w:ascii="Times New Roman" w:hAnsi="Times New Roman" w:eastAsia="Times New Roman"/>
          <w:spacing w:val="-2"/>
          <w:sz w:val="18"/>
        </w:rPr>
        <w:t>2</w:t>
      </w:r>
      <w:r>
        <w:rPr>
          <w:rFonts w:ascii="Times New Roman" w:hAnsi="Times New Roman" w:eastAsia="Times New Roman"/>
          <w:spacing w:val="-3"/>
          <w:sz w:val="18"/>
        </w:rPr>
        <w:t>-</w:t>
      </w:r>
      <w:r>
        <w:rPr>
          <w:rFonts w:ascii="Times New Roman" w:hAnsi="Times New Roman" w:eastAsia="Times New Roman"/>
          <w:sz w:val="18"/>
        </w:rPr>
        <w:t>3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-5"/>
          <w:sz w:val="18"/>
        </w:rPr>
        <w:t>次，盖上管盖（去除气泡后</w:t>
      </w:r>
      <w:r>
        <w:rPr>
          <w:spacing w:val="-92"/>
          <w:sz w:val="18"/>
        </w:rPr>
        <w:t>）</w:t>
      </w:r>
      <w:r>
        <w:rPr>
          <w:spacing w:val="-5"/>
          <w:sz w:val="18"/>
        </w:rPr>
        <w:t>，</w:t>
      </w:r>
      <w:r>
        <w:rPr>
          <w:rFonts w:ascii="Times New Roman" w:hAnsi="Times New Roman" w:eastAsia="Times New Roman"/>
          <w:spacing w:val="-2"/>
          <w:sz w:val="18"/>
        </w:rPr>
        <w:t>2000</w:t>
      </w:r>
      <w:r>
        <w:rPr>
          <w:rFonts w:ascii="Times New Roman" w:hAnsi="Times New Roman" w:eastAsia="Times New Roman"/>
          <w:spacing w:val="-3"/>
          <w:sz w:val="18"/>
        </w:rPr>
        <w:t>r</w:t>
      </w:r>
      <w:r>
        <w:rPr>
          <w:rFonts w:ascii="Times New Roman" w:hAnsi="Times New Roman" w:eastAsia="Times New Roman"/>
          <w:spacing w:val="-2"/>
          <w:sz w:val="18"/>
        </w:rPr>
        <w:t>p</w:t>
      </w:r>
      <w:r>
        <w:rPr>
          <w:rFonts w:ascii="Times New Roman" w:hAnsi="Times New Roman" w:eastAsia="Times New Roman"/>
          <w:sz w:val="18"/>
        </w:rPr>
        <w:t>m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19"/>
          <w:sz w:val="18"/>
        </w:rPr>
        <w:t>离心 </w:t>
      </w:r>
      <w:r>
        <w:rPr>
          <w:rFonts w:ascii="Times New Roman" w:hAnsi="Times New Roman" w:eastAsia="Times New Roman"/>
          <w:spacing w:val="-2"/>
          <w:sz w:val="18"/>
        </w:rPr>
        <w:t>3</w:t>
      </w:r>
      <w:r>
        <w:rPr>
          <w:rFonts w:ascii="Times New Roman" w:hAnsi="Times New Roman" w:eastAsia="Times New Roman"/>
          <w:sz w:val="18"/>
        </w:rPr>
        <w:t>0</w:t>
      </w:r>
      <w:r>
        <w:rPr>
          <w:rFonts w:ascii="Times New Roman" w:hAnsi="Times New Roman" w:eastAsia="Times New Roman"/>
          <w:spacing w:val="-6"/>
          <w:sz w:val="18"/>
        </w:rPr>
        <w:t> </w:t>
      </w:r>
      <w:r>
        <w:rPr>
          <w:spacing w:val="-3"/>
          <w:sz w:val="18"/>
        </w:rPr>
        <w:t>秒。</w:t>
      </w:r>
    </w:p>
    <w:p>
      <w:pPr>
        <w:pStyle w:val="ListParagraph"/>
        <w:numPr>
          <w:ilvl w:val="0"/>
          <w:numId w:val="3"/>
        </w:numPr>
        <w:tabs>
          <w:tab w:pos="280" w:val="left" w:leader="none"/>
        </w:tabs>
        <w:spacing w:line="200" w:lineRule="exact" w:before="0" w:after="0"/>
        <w:ind w:left="280" w:right="0" w:hanging="173"/>
        <w:jc w:val="left"/>
        <w:rPr>
          <w:sz w:val="18"/>
        </w:rPr>
      </w:pPr>
      <w:r>
        <w:rPr>
          <w:rFonts w:ascii="Times New Roman" w:eastAsia="Times New Roman"/>
          <w:b/>
          <w:spacing w:val="-2"/>
          <w:sz w:val="18"/>
        </w:rPr>
        <w:t>P</w:t>
      </w:r>
      <w:r>
        <w:rPr>
          <w:rFonts w:ascii="Times New Roman" w:eastAsia="Times New Roman"/>
          <w:b/>
          <w:spacing w:val="-1"/>
          <w:sz w:val="18"/>
        </w:rPr>
        <w:t>C</w:t>
      </w:r>
      <w:r>
        <w:rPr>
          <w:rFonts w:ascii="Times New Roman" w:eastAsia="Times New Roman"/>
          <w:b/>
          <w:sz w:val="18"/>
        </w:rPr>
        <w:t>R</w:t>
      </w:r>
      <w:r>
        <w:rPr>
          <w:rFonts w:ascii="Times New Roman" w:eastAsia="Times New Roman"/>
          <w:b/>
          <w:spacing w:val="-5"/>
          <w:sz w:val="18"/>
        </w:rPr>
        <w:t>  </w:t>
      </w:r>
      <w:r>
        <w:rPr>
          <w:b/>
          <w:spacing w:val="-3"/>
          <w:w w:val="99"/>
          <w:sz w:val="18"/>
        </w:rPr>
        <w:t>扩增（</w:t>
      </w:r>
      <w:r>
        <w:rPr>
          <w:b/>
          <w:spacing w:val="-5"/>
          <w:w w:val="99"/>
          <w:sz w:val="18"/>
        </w:rPr>
        <w:t>在扩增与分析区进行</w:t>
      </w:r>
      <w:r>
        <w:rPr>
          <w:b/>
          <w:spacing w:val="-92"/>
          <w:w w:val="99"/>
          <w:sz w:val="18"/>
        </w:rPr>
        <w:t>）</w:t>
      </w:r>
      <w:r>
        <w:rPr>
          <w:spacing w:val="-5"/>
          <w:sz w:val="18"/>
        </w:rPr>
        <w:t>（请参照各仪器使用说明书进行设置</w:t>
      </w:r>
      <w:r>
        <w:rPr>
          <w:sz w:val="18"/>
        </w:rPr>
        <w:t>）</w:t>
      </w:r>
    </w:p>
    <w:p>
      <w:pPr>
        <w:pStyle w:val="ListParagraph"/>
        <w:numPr>
          <w:ilvl w:val="1"/>
          <w:numId w:val="3"/>
        </w:numPr>
        <w:tabs>
          <w:tab w:pos="415" w:val="left" w:leader="none"/>
        </w:tabs>
        <w:spacing w:line="206" w:lineRule="auto" w:before="11" w:after="0"/>
        <w:ind w:left="109" w:right="243" w:firstLine="0"/>
        <w:jc w:val="left"/>
        <w:rPr>
          <w:sz w:val="18"/>
        </w:rPr>
      </w:pPr>
      <w:r>
        <w:rPr>
          <w:spacing w:val="-5"/>
          <w:sz w:val="18"/>
        </w:rPr>
        <w:t>将</w:t>
      </w:r>
      <w:r>
        <w:rPr>
          <w:rFonts w:ascii="Times New Roman" w:eastAsia="Times New Roman"/>
          <w:spacing w:val="-3"/>
          <w:sz w:val="18"/>
        </w:rPr>
        <w:t>PCR</w:t>
      </w:r>
      <w:r>
        <w:rPr>
          <w:spacing w:val="-5"/>
          <w:sz w:val="18"/>
        </w:rPr>
        <w:t>反应管放入扩增仪样品槽，按对应顺序设置阴性对照、阳性对照、阳性参照品</w:t>
      </w:r>
      <w:r>
        <w:rPr>
          <w:rFonts w:ascii="Times New Roman" w:eastAsia="Times New Roman"/>
          <w:spacing w:val="-3"/>
          <w:sz w:val="18"/>
        </w:rPr>
        <w:t>A</w:t>
      </w:r>
      <w:r>
        <w:rPr>
          <w:spacing w:val="-3"/>
          <w:sz w:val="18"/>
        </w:rPr>
        <w:t>～</w:t>
      </w:r>
      <w:r>
        <w:rPr>
          <w:rFonts w:ascii="Times New Roman" w:eastAsia="Times New Roman"/>
          <w:spacing w:val="-3"/>
          <w:sz w:val="18"/>
        </w:rPr>
        <w:t>D</w:t>
      </w:r>
      <w:r>
        <w:rPr>
          <w:spacing w:val="-5"/>
          <w:sz w:val="18"/>
        </w:rPr>
        <w:t>以及未知样本，并设置样本名称及阳性参照品浓度。</w:t>
      </w:r>
    </w:p>
    <w:p>
      <w:pPr>
        <w:pStyle w:val="ListParagraph"/>
        <w:numPr>
          <w:ilvl w:val="1"/>
          <w:numId w:val="3"/>
        </w:numPr>
        <w:tabs>
          <w:tab w:pos="412" w:val="left" w:leader="none"/>
        </w:tabs>
        <w:spacing w:line="193" w:lineRule="exact" w:before="0" w:after="0"/>
        <w:ind w:left="412" w:right="0" w:hanging="305"/>
        <w:jc w:val="left"/>
        <w:rPr>
          <w:sz w:val="18"/>
        </w:rPr>
      </w:pPr>
      <w:r>
        <w:rPr>
          <w:spacing w:val="-5"/>
          <w:sz w:val="18"/>
        </w:rPr>
        <w:t>荧光检测通道选择：</w:t>
      </w:r>
    </w:p>
    <w:p>
      <w:pPr>
        <w:pStyle w:val="ListParagraph"/>
        <w:numPr>
          <w:ilvl w:val="2"/>
          <w:numId w:val="3"/>
        </w:numPr>
        <w:tabs>
          <w:tab w:pos="489" w:val="left" w:leader="none"/>
        </w:tabs>
        <w:spacing w:line="200" w:lineRule="exact" w:before="0" w:after="0"/>
        <w:ind w:left="488" w:right="0" w:hanging="382"/>
        <w:jc w:val="left"/>
        <w:rPr>
          <w:sz w:val="18"/>
        </w:rPr>
      </w:pPr>
      <w:r>
        <w:rPr>
          <w:rFonts w:ascii="Times New Roman" w:eastAsia="Times New Roman"/>
          <w:spacing w:val="-3"/>
          <w:sz w:val="18"/>
        </w:rPr>
        <w:t>ABI</w:t>
      </w:r>
      <w:r>
        <w:rPr>
          <w:spacing w:val="-5"/>
          <w:sz w:val="18"/>
        </w:rPr>
        <w:t>、</w:t>
      </w:r>
      <w:r>
        <w:rPr>
          <w:rFonts w:ascii="Times New Roman" w:eastAsia="Times New Roman"/>
          <w:sz w:val="18"/>
        </w:rPr>
        <w:t>Stratagene</w:t>
      </w:r>
      <w:r>
        <w:rPr>
          <w:rFonts w:ascii="Times New Roman" w:eastAsia="Times New Roman"/>
          <w:spacing w:val="-6"/>
          <w:sz w:val="18"/>
        </w:rPr>
        <w:t> </w:t>
      </w:r>
      <w:r>
        <w:rPr>
          <w:spacing w:val="-4"/>
          <w:sz w:val="18"/>
        </w:rPr>
        <w:t>系列仪器：</w:t>
      </w:r>
    </w:p>
    <w:p>
      <w:pPr>
        <w:pStyle w:val="BodyText"/>
        <w:spacing w:line="215" w:lineRule="exact"/>
        <w:ind w:left="460"/>
        <w:rPr>
          <w:rFonts w:ascii="Times New Roman" w:eastAsia="Times New Roman"/>
        </w:rPr>
      </w:pPr>
      <w:r>
        <w:rPr>
          <w:spacing w:val="-5"/>
        </w:rPr>
        <w:t>选择 </w:t>
      </w:r>
      <w:r>
        <w:rPr>
          <w:rFonts w:ascii="Times New Roman" w:eastAsia="Times New Roman"/>
          <w:spacing w:val="-6"/>
        </w:rPr>
        <w:t>FAM </w:t>
      </w:r>
      <w:r>
        <w:rPr>
          <w:spacing w:val="17"/>
        </w:rPr>
        <w:t>通道</w:t>
      </w:r>
      <w:r>
        <w:rPr/>
        <w:t>（</w:t>
      </w:r>
      <w:r>
        <w:rPr>
          <w:spacing w:val="-74"/>
        </w:rPr>
        <w:t> </w:t>
      </w:r>
      <w:r>
        <w:rPr>
          <w:rFonts w:ascii="Times New Roman" w:eastAsia="Times New Roman"/>
          <w:spacing w:val="-4"/>
        </w:rPr>
        <w:t>Reporter:FAM</w:t>
      </w:r>
      <w:r>
        <w:rPr>
          <w:rFonts w:ascii="Times New Roman" w:eastAsia="Times New Roman"/>
          <w:spacing w:val="6"/>
        </w:rPr>
        <w:t>, </w:t>
      </w:r>
      <w:r>
        <w:rPr>
          <w:rFonts w:ascii="Times New Roman" w:eastAsia="Times New Roman"/>
        </w:rPr>
        <w:t>Quencher:none</w:t>
      </w:r>
      <w:r>
        <w:rPr/>
        <w:t>）</w:t>
      </w:r>
      <w:r>
        <w:rPr>
          <w:spacing w:val="6"/>
        </w:rPr>
        <w:t> 检测肺炎支原体</w:t>
      </w:r>
      <w:r>
        <w:rPr>
          <w:rFonts w:ascii="Times New Roman" w:eastAsia="Times New Roman"/>
          <w:spacing w:val="3"/>
        </w:rPr>
        <w:t>-DNA</w:t>
      </w:r>
      <w:r>
        <w:rPr>
          <w:spacing w:val="-36"/>
        </w:rPr>
        <w:t>； </w:t>
      </w:r>
      <w:r>
        <w:rPr>
          <w:rFonts w:ascii="Times New Roman" w:eastAsia="Times New Roman"/>
        </w:rPr>
        <w:t>2 </w:t>
      </w:r>
      <w:r>
        <w:rPr/>
        <w:t>）</w:t>
      </w:r>
      <w:r>
        <w:rPr>
          <w:spacing w:val="-22"/>
        </w:rPr>
        <w:t> 选择 </w:t>
      </w:r>
      <w:r>
        <w:rPr>
          <w:rFonts w:ascii="Times New Roman" w:eastAsia="Times New Roman"/>
        </w:rPr>
        <w:t>HEX </w:t>
      </w:r>
      <w:r>
        <w:rPr>
          <w:spacing w:val="-14"/>
        </w:rPr>
        <w:t>或 </w:t>
      </w:r>
      <w:r>
        <w:rPr>
          <w:rFonts w:ascii="Times New Roman" w:eastAsia="Times New Roman"/>
        </w:rPr>
        <w:t>VIC </w:t>
      </w:r>
      <w:r>
        <w:rPr>
          <w:spacing w:val="17"/>
        </w:rPr>
        <w:t>通道</w:t>
      </w:r>
      <w:r>
        <w:rPr/>
        <w:t>（</w:t>
      </w:r>
      <w:r>
        <w:rPr>
          <w:spacing w:val="-74"/>
        </w:rPr>
        <w:t> </w:t>
      </w:r>
      <w:r>
        <w:rPr>
          <w:rFonts w:ascii="Times New Roman" w:eastAsia="Times New Roman"/>
          <w:spacing w:val="-3"/>
        </w:rPr>
        <w:t>Reporter:HEX/VIC,</w:t>
      </w:r>
    </w:p>
    <w:p>
      <w:pPr>
        <w:spacing w:after="0" w:line="215" w:lineRule="exact"/>
        <w:rPr>
          <w:rFonts w:ascii="Times New Roman" w:eastAsia="Times New Roman"/>
        </w:rPr>
        <w:sectPr>
          <w:type w:val="continuous"/>
          <w:pgSz w:w="11910" w:h="16840"/>
          <w:pgMar w:top="660" w:bottom="660" w:left="800" w:right="700"/>
        </w:sectPr>
      </w:pPr>
    </w:p>
    <w:p>
      <w:pPr>
        <w:pStyle w:val="BodyText"/>
        <w:spacing w:line="240" w:lineRule="auto" w:before="9"/>
        <w:ind w:left="0"/>
        <w:rPr>
          <w:rFonts w:ascii="Times New Roman"/>
          <w:sz w:val="3"/>
        </w:rPr>
      </w:pPr>
    </w:p>
    <w:p>
      <w:pPr>
        <w:pStyle w:val="BodyText"/>
        <w:spacing w:line="20" w:lineRule="exact"/>
        <w:ind w:left="99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504.6pt;height:.75pt;mso-position-horizontal-relative:char;mso-position-vertical-relative:line" coordorigin="0,0" coordsize="10092,15">
            <v:line style="position:absolute" from="0,7" to="10092,7" stroked="true" strokeweight=".72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pStyle w:val="BodyText"/>
        <w:spacing w:line="191" w:lineRule="exact"/>
      </w:pPr>
      <w:r>
        <w:rPr>
          <w:rFonts w:ascii="Times New Roman" w:eastAsia="Times New Roman"/>
        </w:rPr>
        <w:t>Quencher:none</w:t>
      </w:r>
      <w:r>
        <w:rPr/>
        <w:t>）检测内标；</w:t>
      </w:r>
      <w:r>
        <w:rPr>
          <w:rFonts w:ascii="Times New Roman" w:eastAsia="Times New Roman"/>
        </w:rPr>
        <w:t>3</w:t>
      </w:r>
      <w:r>
        <w:rPr/>
        <w:t>）参比荧光（</w:t>
      </w:r>
      <w:r>
        <w:rPr>
          <w:rFonts w:ascii="Times New Roman" w:eastAsia="Times New Roman"/>
        </w:rPr>
        <w:t>Passive Reference</w:t>
      </w:r>
      <w:r>
        <w:rPr/>
        <w:t>）设置为</w:t>
      </w:r>
      <w:r>
        <w:rPr>
          <w:rFonts w:ascii="Times New Roman" w:eastAsia="Times New Roman"/>
        </w:rPr>
        <w:t>none</w:t>
      </w:r>
      <w:r>
        <w:rPr/>
        <w:t>。设置</w:t>
      </w:r>
      <w:r>
        <w:rPr>
          <w:rFonts w:ascii="Times New Roman" w:eastAsia="Times New Roman"/>
        </w:rPr>
        <w:t>Sample Volume </w:t>
      </w:r>
      <w:r>
        <w:rPr/>
        <w:t>为 </w:t>
      </w:r>
      <w:r>
        <w:rPr>
          <w:rFonts w:ascii="Times New Roman" w:eastAsia="Times New Roman"/>
        </w:rPr>
        <w:t>50</w:t>
      </w:r>
      <w:r>
        <w:rPr/>
        <w:t>。</w:t>
      </w:r>
    </w:p>
    <w:p>
      <w:pPr>
        <w:pStyle w:val="ListParagraph"/>
        <w:numPr>
          <w:ilvl w:val="2"/>
          <w:numId w:val="3"/>
        </w:numPr>
        <w:tabs>
          <w:tab w:pos="501" w:val="left" w:leader="none"/>
        </w:tabs>
        <w:spacing w:line="200" w:lineRule="exact" w:before="0" w:after="0"/>
        <w:ind w:left="500" w:right="0" w:hanging="394"/>
        <w:jc w:val="left"/>
        <w:rPr>
          <w:sz w:val="18"/>
        </w:rPr>
      </w:pPr>
      <w:r>
        <w:rPr>
          <w:rFonts w:ascii="Times New Roman" w:eastAsia="Times New Roman"/>
          <w:spacing w:val="-3"/>
          <w:sz w:val="18"/>
        </w:rPr>
        <w:t>Roche</w:t>
      </w:r>
      <w:r>
        <w:rPr>
          <w:rFonts w:ascii="Times New Roman" w:eastAsia="Times New Roman"/>
          <w:spacing w:val="-5"/>
          <w:sz w:val="18"/>
        </w:rPr>
        <w:t> </w:t>
      </w:r>
      <w:r>
        <w:rPr>
          <w:rFonts w:ascii="Times New Roman" w:eastAsia="Times New Roman"/>
          <w:spacing w:val="-3"/>
          <w:sz w:val="18"/>
        </w:rPr>
        <w:t>LightCycler480</w:t>
      </w:r>
      <w:r>
        <w:rPr>
          <w:rFonts w:ascii="Times New Roman" w:eastAsia="Times New Roman"/>
          <w:spacing w:val="-6"/>
          <w:sz w:val="18"/>
        </w:rPr>
        <w:t> </w:t>
      </w:r>
      <w:r>
        <w:rPr>
          <w:spacing w:val="-3"/>
          <w:sz w:val="18"/>
        </w:rPr>
        <w:t>仪器：</w:t>
      </w:r>
    </w:p>
    <w:p>
      <w:pPr>
        <w:pStyle w:val="BodyText"/>
        <w:spacing w:line="199" w:lineRule="exact"/>
        <w:ind w:left="0" w:right="201"/>
        <w:jc w:val="right"/>
        <w:rPr>
          <w:rFonts w:ascii="Times New Roman" w:eastAsia="Times New Roman"/>
        </w:rPr>
      </w:pPr>
      <w:r>
        <w:rPr>
          <w:spacing w:val="17"/>
        </w:rPr>
        <w:t>选择</w:t>
      </w:r>
      <w:r>
        <w:rPr>
          <w:rFonts w:ascii="Times New Roman" w:eastAsia="Times New Roman"/>
        </w:rPr>
        <w:t>New</w:t>
      </w:r>
      <w:r>
        <w:rPr>
          <w:rFonts w:ascii="Times New Roman" w:eastAsia="Times New Roman"/>
          <w:spacing w:val="-10"/>
        </w:rPr>
        <w:t> </w:t>
      </w:r>
      <w:r>
        <w:rPr>
          <w:rFonts w:ascii="Times New Roman" w:eastAsia="Times New Roman"/>
          <w:spacing w:val="-3"/>
        </w:rPr>
        <w:t>Experiment</w:t>
      </w:r>
      <w:r>
        <w:rPr>
          <w:rFonts w:ascii="Times New Roman" w:eastAsia="Times New Roman"/>
          <w:spacing w:val="15"/>
        </w:rPr>
        <w:t>, </w:t>
      </w:r>
      <w:r>
        <w:rPr>
          <w:spacing w:val="38"/>
        </w:rPr>
        <w:t>在</w:t>
      </w:r>
      <w:r>
        <w:rPr>
          <w:rFonts w:ascii="Times New Roman" w:eastAsia="Times New Roman"/>
        </w:rPr>
        <w:t>setup</w:t>
      </w:r>
      <w:r>
        <w:rPr>
          <w:rFonts w:ascii="Times New Roman" w:eastAsia="Times New Roman"/>
          <w:spacing w:val="-6"/>
        </w:rPr>
        <w:t> </w:t>
      </w:r>
      <w:r>
        <w:rPr>
          <w:spacing w:val="6"/>
        </w:rPr>
        <w:t>设置面板</w:t>
      </w:r>
      <w:r>
        <w:rPr>
          <w:rFonts w:ascii="Times New Roman" w:eastAsia="Times New Roman"/>
        </w:rPr>
        <w:t>Detection</w:t>
      </w:r>
      <w:r>
        <w:rPr>
          <w:rFonts w:ascii="Times New Roman" w:eastAsia="Times New Roman"/>
          <w:spacing w:val="-8"/>
        </w:rPr>
        <w:t> </w:t>
      </w:r>
      <w:r>
        <w:rPr>
          <w:rFonts w:ascii="Times New Roman" w:eastAsia="Times New Roman"/>
          <w:spacing w:val="-3"/>
        </w:rPr>
        <w:t>format</w:t>
      </w:r>
      <w:r>
        <w:rPr>
          <w:rFonts w:ascii="Times New Roman" w:eastAsia="Times New Roman"/>
          <w:spacing w:val="-7"/>
        </w:rPr>
        <w:t> </w:t>
      </w:r>
      <w:r>
        <w:rPr>
          <w:spacing w:val="1"/>
        </w:rPr>
        <w:t>下拉菜单中选择</w:t>
      </w:r>
      <w:r>
        <w:rPr>
          <w:rFonts w:ascii="Times New Roman" w:eastAsia="Times New Roman"/>
        </w:rPr>
        <w:t>Dual</w:t>
      </w:r>
      <w:r>
        <w:rPr>
          <w:rFonts w:ascii="Times New Roman" w:eastAsia="Times New Roman"/>
          <w:spacing w:val="-9"/>
        </w:rPr>
        <w:t> </w:t>
      </w:r>
      <w:r>
        <w:rPr>
          <w:rFonts w:ascii="Times New Roman" w:eastAsia="Times New Roman"/>
        </w:rPr>
        <w:t>Color</w:t>
      </w:r>
      <w:r>
        <w:rPr>
          <w:rFonts w:ascii="Times New Roman" w:eastAsia="Times New Roman"/>
          <w:spacing w:val="-10"/>
        </w:rPr>
        <w:t> </w:t>
      </w:r>
      <w:r>
        <w:rPr>
          <w:rFonts w:ascii="Times New Roman" w:eastAsia="Times New Roman"/>
          <w:spacing w:val="-3"/>
        </w:rPr>
        <w:t>Hydrolysis</w:t>
      </w:r>
      <w:r>
        <w:rPr>
          <w:rFonts w:ascii="Times New Roman" w:eastAsia="Times New Roman"/>
          <w:spacing w:val="-7"/>
        </w:rPr>
        <w:t> </w:t>
      </w:r>
      <w:r>
        <w:rPr>
          <w:rFonts w:ascii="Times New Roman" w:eastAsia="Times New Roman"/>
        </w:rPr>
        <w:t>Probe/UPL</w:t>
      </w:r>
      <w:r>
        <w:rPr>
          <w:rFonts w:ascii="Times New Roman" w:eastAsia="Times New Roman"/>
          <w:spacing w:val="-18"/>
        </w:rPr>
        <w:t> </w:t>
      </w:r>
      <w:r>
        <w:rPr>
          <w:rFonts w:ascii="Times New Roman" w:eastAsia="Times New Roman"/>
          <w:spacing w:val="-7"/>
        </w:rPr>
        <w:t>Probe</w:t>
      </w:r>
      <w:r>
        <w:rPr>
          <w:spacing w:val="-20"/>
        </w:rPr>
        <w:t>，在 </w:t>
      </w:r>
      <w:r>
        <w:rPr>
          <w:rFonts w:ascii="Times New Roman" w:eastAsia="Times New Roman"/>
          <w:spacing w:val="-3"/>
        </w:rPr>
        <w:t>Customize</w:t>
      </w:r>
    </w:p>
    <w:p>
      <w:pPr>
        <w:pStyle w:val="BodyText"/>
        <w:ind w:left="0" w:right="171"/>
        <w:jc w:val="right"/>
      </w:pPr>
      <w:r>
        <w:rPr>
          <w:spacing w:val="-5"/>
        </w:rPr>
        <w:t>下拉菜单中：</w:t>
      </w:r>
      <w:r>
        <w:rPr>
          <w:rFonts w:ascii="Times New Roman" w:eastAsia="Times New Roman"/>
          <w:spacing w:val="-4"/>
        </w:rPr>
        <w:t>1</w:t>
      </w:r>
      <w:r>
        <w:rPr>
          <w:spacing w:val="-4"/>
        </w:rPr>
        <w:t>）</w:t>
      </w:r>
      <w:r>
        <w:rPr>
          <w:spacing w:val="17"/>
        </w:rPr>
        <w:t>选择</w:t>
      </w:r>
      <w:r>
        <w:rPr>
          <w:rFonts w:ascii="Times New Roman" w:eastAsia="Times New Roman"/>
          <w:spacing w:val="-6"/>
        </w:rPr>
        <w:t>FAM</w:t>
      </w:r>
      <w:r>
        <w:rPr>
          <w:rFonts w:ascii="Times New Roman" w:eastAsia="Times New Roman"/>
          <w:spacing w:val="-9"/>
        </w:rPr>
        <w:t> </w:t>
      </w:r>
      <w:r>
        <w:rPr>
          <w:spacing w:val="-4"/>
        </w:rPr>
        <w:t>通道检测肺炎支原体</w:t>
      </w:r>
      <w:r>
        <w:rPr>
          <w:rFonts w:ascii="Times New Roman" w:eastAsia="Times New Roman"/>
          <w:spacing w:val="-4"/>
        </w:rPr>
        <w:t>-DNA</w:t>
      </w:r>
      <w:r>
        <w:rPr>
          <w:spacing w:val="-4"/>
        </w:rPr>
        <w:t>；</w:t>
      </w:r>
      <w:r>
        <w:rPr>
          <w:rFonts w:ascii="Times New Roman" w:eastAsia="Times New Roman"/>
          <w:spacing w:val="-4"/>
        </w:rPr>
        <w:t>2</w:t>
      </w:r>
      <w:r>
        <w:rPr>
          <w:spacing w:val="-4"/>
        </w:rPr>
        <w:t>）</w:t>
      </w:r>
      <w:r>
        <w:rPr>
          <w:spacing w:val="17"/>
        </w:rPr>
        <w:t>选择</w:t>
      </w:r>
      <w:r>
        <w:rPr>
          <w:rFonts w:ascii="Times New Roman" w:eastAsia="Times New Roman"/>
        </w:rPr>
        <w:t>VIC/HEX</w:t>
      </w:r>
      <w:r>
        <w:rPr>
          <w:rFonts w:ascii="Times New Roman" w:eastAsia="Times New Roman"/>
          <w:spacing w:val="-9"/>
        </w:rPr>
        <w:t> </w:t>
      </w:r>
      <w:r>
        <w:rPr>
          <w:rFonts w:ascii="Times New Roman" w:eastAsia="Times New Roman"/>
          <w:spacing w:val="-5"/>
        </w:rPr>
        <w:t>/Yellow</w:t>
      </w:r>
      <w:r>
        <w:rPr>
          <w:rFonts w:ascii="Times New Roman" w:eastAsia="Times New Roman"/>
          <w:spacing w:val="-8"/>
        </w:rPr>
        <w:t> </w:t>
      </w:r>
      <w:r>
        <w:rPr>
          <w:rFonts w:ascii="Times New Roman" w:eastAsia="Times New Roman"/>
        </w:rPr>
        <w:t>555</w:t>
      </w:r>
      <w:r>
        <w:rPr>
          <w:rFonts w:ascii="Times New Roman" w:eastAsia="Times New Roman"/>
          <w:spacing w:val="-9"/>
        </w:rPr>
        <w:t> </w:t>
      </w:r>
      <w:r>
        <w:rPr>
          <w:spacing w:val="-1"/>
        </w:rPr>
        <w:t>通道检测内标。设置</w:t>
      </w:r>
      <w:r>
        <w:rPr>
          <w:rFonts w:ascii="Times New Roman" w:eastAsia="Times New Roman"/>
        </w:rPr>
        <w:t>Reaction</w:t>
      </w:r>
      <w:r>
        <w:rPr>
          <w:rFonts w:ascii="Times New Roman" w:eastAsia="Times New Roman"/>
          <w:spacing w:val="-10"/>
        </w:rPr>
        <w:t> </w:t>
      </w:r>
      <w:r>
        <w:rPr>
          <w:rFonts w:ascii="Times New Roman" w:eastAsia="Times New Roman"/>
          <w:spacing w:val="-6"/>
        </w:rPr>
        <w:t>Volume</w:t>
      </w:r>
      <w:r>
        <w:rPr>
          <w:rFonts w:ascii="Times New Roman" w:eastAsia="Times New Roman"/>
          <w:spacing w:val="-8"/>
        </w:rPr>
        <w:t> </w:t>
      </w:r>
      <w:r>
        <w:rPr>
          <w:spacing w:val="-27"/>
        </w:rPr>
        <w:t>为 </w:t>
      </w:r>
      <w:r>
        <w:rPr>
          <w:rFonts w:ascii="Times New Roman" w:eastAsia="Times New Roman"/>
          <w:spacing w:val="-3"/>
        </w:rPr>
        <w:t>50</w:t>
      </w:r>
      <w:r>
        <w:rPr/>
        <w:t>。</w:t>
      </w:r>
    </w:p>
    <w:p>
      <w:pPr>
        <w:pStyle w:val="ListParagraph"/>
        <w:numPr>
          <w:ilvl w:val="1"/>
          <w:numId w:val="3"/>
        </w:numPr>
        <w:tabs>
          <w:tab w:pos="412" w:val="left" w:leader="none"/>
        </w:tabs>
        <w:spacing w:line="200" w:lineRule="exact" w:before="0" w:after="0"/>
        <w:ind w:left="412" w:right="0" w:hanging="305"/>
        <w:jc w:val="left"/>
        <w:rPr>
          <w:sz w:val="18"/>
        </w:rPr>
      </w:pPr>
      <w:r>
        <w:rPr>
          <w:spacing w:val="-5"/>
          <w:sz w:val="18"/>
        </w:rPr>
        <w:t>循环参数设定</w:t>
      </w:r>
      <w:r>
        <w:rPr>
          <w:sz w:val="18"/>
        </w:rPr>
        <w:t>（不同仪器，时间参数不同，见下表</w:t>
      </w:r>
      <w:r>
        <w:rPr>
          <w:spacing w:val="-92"/>
          <w:sz w:val="18"/>
        </w:rPr>
        <w:t>）</w:t>
      </w:r>
      <w:r>
        <w:rPr>
          <w:sz w:val="18"/>
        </w:rPr>
        <w:t>：</w:t>
      </w:r>
    </w:p>
    <w:p>
      <w:pPr>
        <w:pStyle w:val="ListParagraph"/>
        <w:numPr>
          <w:ilvl w:val="2"/>
          <w:numId w:val="3"/>
        </w:numPr>
        <w:tabs>
          <w:tab w:pos="638" w:val="left" w:leader="none"/>
        </w:tabs>
        <w:spacing w:line="215" w:lineRule="exact" w:before="0" w:after="0"/>
        <w:ind w:left="637" w:right="0" w:hanging="531"/>
        <w:jc w:val="left"/>
        <w:rPr>
          <w:sz w:val="18"/>
        </w:rPr>
      </w:pPr>
      <w:r>
        <w:rPr>
          <w:rFonts w:ascii="Times New Roman" w:eastAsia="Times New Roman"/>
          <w:sz w:val="18"/>
        </w:rPr>
        <w:t>ABI</w:t>
      </w:r>
      <w:r>
        <w:rPr>
          <w:sz w:val="18"/>
        </w:rPr>
        <w:t>、</w:t>
      </w:r>
      <w:r>
        <w:rPr>
          <w:rFonts w:ascii="Times New Roman" w:eastAsia="Times New Roman"/>
          <w:sz w:val="18"/>
        </w:rPr>
        <w:t>Stratagene</w:t>
      </w:r>
      <w:r>
        <w:rPr>
          <w:rFonts w:ascii="Times New Roman" w:eastAsia="Times New Roman"/>
          <w:spacing w:val="-2"/>
          <w:sz w:val="18"/>
        </w:rPr>
        <w:t> </w:t>
      </w:r>
      <w:r>
        <w:rPr>
          <w:sz w:val="18"/>
        </w:rPr>
        <w:t>仪器参数设计</w:t>
      </w:r>
    </w:p>
    <w:tbl>
      <w:tblPr>
        <w:tblW w:w="0" w:type="auto"/>
        <w:jc w:val="left"/>
        <w:tblInd w:w="1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"/>
        <w:gridCol w:w="3004"/>
        <w:gridCol w:w="894"/>
        <w:gridCol w:w="2245"/>
        <w:gridCol w:w="916"/>
      </w:tblGrid>
      <w:tr>
        <w:trPr>
          <w:trHeight w:val="330" w:hRule="atLeast"/>
        </w:trPr>
        <w:tc>
          <w:tcPr>
            <w:tcW w:w="3340" w:type="dxa"/>
            <w:gridSpan w:val="2"/>
          </w:tcPr>
          <w:p>
            <w:pPr>
              <w:pStyle w:val="TableParagraph"/>
              <w:spacing w:line="240" w:lineRule="auto" w:before="35"/>
              <w:ind w:left="1471" w:right="1459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步骤</w:t>
            </w:r>
          </w:p>
        </w:tc>
        <w:tc>
          <w:tcPr>
            <w:tcW w:w="894" w:type="dxa"/>
          </w:tcPr>
          <w:p>
            <w:pPr>
              <w:pStyle w:val="TableParagraph"/>
              <w:spacing w:line="240" w:lineRule="auto" w:before="35"/>
              <w:ind w:left="245" w:right="234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温度</w:t>
            </w:r>
          </w:p>
        </w:tc>
        <w:tc>
          <w:tcPr>
            <w:tcW w:w="2245" w:type="dxa"/>
          </w:tcPr>
          <w:p>
            <w:pPr>
              <w:pStyle w:val="TableParagraph"/>
              <w:spacing w:line="240" w:lineRule="auto" w:before="35"/>
              <w:ind w:left="945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时间</w:t>
            </w:r>
          </w:p>
        </w:tc>
        <w:tc>
          <w:tcPr>
            <w:tcW w:w="916" w:type="dxa"/>
          </w:tcPr>
          <w:p>
            <w:pPr>
              <w:pStyle w:val="TableParagraph"/>
              <w:spacing w:line="240" w:lineRule="auto" w:before="35"/>
              <w:ind w:left="170" w:right="156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循环数</w:t>
            </w:r>
          </w:p>
        </w:tc>
      </w:tr>
      <w:tr>
        <w:trPr>
          <w:trHeight w:val="200" w:hRule="atLeast"/>
        </w:trPr>
        <w:tc>
          <w:tcPr>
            <w:tcW w:w="336" w:type="dxa"/>
          </w:tcPr>
          <w:p>
            <w:pPr>
              <w:pStyle w:val="TableParagraph"/>
              <w:ind w:left="0" w:right="110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004" w:type="dxa"/>
          </w:tcPr>
          <w:p>
            <w:pPr>
              <w:pStyle w:val="TableParagraph"/>
              <w:ind w:left="10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UNG </w:t>
            </w:r>
            <w:r>
              <w:rPr>
                <w:rFonts w:ascii="宋体" w:eastAsia="宋体" w:hint="eastAsia"/>
                <w:sz w:val="18"/>
              </w:rPr>
              <w:t>酶反应</w:t>
            </w:r>
          </w:p>
        </w:tc>
        <w:tc>
          <w:tcPr>
            <w:tcW w:w="894" w:type="dxa"/>
          </w:tcPr>
          <w:p>
            <w:pPr>
              <w:pStyle w:val="TableParagraph"/>
              <w:ind w:left="243" w:right="236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2245" w:type="dxa"/>
          </w:tcPr>
          <w:p>
            <w:pPr>
              <w:pStyle w:val="TableParagraph"/>
              <w:ind w:left="852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2 </w:t>
            </w:r>
            <w:r>
              <w:rPr>
                <w:rFonts w:ascii="宋体" w:eastAsia="宋体" w:hint="eastAsia"/>
                <w:sz w:val="18"/>
              </w:rPr>
              <w:t>分钟</w:t>
            </w:r>
          </w:p>
        </w:tc>
        <w:tc>
          <w:tcPr>
            <w:tcW w:w="916" w:type="dxa"/>
          </w:tcPr>
          <w:p>
            <w:pPr>
              <w:pStyle w:val="TableParagraph"/>
              <w:ind w:left="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val="200" w:hRule="atLeast"/>
        </w:trPr>
        <w:tc>
          <w:tcPr>
            <w:tcW w:w="336" w:type="dxa"/>
          </w:tcPr>
          <w:p>
            <w:pPr>
              <w:pStyle w:val="TableParagraph"/>
              <w:ind w:left="0" w:right="110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004" w:type="dxa"/>
          </w:tcPr>
          <w:p>
            <w:pPr>
              <w:pStyle w:val="TableParagraph"/>
              <w:ind w:left="10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Taq </w:t>
            </w:r>
            <w:r>
              <w:rPr>
                <w:rFonts w:ascii="宋体" w:eastAsia="宋体" w:hint="eastAsia"/>
                <w:sz w:val="18"/>
              </w:rPr>
              <w:t>酶活化</w:t>
            </w:r>
          </w:p>
        </w:tc>
        <w:tc>
          <w:tcPr>
            <w:tcW w:w="894" w:type="dxa"/>
          </w:tcPr>
          <w:p>
            <w:pPr>
              <w:pStyle w:val="TableParagraph"/>
              <w:ind w:left="243" w:right="236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94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2245" w:type="dxa"/>
          </w:tcPr>
          <w:p>
            <w:pPr>
              <w:pStyle w:val="TableParagraph"/>
              <w:ind w:left="852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5 </w:t>
            </w:r>
            <w:r>
              <w:rPr>
                <w:rFonts w:ascii="宋体" w:eastAsia="宋体" w:hint="eastAsia"/>
                <w:sz w:val="18"/>
              </w:rPr>
              <w:t>分钟</w:t>
            </w:r>
          </w:p>
        </w:tc>
        <w:tc>
          <w:tcPr>
            <w:tcW w:w="916" w:type="dxa"/>
          </w:tcPr>
          <w:p>
            <w:pPr>
              <w:pStyle w:val="TableParagraph"/>
              <w:ind w:left="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val="200" w:hRule="atLeast"/>
        </w:trPr>
        <w:tc>
          <w:tcPr>
            <w:tcW w:w="336" w:type="dxa"/>
            <w:vMerge w:val="restart"/>
          </w:tcPr>
          <w:p>
            <w:pPr>
              <w:pStyle w:val="TableParagraph"/>
              <w:spacing w:line="240" w:lineRule="auto" w:before="86"/>
              <w:ind w:left="1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004" w:type="dxa"/>
          </w:tcPr>
          <w:p>
            <w:pPr>
              <w:pStyle w:val="TableParagraph"/>
              <w:ind w:left="10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变性</w:t>
            </w:r>
          </w:p>
        </w:tc>
        <w:tc>
          <w:tcPr>
            <w:tcW w:w="894" w:type="dxa"/>
          </w:tcPr>
          <w:p>
            <w:pPr>
              <w:pStyle w:val="TableParagraph"/>
              <w:ind w:left="243" w:right="236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94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2245" w:type="dxa"/>
          </w:tcPr>
          <w:p>
            <w:pPr>
              <w:pStyle w:val="TableParagraph"/>
              <w:ind w:left="895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15 </w:t>
            </w:r>
            <w:r>
              <w:rPr>
                <w:rFonts w:ascii="宋体" w:eastAsia="宋体" w:hint="eastAsia"/>
                <w:sz w:val="18"/>
              </w:rPr>
              <w:t>秒</w:t>
            </w:r>
          </w:p>
        </w:tc>
        <w:tc>
          <w:tcPr>
            <w:tcW w:w="916" w:type="dxa"/>
            <w:vMerge w:val="restart"/>
          </w:tcPr>
          <w:p>
            <w:pPr>
              <w:pStyle w:val="TableParagraph"/>
              <w:spacing w:line="240" w:lineRule="auto" w:before="86"/>
              <w:ind w:left="164" w:right="156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</w:tr>
      <w:tr>
        <w:trPr>
          <w:trHeight w:val="200" w:hRule="atLeast"/>
        </w:trPr>
        <w:tc>
          <w:tcPr>
            <w:tcW w:w="3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4" w:type="dxa"/>
          </w:tcPr>
          <w:p>
            <w:pPr>
              <w:pStyle w:val="TableParagraph"/>
              <w:ind w:left="10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退火，延伸，及荧光采集</w:t>
            </w:r>
          </w:p>
        </w:tc>
        <w:tc>
          <w:tcPr>
            <w:tcW w:w="894" w:type="dxa"/>
          </w:tcPr>
          <w:p>
            <w:pPr>
              <w:pStyle w:val="TableParagraph"/>
              <w:ind w:left="243" w:right="236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57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2245" w:type="dxa"/>
          </w:tcPr>
          <w:p>
            <w:pPr>
              <w:pStyle w:val="TableParagraph"/>
              <w:ind w:left="852"/>
              <w:jc w:val="left"/>
              <w:rPr>
                <w:sz w:val="18"/>
              </w:rPr>
            </w:pPr>
            <w:r>
              <w:rPr>
                <w:sz w:val="18"/>
              </w:rPr>
              <w:t>30 </w:t>
            </w:r>
            <w:r>
              <w:rPr>
                <w:rFonts w:ascii="宋体" w:eastAsia="宋体" w:hint="eastAsia"/>
                <w:sz w:val="18"/>
              </w:rPr>
              <w:t>秒</w:t>
            </w:r>
            <w:r>
              <w:rPr>
                <w:sz w:val="18"/>
              </w:rPr>
              <w:t>*</w:t>
            </w:r>
          </w:p>
        </w:tc>
        <w:tc>
          <w:tcPr>
            <w:tcW w:w="9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atLeast"/>
        </w:trPr>
        <w:tc>
          <w:tcPr>
            <w:tcW w:w="336" w:type="dxa"/>
          </w:tcPr>
          <w:p>
            <w:pPr>
              <w:pStyle w:val="TableParagraph"/>
              <w:ind w:left="0" w:right="110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004" w:type="dxa"/>
          </w:tcPr>
          <w:p>
            <w:pPr>
              <w:pStyle w:val="TableParagraph"/>
              <w:ind w:left="10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仪器冷却（可选）</w:t>
            </w:r>
          </w:p>
        </w:tc>
        <w:tc>
          <w:tcPr>
            <w:tcW w:w="894" w:type="dxa"/>
          </w:tcPr>
          <w:p>
            <w:pPr>
              <w:pStyle w:val="TableParagraph"/>
              <w:ind w:left="243" w:right="236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25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2245" w:type="dxa"/>
          </w:tcPr>
          <w:p>
            <w:pPr>
              <w:pStyle w:val="TableParagraph"/>
              <w:ind w:left="895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10 </w:t>
            </w:r>
            <w:r>
              <w:rPr>
                <w:rFonts w:ascii="宋体" w:eastAsia="宋体" w:hint="eastAsia"/>
                <w:sz w:val="18"/>
              </w:rPr>
              <w:t>秒</w:t>
            </w:r>
          </w:p>
        </w:tc>
        <w:tc>
          <w:tcPr>
            <w:tcW w:w="916" w:type="dxa"/>
          </w:tcPr>
          <w:p>
            <w:pPr>
              <w:pStyle w:val="TableParagraph"/>
              <w:ind w:left="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</w:tbl>
    <w:p>
      <w:pPr>
        <w:pStyle w:val="BodyText"/>
        <w:spacing w:line="185" w:lineRule="exact"/>
        <w:ind w:left="1427"/>
        <w:rPr>
          <w:rFonts w:ascii="Times New Roman" w:eastAsia="Times New Roman"/>
        </w:rPr>
      </w:pPr>
      <w:r>
        <w:rPr>
          <w:rFonts w:ascii="Times New Roman" w:eastAsia="Times New Roman"/>
        </w:rPr>
        <w:t>(*</w:t>
      </w:r>
      <w:r>
        <w:rPr/>
        <w:t>注：由于</w:t>
      </w:r>
      <w:r>
        <w:rPr>
          <w:rFonts w:ascii="Times New Roman" w:eastAsia="Times New Roman"/>
        </w:rPr>
        <w:t>ABI7500 </w:t>
      </w:r>
      <w:r>
        <w:rPr/>
        <w:t>仪器原因，不能设置为 </w:t>
      </w:r>
      <w:r>
        <w:rPr>
          <w:rFonts w:ascii="Times New Roman" w:eastAsia="Times New Roman"/>
        </w:rPr>
        <w:t>30 </w:t>
      </w:r>
      <w:r>
        <w:rPr/>
        <w:t>秒，可以设置为 </w:t>
      </w:r>
      <w:r>
        <w:rPr>
          <w:rFonts w:ascii="Times New Roman" w:eastAsia="Times New Roman"/>
        </w:rPr>
        <w:t>31 </w:t>
      </w:r>
      <w:r>
        <w:rPr/>
        <w:t>秒或 </w:t>
      </w:r>
      <w:r>
        <w:rPr>
          <w:rFonts w:ascii="Times New Roman" w:eastAsia="Times New Roman"/>
        </w:rPr>
        <w:t>32 </w:t>
      </w:r>
      <w:r>
        <w:rPr/>
        <w:t>秒。</w:t>
      </w:r>
      <w:r>
        <w:rPr>
          <w:rFonts w:ascii="Times New Roman" w:eastAsia="Times New Roman"/>
        </w:rPr>
        <w:t>)</w:t>
      </w:r>
    </w:p>
    <w:p>
      <w:pPr>
        <w:pStyle w:val="ListParagraph"/>
        <w:numPr>
          <w:ilvl w:val="2"/>
          <w:numId w:val="3"/>
        </w:numPr>
        <w:tabs>
          <w:tab w:pos="648" w:val="left" w:leader="none"/>
        </w:tabs>
        <w:spacing w:line="215" w:lineRule="exact" w:before="0" w:after="0"/>
        <w:ind w:left="647" w:right="0" w:hanging="541"/>
        <w:jc w:val="left"/>
        <w:rPr>
          <w:rFonts w:ascii="Times New Roman" w:eastAsia="Times New Roman"/>
          <w:sz w:val="18"/>
        </w:rPr>
      </w:pPr>
      <w:r>
        <w:rPr>
          <w:rFonts w:ascii="Times New Roman" w:eastAsia="Times New Roman"/>
          <w:sz w:val="18"/>
        </w:rPr>
        <w:t>LightCycler</w:t>
      </w:r>
      <w:r>
        <w:rPr>
          <w:rFonts w:ascii="Times New Roman" w:eastAsia="Times New Roman"/>
          <w:spacing w:val="-1"/>
          <w:sz w:val="18"/>
        </w:rPr>
        <w:t> </w:t>
      </w:r>
      <w:r>
        <w:rPr>
          <w:rFonts w:ascii="Times New Roman" w:eastAsia="Times New Roman"/>
          <w:sz w:val="18"/>
        </w:rPr>
        <w:t>480</w:t>
      </w:r>
      <w:r>
        <w:rPr>
          <w:rFonts w:ascii="Times New Roman" w:eastAsia="Times New Roman"/>
          <w:spacing w:val="-1"/>
          <w:sz w:val="18"/>
        </w:rPr>
        <w:t> </w:t>
      </w:r>
      <w:r>
        <w:rPr>
          <w:sz w:val="18"/>
        </w:rPr>
        <w:t>仪器参数设计</w:t>
      </w:r>
      <w:r>
        <w:rPr>
          <w:rFonts w:ascii="Times New Roman" w:eastAsia="Times New Roman"/>
          <w:sz w:val="18"/>
        </w:rPr>
        <w:t>(</w:t>
      </w:r>
      <w:r>
        <w:rPr>
          <w:sz w:val="18"/>
        </w:rPr>
        <w:t>没有列出的参数，选仪器默认值</w:t>
      </w:r>
      <w:r>
        <w:rPr>
          <w:rFonts w:ascii="Times New Roman" w:eastAsia="Times New Roman"/>
          <w:sz w:val="18"/>
        </w:rPr>
        <w:t>)</w:t>
      </w:r>
    </w:p>
    <w:tbl>
      <w:tblPr>
        <w:tblW w:w="0" w:type="auto"/>
        <w:jc w:val="left"/>
        <w:tblInd w:w="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6"/>
        <w:gridCol w:w="1328"/>
        <w:gridCol w:w="1919"/>
        <w:gridCol w:w="1593"/>
        <w:gridCol w:w="992"/>
        <w:gridCol w:w="1701"/>
      </w:tblGrid>
      <w:tr>
        <w:trPr>
          <w:trHeight w:val="200" w:hRule="atLeast"/>
        </w:trPr>
        <w:tc>
          <w:tcPr>
            <w:tcW w:w="1446" w:type="dxa"/>
          </w:tcPr>
          <w:p>
            <w:pPr>
              <w:pStyle w:val="TableParagraph"/>
              <w:ind w:left="274" w:right="263"/>
              <w:rPr>
                <w:sz w:val="18"/>
              </w:rPr>
            </w:pPr>
            <w:r>
              <w:rPr>
                <w:sz w:val="18"/>
              </w:rPr>
              <w:t>Program</w:t>
            </w:r>
          </w:p>
        </w:tc>
        <w:tc>
          <w:tcPr>
            <w:tcW w:w="1328" w:type="dxa"/>
          </w:tcPr>
          <w:p>
            <w:pPr>
              <w:pStyle w:val="TableParagraph"/>
              <w:ind w:left="238" w:right="225"/>
              <w:rPr>
                <w:sz w:val="18"/>
              </w:rPr>
            </w:pPr>
            <w:r>
              <w:rPr>
                <w:sz w:val="18"/>
              </w:rPr>
              <w:t>Target (</w:t>
            </w:r>
            <w:r>
              <w:rPr>
                <w:rFonts w:ascii="宋体" w:hAnsi="宋体"/>
                <w:sz w:val="18"/>
              </w:rPr>
              <w:t>℃</w:t>
            </w:r>
            <w:r>
              <w:rPr>
                <w:sz w:val="18"/>
              </w:rPr>
              <w:t>)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Acquisition Mode</w:t>
            </w:r>
          </w:p>
        </w:tc>
        <w:tc>
          <w:tcPr>
            <w:tcW w:w="1593" w:type="dxa"/>
          </w:tcPr>
          <w:p>
            <w:pPr>
              <w:pStyle w:val="TableParagraph"/>
              <w:ind w:left="187" w:right="175"/>
              <w:rPr>
                <w:sz w:val="18"/>
              </w:rPr>
            </w:pPr>
            <w:r>
              <w:rPr>
                <w:sz w:val="18"/>
              </w:rPr>
              <w:t>Hold(hh:mm:ss)</w:t>
            </w:r>
          </w:p>
        </w:tc>
        <w:tc>
          <w:tcPr>
            <w:tcW w:w="992" w:type="dxa"/>
          </w:tcPr>
          <w:p>
            <w:pPr>
              <w:pStyle w:val="TableParagraph"/>
              <w:ind w:left="231" w:right="221"/>
              <w:rPr>
                <w:sz w:val="18"/>
              </w:rPr>
            </w:pPr>
            <w:r>
              <w:rPr>
                <w:sz w:val="18"/>
              </w:rPr>
              <w:t>Cycles</w:t>
            </w:r>
          </w:p>
        </w:tc>
        <w:tc>
          <w:tcPr>
            <w:tcW w:w="1701" w:type="dxa"/>
          </w:tcPr>
          <w:p>
            <w:pPr>
              <w:pStyle w:val="TableParagraph"/>
              <w:ind w:left="284" w:right="272"/>
              <w:rPr>
                <w:sz w:val="18"/>
              </w:rPr>
            </w:pPr>
            <w:r>
              <w:rPr>
                <w:sz w:val="18"/>
              </w:rPr>
              <w:t>Analysis Mode</w:t>
            </w:r>
          </w:p>
        </w:tc>
      </w:tr>
      <w:tr>
        <w:trPr>
          <w:trHeight w:val="200" w:hRule="atLeast"/>
        </w:trPr>
        <w:tc>
          <w:tcPr>
            <w:tcW w:w="1446" w:type="dxa"/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28" w:type="dxa"/>
          </w:tcPr>
          <w:p>
            <w:pPr>
              <w:pStyle w:val="TableParagraph"/>
              <w:ind w:left="234" w:right="225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1593" w:type="dxa"/>
          </w:tcPr>
          <w:p>
            <w:pPr>
              <w:pStyle w:val="TableParagraph"/>
              <w:ind w:left="183" w:right="175"/>
              <w:rPr>
                <w:sz w:val="18"/>
              </w:rPr>
            </w:pPr>
            <w:r>
              <w:rPr>
                <w:sz w:val="18"/>
              </w:rPr>
              <w:t>00:02:00</w:t>
            </w:r>
          </w:p>
        </w:tc>
        <w:tc>
          <w:tcPr>
            <w:tcW w:w="992" w:type="dxa"/>
          </w:tcPr>
          <w:p>
            <w:pPr>
              <w:pStyle w:val="TableParagraph"/>
              <w:ind w:left="1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01" w:type="dxa"/>
          </w:tcPr>
          <w:p>
            <w:pPr>
              <w:pStyle w:val="TableParagraph"/>
              <w:ind w:left="282" w:right="272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</w:tr>
      <w:tr>
        <w:trPr>
          <w:trHeight w:val="200" w:hRule="atLeast"/>
        </w:trPr>
        <w:tc>
          <w:tcPr>
            <w:tcW w:w="1446" w:type="dxa"/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328" w:type="dxa"/>
          </w:tcPr>
          <w:p>
            <w:pPr>
              <w:pStyle w:val="TableParagraph"/>
              <w:ind w:left="234" w:right="225"/>
              <w:rPr>
                <w:sz w:val="18"/>
              </w:rPr>
            </w:pPr>
            <w:r>
              <w:rPr>
                <w:sz w:val="18"/>
              </w:rPr>
              <w:t>94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1593" w:type="dxa"/>
          </w:tcPr>
          <w:p>
            <w:pPr>
              <w:pStyle w:val="TableParagraph"/>
              <w:ind w:left="183" w:right="175"/>
              <w:rPr>
                <w:sz w:val="18"/>
              </w:rPr>
            </w:pPr>
            <w:r>
              <w:rPr>
                <w:sz w:val="18"/>
              </w:rPr>
              <w:t>00:02:00</w:t>
            </w:r>
          </w:p>
        </w:tc>
        <w:tc>
          <w:tcPr>
            <w:tcW w:w="992" w:type="dxa"/>
          </w:tcPr>
          <w:p>
            <w:pPr>
              <w:pStyle w:val="TableParagraph"/>
              <w:ind w:left="1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01" w:type="dxa"/>
          </w:tcPr>
          <w:p>
            <w:pPr>
              <w:pStyle w:val="TableParagraph"/>
              <w:ind w:left="282" w:right="272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</w:tr>
      <w:tr>
        <w:trPr>
          <w:trHeight w:val="200" w:hRule="atLeast"/>
        </w:trPr>
        <w:tc>
          <w:tcPr>
            <w:tcW w:w="1446" w:type="dxa"/>
            <w:vMerge w:val="restart"/>
          </w:tcPr>
          <w:p>
            <w:pPr>
              <w:pStyle w:val="TableParagraph"/>
              <w:spacing w:line="240" w:lineRule="auto" w:before="84"/>
              <w:ind w:left="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328" w:type="dxa"/>
          </w:tcPr>
          <w:p>
            <w:pPr>
              <w:pStyle w:val="TableParagraph"/>
              <w:ind w:left="234" w:right="225"/>
              <w:rPr>
                <w:sz w:val="18"/>
              </w:rPr>
            </w:pPr>
            <w:r>
              <w:rPr>
                <w:sz w:val="18"/>
              </w:rPr>
              <w:t>94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1593" w:type="dxa"/>
          </w:tcPr>
          <w:p>
            <w:pPr>
              <w:pStyle w:val="TableParagraph"/>
              <w:ind w:left="183" w:right="175"/>
              <w:rPr>
                <w:sz w:val="18"/>
              </w:rPr>
            </w:pPr>
            <w:r>
              <w:rPr>
                <w:sz w:val="18"/>
              </w:rPr>
              <w:t>00:00:05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spacing w:line="240" w:lineRule="auto" w:before="84"/>
              <w:ind w:left="231" w:right="220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  <w:tc>
          <w:tcPr>
            <w:tcW w:w="1701" w:type="dxa"/>
            <w:vMerge w:val="restart"/>
          </w:tcPr>
          <w:p>
            <w:pPr>
              <w:pStyle w:val="TableParagraph"/>
              <w:spacing w:line="240" w:lineRule="auto" w:before="84"/>
              <w:ind w:left="333"/>
              <w:jc w:val="left"/>
              <w:rPr>
                <w:sz w:val="18"/>
              </w:rPr>
            </w:pPr>
            <w:r>
              <w:rPr>
                <w:sz w:val="18"/>
              </w:rPr>
              <w:t>Quantification</w:t>
            </w:r>
          </w:p>
        </w:tc>
      </w:tr>
      <w:tr>
        <w:trPr>
          <w:trHeight w:val="200" w:hRule="atLeast"/>
        </w:trPr>
        <w:tc>
          <w:tcPr>
            <w:tcW w:w="1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ind w:left="234" w:right="225"/>
              <w:rPr>
                <w:sz w:val="18"/>
              </w:rPr>
            </w:pPr>
            <w:r>
              <w:rPr>
                <w:sz w:val="18"/>
              </w:rPr>
              <w:t>57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Single</w:t>
            </w:r>
          </w:p>
        </w:tc>
        <w:tc>
          <w:tcPr>
            <w:tcW w:w="1593" w:type="dxa"/>
          </w:tcPr>
          <w:p>
            <w:pPr>
              <w:pStyle w:val="TableParagraph"/>
              <w:ind w:left="183" w:right="175"/>
              <w:rPr>
                <w:sz w:val="18"/>
              </w:rPr>
            </w:pPr>
            <w:r>
              <w:rPr>
                <w:sz w:val="18"/>
              </w:rPr>
              <w:t>00:00:30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atLeast"/>
        </w:trPr>
        <w:tc>
          <w:tcPr>
            <w:tcW w:w="1446" w:type="dxa"/>
          </w:tcPr>
          <w:p>
            <w:pPr>
              <w:pStyle w:val="TableParagraph"/>
              <w:ind w:left="274" w:right="267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4 </w:t>
            </w:r>
            <w:r>
              <w:rPr>
                <w:rFonts w:ascii="宋体" w:eastAsia="宋体" w:hint="eastAsia"/>
                <w:sz w:val="18"/>
              </w:rPr>
              <w:t>（可选）</w:t>
            </w:r>
          </w:p>
        </w:tc>
        <w:tc>
          <w:tcPr>
            <w:tcW w:w="1328" w:type="dxa"/>
          </w:tcPr>
          <w:p>
            <w:pPr>
              <w:pStyle w:val="TableParagraph"/>
              <w:ind w:left="234" w:right="225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1593" w:type="dxa"/>
          </w:tcPr>
          <w:p>
            <w:pPr>
              <w:pStyle w:val="TableParagraph"/>
              <w:ind w:left="183" w:right="175"/>
              <w:rPr>
                <w:sz w:val="18"/>
              </w:rPr>
            </w:pPr>
            <w:r>
              <w:rPr>
                <w:sz w:val="18"/>
              </w:rPr>
              <w:t>00:00:10</w:t>
            </w:r>
          </w:p>
        </w:tc>
        <w:tc>
          <w:tcPr>
            <w:tcW w:w="992" w:type="dxa"/>
          </w:tcPr>
          <w:p>
            <w:pPr>
              <w:pStyle w:val="TableParagraph"/>
              <w:ind w:left="1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01" w:type="dxa"/>
          </w:tcPr>
          <w:p>
            <w:pPr>
              <w:pStyle w:val="TableParagraph"/>
              <w:ind w:left="282" w:right="272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</w:tr>
    </w:tbl>
    <w:p>
      <w:pPr>
        <w:pStyle w:val="BodyText"/>
        <w:spacing w:line="185" w:lineRule="exact"/>
      </w:pPr>
      <w:r>
        <w:rPr/>
        <w:t>设置完毕，保存文件，运行反应程序。</w:t>
      </w:r>
    </w:p>
    <w:p>
      <w:pPr>
        <w:pStyle w:val="ListParagraph"/>
        <w:numPr>
          <w:ilvl w:val="0"/>
          <w:numId w:val="3"/>
        </w:numPr>
        <w:tabs>
          <w:tab w:pos="324" w:val="left" w:leader="none"/>
        </w:tabs>
        <w:spacing w:line="199" w:lineRule="exact" w:before="0" w:after="0"/>
        <w:ind w:left="323" w:right="0" w:hanging="217"/>
        <w:jc w:val="left"/>
        <w:rPr>
          <w:sz w:val="18"/>
        </w:rPr>
      </w:pPr>
      <w:r>
        <w:rPr>
          <w:b/>
          <w:spacing w:val="-5"/>
          <w:sz w:val="18"/>
        </w:rPr>
        <w:t>结果分析</w:t>
      </w:r>
      <w:r>
        <w:rPr>
          <w:spacing w:val="-5"/>
          <w:sz w:val="18"/>
        </w:rPr>
        <w:t>（</w:t>
      </w:r>
      <w:r>
        <w:rPr>
          <w:spacing w:val="-3"/>
          <w:sz w:val="18"/>
        </w:rPr>
        <w:t>请参照各仪器使用说明书进行设置，以下分析以</w:t>
      </w:r>
      <w:r>
        <w:rPr>
          <w:rFonts w:ascii="Times New Roman" w:eastAsia="Times New Roman"/>
          <w:sz w:val="18"/>
        </w:rPr>
        <w:t>ABI</w:t>
      </w:r>
      <w:r>
        <w:rPr>
          <w:rFonts w:ascii="Times New Roman" w:eastAsia="Times New Roman"/>
          <w:spacing w:val="-6"/>
          <w:sz w:val="18"/>
        </w:rPr>
        <w:t> </w:t>
      </w:r>
      <w:r>
        <w:rPr>
          <w:spacing w:val="-5"/>
          <w:sz w:val="18"/>
        </w:rPr>
        <w:t>系列仪器为例</w:t>
      </w:r>
      <w:r>
        <w:rPr>
          <w:sz w:val="18"/>
        </w:rPr>
        <w:t>）</w:t>
      </w:r>
    </w:p>
    <w:p>
      <w:pPr>
        <w:pStyle w:val="BodyText"/>
        <w:spacing w:line="208" w:lineRule="auto" w:before="7"/>
        <w:ind w:right="129" w:firstLine="352"/>
      </w:pPr>
      <w:r>
        <w:rPr>
          <w:spacing w:val="-3"/>
        </w:rPr>
        <w:t>反应结束后自动保存结果，根据分析后图像调节</w:t>
      </w:r>
      <w:r>
        <w:rPr>
          <w:rFonts w:ascii="Times New Roman" w:hAnsi="Times New Roman" w:eastAsia="Times New Roman"/>
        </w:rPr>
        <w:t>Baseline </w:t>
      </w:r>
      <w:r>
        <w:rPr>
          <w:spacing w:val="38"/>
        </w:rPr>
        <w:t>的</w:t>
      </w:r>
      <w:r>
        <w:rPr>
          <w:rFonts w:ascii="Times New Roman" w:hAnsi="Times New Roman" w:eastAsia="Times New Roman"/>
        </w:rPr>
        <w:t>Start </w:t>
      </w:r>
      <w:r>
        <w:rPr>
          <w:spacing w:val="-4"/>
        </w:rPr>
        <w:t>值、</w:t>
      </w:r>
      <w:r>
        <w:rPr>
          <w:rFonts w:ascii="Times New Roman" w:hAnsi="Times New Roman" w:eastAsia="Times New Roman"/>
        </w:rPr>
        <w:t>End </w:t>
      </w:r>
      <w:r>
        <w:rPr>
          <w:spacing w:val="10"/>
        </w:rPr>
        <w:t>值以及</w:t>
      </w:r>
      <w:r>
        <w:rPr>
          <w:rFonts w:ascii="Times New Roman" w:hAnsi="Times New Roman" w:eastAsia="Times New Roman"/>
        </w:rPr>
        <w:t>Threshold </w:t>
      </w:r>
      <w:r>
        <w:rPr>
          <w:spacing w:val="-5"/>
        </w:rPr>
        <w:t>值</w:t>
      </w:r>
      <w:r>
        <w:rPr>
          <w:spacing w:val="-3"/>
        </w:rPr>
        <w:t>（</w:t>
      </w:r>
      <w:r>
        <w:rPr>
          <w:spacing w:val="-5"/>
        </w:rPr>
        <w:t>用户可根据实际情况自行调整， </w:t>
      </w:r>
      <w:r>
        <w:rPr>
          <w:rFonts w:ascii="Times New Roman" w:hAnsi="Times New Roman" w:eastAsia="Times New Roman"/>
          <w:spacing w:val="-5"/>
        </w:rPr>
        <w:t>Start </w:t>
      </w:r>
      <w:r>
        <w:rPr>
          <w:spacing w:val="-14"/>
        </w:rPr>
        <w:t>值可以在 </w:t>
      </w:r>
      <w:r>
        <w:rPr>
          <w:rFonts w:ascii="Times New Roman" w:hAnsi="Times New Roman" w:eastAsia="Times New Roman"/>
          <w:spacing w:val="-3"/>
        </w:rPr>
        <w:t>3</w:t>
      </w:r>
      <w:r>
        <w:rPr>
          <w:spacing w:val="-3"/>
        </w:rPr>
        <w:t>～</w:t>
      </w:r>
      <w:r>
        <w:rPr>
          <w:rFonts w:ascii="Times New Roman" w:hAnsi="Times New Roman" w:eastAsia="Times New Roman"/>
          <w:spacing w:val="-3"/>
        </w:rPr>
        <w:t>15</w:t>
      </w:r>
      <w:r>
        <w:rPr>
          <w:spacing w:val="-24"/>
        </w:rPr>
        <w:t>、</w:t>
      </w:r>
      <w:r>
        <w:rPr>
          <w:rFonts w:ascii="Times New Roman" w:hAnsi="Times New Roman" w:eastAsia="Times New Roman"/>
        </w:rPr>
        <w:t>End </w:t>
      </w:r>
      <w:r>
        <w:rPr>
          <w:spacing w:val="-14"/>
        </w:rPr>
        <w:t>值可设在 </w:t>
      </w:r>
      <w:r>
        <w:rPr>
          <w:rFonts w:ascii="Times New Roman" w:hAnsi="Times New Roman" w:eastAsia="Times New Roman"/>
          <w:spacing w:val="-8"/>
        </w:rPr>
        <w:t>5</w:t>
      </w:r>
      <w:r>
        <w:rPr>
          <w:spacing w:val="-8"/>
        </w:rPr>
        <w:t>～</w:t>
      </w:r>
      <w:r>
        <w:rPr>
          <w:rFonts w:ascii="Times New Roman" w:hAnsi="Times New Roman" w:eastAsia="Times New Roman"/>
          <w:spacing w:val="-8"/>
        </w:rPr>
        <w:t>20</w:t>
      </w:r>
      <w:r>
        <w:rPr>
          <w:spacing w:val="-6"/>
        </w:rPr>
        <w:t>，调整阴性对照的扩增曲线平直或低于阈值线</w:t>
      </w:r>
      <w:r>
        <w:rPr>
          <w:spacing w:val="-60"/>
        </w:rPr>
        <w:t>）</w:t>
      </w:r>
      <w:r>
        <w:rPr>
          <w:spacing w:val="-30"/>
        </w:rPr>
        <w:t>，点击 </w:t>
      </w:r>
      <w:r>
        <w:rPr>
          <w:rFonts w:ascii="Times New Roman" w:hAnsi="Times New Roman" w:eastAsia="Times New Roman"/>
        </w:rPr>
        <w:t>Analyze </w:t>
      </w:r>
      <w:r>
        <w:rPr>
          <w:spacing w:val="-9"/>
        </w:rPr>
        <w:t>进行分析，使各项参数符合</w:t>
      </w:r>
      <w:r>
        <w:rPr>
          <w:spacing w:val="-4"/>
        </w:rPr>
        <w:t>下述“</w:t>
      </w:r>
      <w:r>
        <w:rPr>
          <w:rFonts w:ascii="Times New Roman" w:hAnsi="Times New Roman" w:eastAsia="Times New Roman"/>
          <w:spacing w:val="-3"/>
        </w:rPr>
        <w:t>5</w:t>
      </w:r>
      <w:r>
        <w:rPr>
          <w:rFonts w:ascii="Times New Roman" w:hAnsi="Times New Roman" w:eastAsia="Times New Roman"/>
          <w:spacing w:val="16"/>
        </w:rPr>
        <w:t>. </w:t>
      </w:r>
      <w:r>
        <w:rPr>
          <w:spacing w:val="-2"/>
        </w:rPr>
        <w:t>质量控制”中的要求，然后到</w:t>
      </w:r>
      <w:r>
        <w:rPr>
          <w:rFonts w:ascii="Times New Roman" w:hAnsi="Times New Roman" w:eastAsia="Times New Roman"/>
        </w:rPr>
        <w:t>Plate </w:t>
      </w:r>
      <w:r>
        <w:rPr>
          <w:spacing w:val="4"/>
        </w:rPr>
        <w:t>窗口下记录</w:t>
      </w:r>
      <w:r>
        <w:rPr>
          <w:rFonts w:ascii="Times New Roman" w:hAnsi="Times New Roman" w:eastAsia="Times New Roman"/>
        </w:rPr>
        <w:t>Ct </w:t>
      </w:r>
      <w:r>
        <w:rPr>
          <w:spacing w:val="-3"/>
        </w:rPr>
        <w:t>值。</w:t>
      </w:r>
    </w:p>
    <w:p>
      <w:pPr>
        <w:pStyle w:val="Heading1"/>
        <w:numPr>
          <w:ilvl w:val="0"/>
          <w:numId w:val="3"/>
        </w:numPr>
        <w:tabs>
          <w:tab w:pos="324" w:val="left" w:leader="none"/>
        </w:tabs>
        <w:spacing w:line="191" w:lineRule="exact" w:before="0" w:after="0"/>
        <w:ind w:left="323" w:right="0" w:hanging="217"/>
        <w:jc w:val="left"/>
      </w:pPr>
      <w:r>
        <w:rPr>
          <w:spacing w:val="-3"/>
        </w:rPr>
        <w:t>质量控制</w:t>
      </w:r>
    </w:p>
    <w:p>
      <w:pPr>
        <w:pStyle w:val="ListParagraph"/>
        <w:numPr>
          <w:ilvl w:val="1"/>
          <w:numId w:val="3"/>
        </w:numPr>
        <w:tabs>
          <w:tab w:pos="412" w:val="left" w:leader="none"/>
        </w:tabs>
        <w:spacing w:line="200" w:lineRule="exact" w:before="0" w:after="0"/>
        <w:ind w:left="412" w:right="0" w:hanging="305"/>
        <w:jc w:val="left"/>
        <w:rPr>
          <w:sz w:val="18"/>
        </w:rPr>
      </w:pPr>
      <w:r>
        <w:rPr>
          <w:sz w:val="18"/>
        </w:rPr>
        <w:t>肺炎支原体</w:t>
      </w:r>
      <w:r>
        <w:rPr>
          <w:rFonts w:ascii="Times New Roman" w:hAnsi="Times New Roman" w:eastAsia="Times New Roman"/>
          <w:spacing w:val="-3"/>
          <w:sz w:val="18"/>
        </w:rPr>
        <w:t>-</w:t>
      </w:r>
      <w:r>
        <w:rPr>
          <w:spacing w:val="-4"/>
          <w:sz w:val="18"/>
        </w:rPr>
        <w:t>阴性对照：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2"/>
          <w:sz w:val="18"/>
        </w:rPr>
        <w:t>值无显示，但内标检测为阳性，且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4"/>
          <w:sz w:val="18"/>
        </w:rPr>
        <w:t> 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pacing w:val="-3"/>
          <w:sz w:val="18"/>
        </w:rPr>
        <w:t>≤40</w:t>
      </w:r>
      <w:r>
        <w:rPr>
          <w:sz w:val="18"/>
        </w:rPr>
        <w:t>。</w:t>
      </w:r>
    </w:p>
    <w:p>
      <w:pPr>
        <w:pStyle w:val="ListParagraph"/>
        <w:numPr>
          <w:ilvl w:val="1"/>
          <w:numId w:val="3"/>
        </w:numPr>
        <w:tabs>
          <w:tab w:pos="412" w:val="left" w:leader="none"/>
        </w:tabs>
        <w:spacing w:line="199" w:lineRule="exact" w:before="0" w:after="0"/>
        <w:ind w:left="412" w:right="0" w:hanging="305"/>
        <w:jc w:val="left"/>
        <w:rPr>
          <w:sz w:val="18"/>
        </w:rPr>
      </w:pPr>
      <w:r>
        <w:rPr>
          <w:sz w:val="18"/>
        </w:rPr>
        <w:t>肺炎支原体</w:t>
      </w:r>
      <w:r>
        <w:rPr>
          <w:rFonts w:ascii="Times New Roman" w:hAnsi="Times New Roman" w:eastAsia="Times New Roman"/>
          <w:spacing w:val="-3"/>
          <w:sz w:val="18"/>
        </w:rPr>
        <w:t>-</w:t>
      </w:r>
      <w:r>
        <w:rPr>
          <w:spacing w:val="1"/>
          <w:sz w:val="18"/>
        </w:rPr>
        <w:t>阳性对照：检测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4"/>
          <w:sz w:val="18"/>
        </w:rPr>
        <w:t> </w:t>
      </w:r>
      <w:r>
        <w:rPr>
          <w:spacing w:val="-3"/>
          <w:sz w:val="18"/>
        </w:rPr>
        <w:t>值≤</w:t>
      </w:r>
      <w:r>
        <w:rPr>
          <w:rFonts w:ascii="Times New Roman" w:hAnsi="Times New Roman" w:eastAsia="Times New Roman"/>
          <w:spacing w:val="-3"/>
          <w:sz w:val="18"/>
        </w:rPr>
        <w:t>30</w:t>
      </w:r>
      <w:r>
        <w:rPr>
          <w:sz w:val="18"/>
        </w:rPr>
        <w:t>。</w:t>
      </w:r>
    </w:p>
    <w:p>
      <w:pPr>
        <w:pStyle w:val="ListParagraph"/>
        <w:numPr>
          <w:ilvl w:val="1"/>
          <w:numId w:val="3"/>
        </w:numPr>
        <w:tabs>
          <w:tab w:pos="412" w:val="left" w:leader="none"/>
        </w:tabs>
        <w:spacing w:line="200" w:lineRule="exact" w:before="0" w:after="0"/>
        <w:ind w:left="412" w:right="0" w:hanging="305"/>
        <w:jc w:val="left"/>
        <w:rPr>
          <w:sz w:val="18"/>
        </w:rPr>
      </w:pPr>
      <w:r>
        <w:rPr>
          <w:spacing w:val="-5"/>
          <w:sz w:val="18"/>
        </w:rPr>
        <w:t>四个肺炎支原体阳性参照品：均检测为阳性。</w:t>
      </w:r>
    </w:p>
    <w:p>
      <w:pPr>
        <w:pStyle w:val="ListParagraph"/>
        <w:numPr>
          <w:ilvl w:val="1"/>
          <w:numId w:val="3"/>
        </w:numPr>
        <w:tabs>
          <w:tab w:pos="412" w:val="left" w:leader="none"/>
        </w:tabs>
        <w:spacing w:line="200" w:lineRule="exact" w:before="0" w:after="0"/>
        <w:ind w:left="412" w:right="0" w:hanging="305"/>
        <w:jc w:val="left"/>
        <w:rPr>
          <w:sz w:val="18"/>
        </w:rPr>
      </w:pPr>
      <w:r>
        <w:rPr>
          <w:spacing w:val="-5"/>
          <w:sz w:val="18"/>
        </w:rPr>
        <w:t>以上要求需在同一次实验中同时满足，否则，本次实验无效，需重新进行。</w:t>
      </w:r>
    </w:p>
    <w:p>
      <w:pPr>
        <w:pStyle w:val="Heading1"/>
        <w:spacing w:line="199" w:lineRule="exact"/>
      </w:pPr>
      <w:r>
        <w:rPr/>
        <w:t>【阳性判断值】</w:t>
      </w:r>
    </w:p>
    <w:p>
      <w:pPr>
        <w:pStyle w:val="BodyText"/>
        <w:ind w:left="460"/>
      </w:pPr>
      <w:r>
        <w:rPr/>
        <w:t>通过参考值的研究确定本试剂盒检测目标基因的</w:t>
      </w:r>
      <w:r>
        <w:rPr>
          <w:rFonts w:ascii="Times New Roman" w:eastAsia="Times New Roman"/>
        </w:rPr>
        <w:t>Ct </w:t>
      </w:r>
      <w:r>
        <w:rPr/>
        <w:t>参考值为 </w:t>
      </w:r>
      <w:r>
        <w:rPr>
          <w:rFonts w:ascii="Times New Roman" w:eastAsia="Times New Roman"/>
        </w:rPr>
        <w:t>39</w:t>
      </w:r>
      <w:r>
        <w:rPr/>
        <w:t>，内标基因的</w:t>
      </w:r>
      <w:r>
        <w:rPr>
          <w:rFonts w:ascii="Times New Roman" w:eastAsia="Times New Roman"/>
        </w:rPr>
        <w:t>Ct </w:t>
      </w:r>
      <w:r>
        <w:rPr/>
        <w:t>参考值为 </w:t>
      </w:r>
      <w:r>
        <w:rPr>
          <w:rFonts w:ascii="Times New Roman" w:eastAsia="Times New Roman"/>
        </w:rPr>
        <w:t>40</w:t>
      </w:r>
      <w:r>
        <w:rPr/>
        <w:t>。</w:t>
      </w:r>
    </w:p>
    <w:p>
      <w:pPr>
        <w:pStyle w:val="Heading1"/>
      </w:pPr>
      <w:r>
        <w:rPr/>
        <w:t>【检验结果的解释】</w:t>
      </w:r>
    </w:p>
    <w:p>
      <w:pPr>
        <w:pStyle w:val="ListParagraph"/>
        <w:numPr>
          <w:ilvl w:val="0"/>
          <w:numId w:val="6"/>
        </w:numPr>
        <w:tabs>
          <w:tab w:pos="367" w:val="left" w:leader="none"/>
        </w:tabs>
        <w:spacing w:line="199" w:lineRule="exact" w:before="0" w:after="0"/>
        <w:ind w:left="366" w:right="0" w:hanging="260"/>
        <w:jc w:val="left"/>
        <w:rPr>
          <w:sz w:val="18"/>
        </w:rPr>
      </w:pPr>
      <w:r>
        <w:rPr>
          <w:spacing w:val="-5"/>
          <w:sz w:val="18"/>
        </w:rPr>
        <w:t>阴阳性判断：</w:t>
      </w:r>
    </w:p>
    <w:p>
      <w:pPr>
        <w:pStyle w:val="ListParagraph"/>
        <w:numPr>
          <w:ilvl w:val="1"/>
          <w:numId w:val="6"/>
        </w:numPr>
        <w:tabs>
          <w:tab w:pos="468" w:val="left" w:leader="none"/>
        </w:tabs>
        <w:spacing w:line="200" w:lineRule="exact" w:before="0" w:after="0"/>
        <w:ind w:left="467" w:right="0" w:hanging="361"/>
        <w:jc w:val="left"/>
        <w:rPr>
          <w:sz w:val="18"/>
        </w:rPr>
      </w:pPr>
      <w:r>
        <w:rPr>
          <w:spacing w:val="6"/>
          <w:sz w:val="18"/>
        </w:rPr>
        <w:t>对于测定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z w:val="18"/>
        </w:rPr>
        <w:t>≤39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-5"/>
          <w:sz w:val="18"/>
        </w:rPr>
        <w:t>的样本，报告为肺炎支原体 </w:t>
      </w:r>
      <w:r>
        <w:rPr>
          <w:rFonts w:ascii="Times New Roman" w:hAnsi="Times New Roman" w:eastAsia="Times New Roman"/>
          <w:sz w:val="18"/>
        </w:rPr>
        <w:t>DNA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-3"/>
          <w:sz w:val="18"/>
        </w:rPr>
        <w:t>阳性；</w:t>
      </w:r>
    </w:p>
    <w:p>
      <w:pPr>
        <w:pStyle w:val="ListParagraph"/>
        <w:numPr>
          <w:ilvl w:val="1"/>
          <w:numId w:val="6"/>
        </w:numPr>
        <w:tabs>
          <w:tab w:pos="468" w:val="left" w:leader="none"/>
        </w:tabs>
        <w:spacing w:line="206" w:lineRule="auto" w:before="11" w:after="0"/>
        <w:ind w:left="107" w:right="202" w:firstLine="0"/>
        <w:jc w:val="both"/>
        <w:rPr>
          <w:sz w:val="18"/>
        </w:rPr>
      </w:pPr>
      <w:r>
        <w:rPr>
          <w:spacing w:val="6"/>
          <w:sz w:val="18"/>
        </w:rPr>
        <w:t>对于测定</w:t>
      </w:r>
      <w:r>
        <w:rPr>
          <w:rFonts w:ascii="Times New Roman" w:hAnsi="Times New Roman" w:eastAsia="Times New Roman"/>
          <w:spacing w:val="-3"/>
          <w:sz w:val="18"/>
        </w:rPr>
        <w:t>C</w:t>
      </w:r>
      <w:r>
        <w:rPr>
          <w:rFonts w:ascii="Times New Roman" w:hAnsi="Times New Roman" w:eastAsia="Times New Roman"/>
          <w:sz w:val="18"/>
        </w:rPr>
        <w:t>t</w:t>
      </w:r>
      <w:r>
        <w:rPr>
          <w:rFonts w:ascii="Times New Roman" w:hAnsi="Times New Roman" w:eastAsia="Times New Roman"/>
          <w:spacing w:val="-4"/>
          <w:sz w:val="18"/>
        </w:rPr>
        <w:t> 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pacing w:val="-1"/>
          <w:sz w:val="18"/>
        </w:rPr>
        <w:t>&gt;</w:t>
      </w:r>
      <w:r>
        <w:rPr>
          <w:rFonts w:ascii="Times New Roman" w:hAnsi="Times New Roman" w:eastAsia="Times New Roman"/>
          <w:spacing w:val="-2"/>
          <w:sz w:val="18"/>
        </w:rPr>
        <w:t>3</w:t>
      </w:r>
      <w:r>
        <w:rPr>
          <w:rFonts w:ascii="Times New Roman" w:hAnsi="Times New Roman" w:eastAsia="Times New Roman"/>
          <w:sz w:val="18"/>
        </w:rPr>
        <w:t>9</w:t>
      </w:r>
      <w:r>
        <w:rPr>
          <w:rFonts w:ascii="Times New Roman" w:hAnsi="Times New Roman" w:eastAsia="Times New Roman"/>
          <w:spacing w:val="-4"/>
          <w:sz w:val="18"/>
        </w:rPr>
        <w:t>  </w:t>
      </w:r>
      <w:r>
        <w:rPr>
          <w:spacing w:val="-5"/>
          <w:sz w:val="18"/>
        </w:rPr>
        <w:t>的样本，同时，内标检测为阳性（</w:t>
      </w:r>
      <w:r>
        <w:rPr>
          <w:rFonts w:ascii="Times New Roman" w:hAnsi="Times New Roman" w:eastAsia="Times New Roman"/>
          <w:spacing w:val="-1"/>
          <w:sz w:val="18"/>
        </w:rPr>
        <w:t>C</w:t>
      </w:r>
      <w:r>
        <w:rPr>
          <w:rFonts w:ascii="Times New Roman" w:hAnsi="Times New Roman" w:eastAsia="Times New Roman"/>
          <w:sz w:val="18"/>
        </w:rPr>
        <w:t>t</w:t>
      </w:r>
      <w:r>
        <w:rPr>
          <w:rFonts w:ascii="Times New Roman" w:hAnsi="Times New Roman" w:eastAsia="Times New Roman"/>
          <w:spacing w:val="-7"/>
          <w:sz w:val="18"/>
        </w:rPr>
        <w:t> </w:t>
      </w:r>
      <w:r>
        <w:rPr>
          <w:spacing w:val="-3"/>
          <w:sz w:val="18"/>
        </w:rPr>
        <w:t>值</w:t>
      </w:r>
      <w:r>
        <w:rPr>
          <w:rFonts w:ascii="Times New Roman" w:hAnsi="Times New Roman" w:eastAsia="Times New Roman"/>
          <w:spacing w:val="-3"/>
          <w:sz w:val="18"/>
        </w:rPr>
        <w:t>≤</w:t>
      </w:r>
      <w:r>
        <w:rPr>
          <w:rFonts w:ascii="Times New Roman" w:hAnsi="Times New Roman" w:eastAsia="Times New Roman"/>
          <w:spacing w:val="-2"/>
          <w:sz w:val="18"/>
        </w:rPr>
        <w:t>4</w:t>
      </w:r>
      <w:r>
        <w:rPr>
          <w:rFonts w:ascii="Times New Roman" w:hAnsi="Times New Roman" w:eastAsia="Times New Roman"/>
          <w:spacing w:val="-4"/>
          <w:sz w:val="18"/>
        </w:rPr>
        <w:t>0</w:t>
      </w:r>
      <w:r>
        <w:rPr>
          <w:spacing w:val="-92"/>
          <w:sz w:val="18"/>
        </w:rPr>
        <w:t>）</w:t>
      </w:r>
      <w:r>
        <w:rPr>
          <w:spacing w:val="-5"/>
          <w:sz w:val="18"/>
        </w:rPr>
        <w:t>，报告注明肺炎支原体 </w:t>
      </w:r>
      <w:r>
        <w:rPr>
          <w:rFonts w:ascii="Times New Roman" w:hAnsi="Times New Roman" w:eastAsia="Times New Roman"/>
          <w:spacing w:val="-3"/>
          <w:sz w:val="18"/>
        </w:rPr>
        <w:t>D</w:t>
      </w:r>
      <w:r>
        <w:rPr>
          <w:rFonts w:ascii="Times New Roman" w:hAnsi="Times New Roman" w:eastAsia="Times New Roman"/>
          <w:spacing w:val="-1"/>
          <w:sz w:val="18"/>
        </w:rPr>
        <w:t>N</w:t>
      </w:r>
      <w:r>
        <w:rPr>
          <w:rFonts w:ascii="Times New Roman" w:hAnsi="Times New Roman" w:eastAsia="Times New Roman"/>
          <w:sz w:val="18"/>
        </w:rPr>
        <w:t>A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2"/>
          <w:sz w:val="18"/>
        </w:rPr>
        <w:t>低于试剂盒检测下限；若内标</w:t>
      </w:r>
      <w:r>
        <w:rPr>
          <w:rFonts w:ascii="Times New Roman" w:hAnsi="Times New Roman" w:eastAsia="Times New Roman"/>
          <w:spacing w:val="-3"/>
          <w:sz w:val="18"/>
        </w:rPr>
        <w:t>C</w:t>
      </w:r>
      <w:r>
        <w:rPr>
          <w:rFonts w:ascii="Times New Roman" w:hAnsi="Times New Roman" w:eastAsia="Times New Roman"/>
          <w:sz w:val="18"/>
        </w:rPr>
        <w:t>t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pacing w:val="-2"/>
          <w:sz w:val="18"/>
        </w:rPr>
        <w:t>&gt; </w:t>
      </w:r>
      <w:r>
        <w:rPr>
          <w:rFonts w:ascii="Times New Roman" w:hAnsi="Times New Roman" w:eastAsia="Times New Roman"/>
          <w:sz w:val="18"/>
        </w:rPr>
        <w:t>40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5"/>
          <w:sz w:val="18"/>
        </w:rPr>
        <w:t>或无显示，则该样本的检测结果无效，应查找并排除原因，并对此样本进行重复实验</w:t>
      </w:r>
      <w:r>
        <w:rPr>
          <w:spacing w:val="-3"/>
          <w:sz w:val="18"/>
        </w:rPr>
        <w:t>（</w:t>
      </w:r>
      <w:r>
        <w:rPr>
          <w:spacing w:val="-5"/>
          <w:sz w:val="18"/>
        </w:rPr>
        <w:t>若重复试验的检测结果仍无效，请与本公司联系</w:t>
      </w:r>
      <w:r>
        <w:rPr>
          <w:spacing w:val="-94"/>
          <w:sz w:val="18"/>
        </w:rPr>
        <w:t>）</w:t>
      </w:r>
      <w:r>
        <w:rPr>
          <w:sz w:val="18"/>
        </w:rPr>
        <w:t>。</w:t>
      </w:r>
    </w:p>
    <w:p>
      <w:pPr>
        <w:pStyle w:val="Heading1"/>
        <w:spacing w:line="195" w:lineRule="exact"/>
      </w:pPr>
      <w:r>
        <w:rPr/>
        <w:t>【检验方法的局限性】</w:t>
      </w:r>
    </w:p>
    <w:p>
      <w:pPr>
        <w:pStyle w:val="BodyText"/>
        <w:spacing w:line="206" w:lineRule="auto" w:before="10"/>
        <w:ind w:right="200" w:firstLine="352"/>
      </w:pPr>
      <w:r>
        <w:rPr>
          <w:spacing w:val="-5"/>
        </w:rPr>
        <w:t>样本检测结果与样本收集、处理、运送及保存质量有关，其中任何失误都将会导致结果不准确。如果样本处理时没有控制好交叉污染，可能出现假阳性结果。</w:t>
      </w:r>
    </w:p>
    <w:p>
      <w:pPr>
        <w:pStyle w:val="Heading1"/>
        <w:spacing w:line="194" w:lineRule="exact"/>
      </w:pPr>
      <w:r>
        <w:rPr/>
        <w:t>【产品性能指标】</w:t>
      </w:r>
    </w:p>
    <w:p>
      <w:pPr>
        <w:pStyle w:val="BodyText"/>
        <w:spacing w:line="208" w:lineRule="auto" w:before="7"/>
        <w:ind w:right="201" w:firstLine="352"/>
        <w:jc w:val="both"/>
      </w:pPr>
      <w:r>
        <w:rPr>
          <w:spacing w:val="-7"/>
        </w:rPr>
        <w:t>本试剂盒检测企业工作参考品，阴、阳性符合率均为 </w:t>
      </w:r>
      <w:r>
        <w:rPr>
          <w:rFonts w:ascii="Times New Roman" w:eastAsia="Times New Roman"/>
          <w:spacing w:val="-3"/>
        </w:rPr>
        <w:t>100%</w:t>
      </w:r>
      <w:r>
        <w:rPr>
          <w:spacing w:val="-4"/>
        </w:rPr>
        <w:t>；精密度试验表明：批内和批间重复性好，检测结果</w:t>
      </w:r>
      <w:r>
        <w:rPr>
          <w:rFonts w:ascii="Times New Roman" w:eastAsia="Times New Roman"/>
        </w:rPr>
        <w:t>Ct </w:t>
      </w:r>
      <w:r>
        <w:rPr>
          <w:spacing w:val="-4"/>
        </w:rPr>
        <w:t>值的变异系</w:t>
      </w:r>
      <w:r>
        <w:rPr>
          <w:spacing w:val="-14"/>
        </w:rPr>
        <w:t>数不大于 </w:t>
      </w:r>
      <w:r>
        <w:rPr>
          <w:rFonts w:ascii="Times New Roman" w:eastAsia="Times New Roman"/>
          <w:spacing w:val="-3"/>
        </w:rPr>
        <w:t>5%</w:t>
      </w:r>
      <w:r>
        <w:rPr>
          <w:spacing w:val="-9"/>
        </w:rPr>
        <w:t>；本试剂盒的检测灵敏度为 </w:t>
      </w:r>
      <w:r>
        <w:rPr>
          <w:rFonts w:ascii="Times New Roman" w:eastAsia="Times New Roman"/>
        </w:rPr>
        <w:t>4.00E+02 </w:t>
      </w:r>
      <w:r>
        <w:rPr>
          <w:rFonts w:ascii="Times New Roman" w:eastAsia="Times New Roman"/>
          <w:spacing w:val="-3"/>
        </w:rPr>
        <w:t>copies/mL</w:t>
      </w:r>
      <w:r>
        <w:rPr>
          <w:spacing w:val="-5"/>
        </w:rPr>
        <w:t>；与常见病原体（</w:t>
      </w:r>
      <w:r>
        <w:rPr/>
        <w:t>解脲脲原体、肺炎衣原体、结核分枝杆菌、</w:t>
      </w:r>
      <w:r>
        <w:rPr>
          <w:rFonts w:ascii="Times New Roman" w:eastAsia="Times New Roman"/>
        </w:rPr>
        <w:t>EB </w:t>
      </w:r>
      <w:r>
        <w:rPr/>
        <w:t>病毒以及流感病毒等）</w:t>
      </w:r>
      <w:r>
        <w:rPr>
          <w:spacing w:val="-5"/>
        </w:rPr>
        <w:t>无交叉反应。</w:t>
      </w:r>
    </w:p>
    <w:p>
      <w:pPr>
        <w:pStyle w:val="Heading1"/>
        <w:spacing w:line="190" w:lineRule="exact"/>
      </w:pPr>
      <w:r>
        <w:rPr/>
        <w:t>【注意事项】</w:t>
      </w:r>
    </w:p>
    <w:p>
      <w:pPr>
        <w:pStyle w:val="ListParagraph"/>
        <w:numPr>
          <w:ilvl w:val="0"/>
          <w:numId w:val="7"/>
        </w:numPr>
        <w:tabs>
          <w:tab w:pos="324" w:val="left" w:leader="none"/>
        </w:tabs>
        <w:spacing w:line="200" w:lineRule="exact" w:before="0" w:after="0"/>
        <w:ind w:left="323" w:right="0" w:hanging="217"/>
        <w:jc w:val="left"/>
        <w:rPr>
          <w:sz w:val="18"/>
        </w:rPr>
      </w:pPr>
      <w:r>
        <w:rPr>
          <w:spacing w:val="-5"/>
          <w:sz w:val="18"/>
        </w:rPr>
        <w:t>本品仅用于体外检测，使用前请仔细阅读本说明书。</w:t>
      </w:r>
    </w:p>
    <w:p>
      <w:pPr>
        <w:pStyle w:val="ListParagraph"/>
        <w:numPr>
          <w:ilvl w:val="0"/>
          <w:numId w:val="7"/>
        </w:numPr>
        <w:tabs>
          <w:tab w:pos="324" w:val="left" w:leader="none"/>
        </w:tabs>
        <w:spacing w:line="200" w:lineRule="exact" w:before="0" w:after="0"/>
        <w:ind w:left="323" w:right="0" w:hanging="217"/>
        <w:jc w:val="left"/>
        <w:rPr>
          <w:sz w:val="18"/>
        </w:rPr>
      </w:pPr>
      <w:r>
        <w:rPr>
          <w:spacing w:val="-5"/>
          <w:sz w:val="18"/>
        </w:rPr>
        <w:t>试验前请熟悉和掌握需使用的各种仪器的操作方法和注意事项，对每次实验进行质量控制。</w:t>
      </w:r>
    </w:p>
    <w:p>
      <w:pPr>
        <w:pStyle w:val="ListParagraph"/>
        <w:numPr>
          <w:ilvl w:val="0"/>
          <w:numId w:val="7"/>
        </w:numPr>
        <w:tabs>
          <w:tab w:pos="324" w:val="left" w:leader="none"/>
        </w:tabs>
        <w:spacing w:line="206" w:lineRule="auto" w:before="10" w:after="0"/>
        <w:ind w:left="282" w:right="201" w:hanging="176"/>
        <w:jc w:val="left"/>
        <w:rPr>
          <w:sz w:val="18"/>
        </w:rPr>
      </w:pPr>
      <w:r>
        <w:rPr/>
        <w:tab/>
      </w:r>
      <w:r>
        <w:rPr>
          <w:spacing w:val="-5"/>
          <w:sz w:val="18"/>
        </w:rPr>
        <w:t>实验室管理应严格按照</w:t>
      </w:r>
      <w:r>
        <w:rPr>
          <w:rFonts w:ascii="Times New Roman" w:eastAsia="Times New Roman"/>
          <w:spacing w:val="-3"/>
          <w:sz w:val="18"/>
        </w:rPr>
        <w:t>PCR</w:t>
      </w:r>
      <w:r>
        <w:rPr>
          <w:spacing w:val="-5"/>
          <w:sz w:val="18"/>
        </w:rPr>
        <w:t>基因扩增实验室的管理规范，实验人员必须进行专业培训，实验过程严格分区进行，所用消耗品应灭菌后一次性使用，实验操作的每个阶段使用专用的仪器和设备，各区各阶段用品不能交叉使用。</w:t>
      </w:r>
    </w:p>
    <w:p>
      <w:pPr>
        <w:pStyle w:val="ListParagraph"/>
        <w:numPr>
          <w:ilvl w:val="0"/>
          <w:numId w:val="7"/>
        </w:numPr>
        <w:tabs>
          <w:tab w:pos="324" w:val="left" w:leader="none"/>
        </w:tabs>
        <w:spacing w:line="206" w:lineRule="auto" w:before="4" w:after="0"/>
        <w:ind w:left="282" w:right="202" w:hanging="176"/>
        <w:jc w:val="left"/>
        <w:rPr>
          <w:sz w:val="18"/>
        </w:rPr>
      </w:pPr>
      <w:r>
        <w:rPr/>
        <w:tab/>
      </w:r>
      <w:r>
        <w:rPr>
          <w:spacing w:val="-5"/>
          <w:sz w:val="18"/>
        </w:rPr>
        <w:t>所有检测样品应视为具有传染性物质，实验过程中穿工作服，戴一次性口罩及手套并经常替换手套以避免样品间的交叉污染；样</w:t>
      </w:r>
      <w:r>
        <w:rPr>
          <w:spacing w:val="-7"/>
          <w:sz w:val="18"/>
        </w:rPr>
        <w:t>本操作、废弃物处理均需符合相关法规要求：卫生部《微生物生物医学实验室生物安全通用准则》和《医疗废物管理条例》。</w:t>
      </w:r>
    </w:p>
    <w:p>
      <w:pPr>
        <w:pStyle w:val="ListParagraph"/>
        <w:numPr>
          <w:ilvl w:val="0"/>
          <w:numId w:val="7"/>
        </w:numPr>
        <w:tabs>
          <w:tab w:pos="326" w:val="left" w:leader="none"/>
        </w:tabs>
        <w:spacing w:line="193" w:lineRule="exact" w:before="0" w:after="0"/>
        <w:ind w:left="325" w:right="0" w:hanging="217"/>
        <w:jc w:val="left"/>
        <w:rPr>
          <w:sz w:val="18"/>
        </w:rPr>
      </w:pPr>
      <w:r>
        <w:rPr>
          <w:spacing w:val="-5"/>
          <w:sz w:val="18"/>
        </w:rPr>
        <w:t>所有的试剂在使用前，均需在室温下充分融化、混匀后使用。</w:t>
      </w:r>
    </w:p>
    <w:p>
      <w:pPr>
        <w:pStyle w:val="Heading1"/>
      </w:pPr>
      <w:r>
        <w:rPr/>
        <w:t>【参考文献】</w:t>
      </w:r>
    </w:p>
    <w:p>
      <w:pPr>
        <w:pStyle w:val="ListParagraph"/>
        <w:numPr>
          <w:ilvl w:val="0"/>
          <w:numId w:val="8"/>
        </w:numPr>
        <w:tabs>
          <w:tab w:pos="405" w:val="left" w:leader="none"/>
        </w:tabs>
        <w:spacing w:line="205" w:lineRule="exact" w:before="0" w:after="0"/>
        <w:ind w:left="404" w:right="0" w:hanging="298"/>
        <w:jc w:val="left"/>
        <w:rPr>
          <w:rFonts w:ascii="Times New Roman" w:eastAsia="Times New Roman"/>
          <w:sz w:val="18"/>
        </w:rPr>
      </w:pPr>
      <w:r>
        <w:rPr>
          <w:spacing w:val="-2"/>
          <w:sz w:val="18"/>
        </w:rPr>
        <w:t>孙向阳，闫临漪，高希兰．小儿支原体肺炎肺外并发症 </w:t>
      </w:r>
      <w:r>
        <w:rPr>
          <w:rFonts w:ascii="Times New Roman" w:eastAsia="Times New Roman"/>
          <w:sz w:val="18"/>
        </w:rPr>
        <w:t>42</w:t>
      </w:r>
      <w:r>
        <w:rPr>
          <w:rFonts w:ascii="Times New Roman" w:eastAsia="Times New Roman"/>
          <w:spacing w:val="-1"/>
          <w:sz w:val="18"/>
        </w:rPr>
        <w:t> </w:t>
      </w:r>
      <w:r>
        <w:rPr>
          <w:sz w:val="18"/>
        </w:rPr>
        <w:t>例分析</w:t>
      </w:r>
      <w:r>
        <w:rPr>
          <w:rFonts w:ascii="Times New Roman" w:eastAsia="Times New Roman"/>
          <w:sz w:val="18"/>
        </w:rPr>
        <w:t>[J]</w:t>
      </w:r>
      <w:r>
        <w:rPr>
          <w:sz w:val="18"/>
        </w:rPr>
        <w:t>现代诊断与治疗，</w:t>
      </w:r>
      <w:r>
        <w:rPr>
          <w:rFonts w:ascii="Times New Roman" w:eastAsia="Times New Roman"/>
          <w:sz w:val="18"/>
        </w:rPr>
        <w:t>1999</w:t>
      </w:r>
      <w:r>
        <w:rPr>
          <w:sz w:val="18"/>
        </w:rPr>
        <w:t>，</w:t>
      </w:r>
      <w:r>
        <w:rPr>
          <w:rFonts w:ascii="Times New Roman" w:eastAsia="Times New Roman"/>
          <w:sz w:val="18"/>
        </w:rPr>
        <w:t>10(3)</w:t>
      </w:r>
      <w:r>
        <w:rPr>
          <w:sz w:val="18"/>
        </w:rPr>
        <w:t>：</w:t>
      </w:r>
      <w:r>
        <w:rPr>
          <w:rFonts w:ascii="Times New Roman" w:eastAsia="Times New Roman"/>
          <w:sz w:val="18"/>
        </w:rPr>
        <w:t>45.</w:t>
      </w:r>
    </w:p>
    <w:p>
      <w:pPr>
        <w:pStyle w:val="ListParagraph"/>
        <w:numPr>
          <w:ilvl w:val="0"/>
          <w:numId w:val="8"/>
        </w:numPr>
        <w:tabs>
          <w:tab w:pos="362" w:val="left" w:leader="none"/>
        </w:tabs>
        <w:spacing w:line="193" w:lineRule="exact" w:before="0" w:after="0"/>
        <w:ind w:left="361" w:right="0" w:hanging="255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w:t>Hammerschlag M.R. </w:t>
      </w:r>
      <w:r>
        <w:rPr>
          <w:rFonts w:ascii="Times New Roman"/>
          <w:i/>
          <w:sz w:val="18"/>
        </w:rPr>
        <w:t>Mycoplasma pneumoniae </w:t>
      </w:r>
      <w:r>
        <w:rPr>
          <w:rFonts w:ascii="Times New Roman"/>
          <w:sz w:val="18"/>
        </w:rPr>
        <w:t>infections. Curr Opin Infect Dis</w:t>
      </w:r>
      <w:r>
        <w:rPr>
          <w:rFonts w:ascii="Times New Roman"/>
          <w:spacing w:val="-9"/>
          <w:sz w:val="18"/>
        </w:rPr>
        <w:t> </w:t>
      </w:r>
      <w:r>
        <w:rPr>
          <w:rFonts w:ascii="Times New Roman"/>
          <w:sz w:val="18"/>
        </w:rPr>
        <w:t>2001;14:181-6.</w:t>
      </w:r>
    </w:p>
    <w:p>
      <w:pPr>
        <w:pStyle w:val="BodyText"/>
        <w:spacing w:line="232" w:lineRule="auto" w:before="1"/>
        <w:ind w:right="205"/>
        <w:rPr>
          <w:rFonts w:ascii="Times New Roman"/>
        </w:rPr>
      </w:pPr>
      <w:r>
        <w:rPr>
          <w:rFonts w:ascii="Times New Roman"/>
        </w:rPr>
        <w:t>[3]. Daxboeck F., Krause R., Wenisch C. Laboratory diagnosis of </w:t>
      </w:r>
      <w:r>
        <w:rPr>
          <w:rFonts w:ascii="Times New Roman"/>
          <w:i/>
        </w:rPr>
        <w:t>Mycoplasma pneumoniae </w:t>
      </w:r>
      <w:r>
        <w:rPr>
          <w:rFonts w:ascii="Times New Roman"/>
        </w:rPr>
        <w:t>infection. Clin Microbiol Infect 2003;9:263-73. [4]. Andreu L.M., Molinos A.S., Fernandez R.G., et al. Serologic diagnosis of </w:t>
      </w:r>
      <w:r>
        <w:rPr>
          <w:rFonts w:ascii="Times New Roman"/>
          <w:i/>
        </w:rPr>
        <w:t>Mycoplasma pneumoniae </w:t>
      </w:r>
      <w:r>
        <w:rPr>
          <w:rFonts w:ascii="Times New Roman"/>
        </w:rPr>
        <w:t>infections. Enferm Infecc</w:t>
      </w:r>
    </w:p>
    <w:p>
      <w:pPr>
        <w:pStyle w:val="BodyText"/>
        <w:spacing w:line="197" w:lineRule="exact"/>
        <w:ind w:left="375"/>
        <w:rPr>
          <w:rFonts w:ascii="Times New Roman"/>
        </w:rPr>
      </w:pPr>
      <w:r>
        <w:rPr>
          <w:rFonts w:ascii="Times New Roman"/>
        </w:rPr>
        <w:t>Microbiol Clin 2006;24 Suppl 1:19-23.</w:t>
      </w:r>
    </w:p>
    <w:p>
      <w:pPr>
        <w:pStyle w:val="BodyText"/>
        <w:rPr>
          <w:rFonts w:ascii="Times New Roman"/>
        </w:rPr>
      </w:pPr>
      <w:r>
        <w:rPr>
          <w:rFonts w:ascii="Times New Roman"/>
        </w:rPr>
        <w:t>[5]Jonas M. Winchell, Kathleen A. Thurman, Stephanie L. Mitchell. Evaluation of Three Real-Time PCR Assays for Detection of</w:t>
      </w:r>
    </w:p>
    <w:p>
      <w:pPr>
        <w:pStyle w:val="BodyText"/>
        <w:spacing w:line="194" w:lineRule="exact"/>
        <w:ind w:left="287"/>
        <w:rPr>
          <w:rFonts w:ascii="Times New Roman"/>
        </w:rPr>
      </w:pPr>
      <w:r>
        <w:rPr>
          <w:rFonts w:ascii="Times New Roman"/>
          <w:i/>
        </w:rPr>
        <w:t>Mycoplasma pneumoniae </w:t>
      </w:r>
      <w:r>
        <w:rPr>
          <w:rFonts w:ascii="Times New Roman"/>
        </w:rPr>
        <w:t>in an Outbreak Investigation. JOURNAL OF CLINICAL MICROBIOLOGY, 2008:Vol. 46, No. 9: 3116-3118.</w:t>
      </w:r>
    </w:p>
    <w:p>
      <w:pPr>
        <w:pStyle w:val="Heading1"/>
        <w:spacing w:line="206" w:lineRule="exact"/>
      </w:pPr>
      <w:r>
        <w:rPr>
          <w:spacing w:val="-5"/>
          <w:w w:val="95"/>
        </w:rPr>
        <w:t>【生产企业】</w:t>
      </w:r>
    </w:p>
    <w:p>
      <w:pPr>
        <w:spacing w:line="200" w:lineRule="exact" w:before="0"/>
        <w:ind w:left="107" w:right="0" w:firstLine="0"/>
        <w:jc w:val="left"/>
        <w:rPr>
          <w:b/>
          <w:sz w:val="18"/>
        </w:rPr>
      </w:pPr>
      <w:r>
        <w:rPr>
          <w:b/>
          <w:w w:val="95"/>
          <w:sz w:val="18"/>
        </w:rPr>
        <w:t>【基本信息】</w:t>
      </w:r>
    </w:p>
    <w:p>
      <w:pPr>
        <w:pStyle w:val="BodyText"/>
        <w:spacing w:line="206" w:lineRule="auto" w:before="10"/>
        <w:ind w:right="6286"/>
      </w:pPr>
      <w:r>
        <w:rPr/>
        <w:t>注册人</w:t>
      </w:r>
      <w:r>
        <w:rPr>
          <w:rFonts w:ascii="Times New Roman" w:eastAsia="Times New Roman"/>
        </w:rPr>
        <w:t>/</w:t>
      </w:r>
      <w:r>
        <w:rPr/>
        <w:t>生产企业名称：圣湘生物科技股份有限公司住所：长沙高新技术产业开发区麓松路 </w:t>
      </w:r>
      <w:r>
        <w:rPr>
          <w:rFonts w:ascii="Times New Roman" w:eastAsia="Times New Roman"/>
        </w:rPr>
        <w:t>680 </w:t>
      </w:r>
      <w:r>
        <w:rPr/>
        <w:t>号</w:t>
      </w:r>
    </w:p>
    <w:p>
      <w:pPr>
        <w:pStyle w:val="BodyText"/>
        <w:tabs>
          <w:tab w:pos="3649" w:val="left" w:leader="none"/>
        </w:tabs>
        <w:spacing w:line="194" w:lineRule="exact"/>
        <w:rPr>
          <w:rFonts w:ascii="Times New Roman" w:eastAsia="Times New Roman"/>
        </w:rPr>
      </w:pPr>
      <w:r>
        <w:rPr/>
        <w:t>联系方式</w:t>
      </w:r>
      <w:r>
        <w:rPr>
          <w:spacing w:val="-3"/>
        </w:rPr>
        <w:t>：</w:t>
      </w:r>
      <w:r>
        <w:rPr>
          <w:rFonts w:ascii="Times New Roman" w:eastAsia="Times New Roman"/>
          <w:spacing w:val="-3"/>
        </w:rPr>
        <w:t>0731-88883176</w:t>
        <w:tab/>
      </w:r>
      <w:r>
        <w:rPr/>
        <w:t>传真号码</w:t>
      </w:r>
      <w:r>
        <w:rPr>
          <w:spacing w:val="-3"/>
        </w:rPr>
        <w:t>：</w:t>
      </w:r>
      <w:r>
        <w:rPr>
          <w:rFonts w:ascii="Times New Roman" w:eastAsia="Times New Roman"/>
          <w:spacing w:val="-3"/>
        </w:rPr>
        <w:t>0731-88884876</w:t>
      </w:r>
    </w:p>
    <w:p>
      <w:pPr>
        <w:pStyle w:val="BodyText"/>
        <w:spacing w:line="199" w:lineRule="exact"/>
      </w:pPr>
      <w:r>
        <w:rPr/>
        <w:t>售后服务单位名称：圣湘生物科技股份有限公司</w:t>
      </w:r>
    </w:p>
    <w:p>
      <w:pPr>
        <w:pStyle w:val="BodyText"/>
        <w:tabs>
          <w:tab w:pos="3608" w:val="left" w:leader="none"/>
        </w:tabs>
        <w:rPr>
          <w:rFonts w:ascii="Times New Roman" w:eastAsia="Times New Roman"/>
        </w:rPr>
      </w:pPr>
      <w:r>
        <w:rPr/>
        <w:t>联系方式</w:t>
      </w:r>
      <w:r>
        <w:rPr>
          <w:rFonts w:ascii="Times New Roman" w:eastAsia="Times New Roman"/>
        </w:rPr>
        <w:t>:   </w:t>
      </w:r>
      <w:r>
        <w:rPr>
          <w:rFonts w:ascii="Times New Roman" w:eastAsia="Times New Roman"/>
          <w:spacing w:val="5"/>
        </w:rPr>
        <w:t> </w:t>
      </w:r>
      <w:r>
        <w:rPr>
          <w:rFonts w:ascii="Times New Roman" w:eastAsia="Times New Roman"/>
          <w:spacing w:val="-3"/>
        </w:rPr>
        <w:t>0731-88883176</w:t>
        <w:tab/>
      </w:r>
      <w:r>
        <w:rPr/>
        <w:t>传真号码</w:t>
      </w:r>
      <w:r>
        <w:rPr>
          <w:spacing w:val="-3"/>
        </w:rPr>
        <w:t>：</w:t>
      </w:r>
      <w:r>
        <w:rPr>
          <w:rFonts w:ascii="Times New Roman" w:eastAsia="Times New Roman"/>
          <w:spacing w:val="-3"/>
        </w:rPr>
        <w:t>0731-88884876</w:t>
      </w:r>
    </w:p>
    <w:p>
      <w:pPr>
        <w:pStyle w:val="BodyText"/>
      </w:pPr>
      <w:r>
        <w:rPr/>
        <w:t>生产地址：长沙高新技术产业开发区麓松路 </w:t>
      </w:r>
      <w:r>
        <w:rPr>
          <w:rFonts w:ascii="Times New Roman" w:eastAsia="Times New Roman"/>
        </w:rPr>
        <w:t>680 </w:t>
      </w:r>
      <w:r>
        <w:rPr/>
        <w:t>号</w:t>
      </w:r>
    </w:p>
    <w:p>
      <w:pPr>
        <w:pStyle w:val="BodyText"/>
        <w:spacing w:line="199" w:lineRule="exact"/>
      </w:pPr>
      <w:r>
        <w:rPr/>
        <w:t>生产许可证编号：湘食药监械生产许 </w:t>
      </w:r>
      <w:r>
        <w:rPr>
          <w:rFonts w:ascii="Times New Roman" w:eastAsia="Times New Roman"/>
        </w:rPr>
        <w:t>20150036 </w:t>
      </w:r>
      <w:r>
        <w:rPr/>
        <w:t>号</w:t>
      </w:r>
    </w:p>
    <w:p>
      <w:pPr>
        <w:pStyle w:val="Heading1"/>
        <w:rPr>
          <w:rFonts w:ascii="Times New Roman" w:eastAsia="Times New Roman"/>
        </w:rPr>
      </w:pPr>
      <w:r>
        <w:rPr/>
        <w:t>【医疗器械注册证书编号</w:t>
      </w:r>
      <w:r>
        <w:rPr>
          <w:rFonts w:ascii="Times New Roman" w:eastAsia="Times New Roman"/>
        </w:rPr>
        <w:t>/</w:t>
      </w:r>
      <w:r>
        <w:rPr/>
        <w:t>产品技术要求编号】国械注准 </w:t>
      </w:r>
      <w:r>
        <w:rPr>
          <w:rFonts w:ascii="Times New Roman" w:eastAsia="Times New Roman"/>
        </w:rPr>
        <w:t>20173400078</w:t>
      </w:r>
    </w:p>
    <w:p>
      <w:pPr>
        <w:spacing w:line="216" w:lineRule="exact" w:before="0"/>
        <w:ind w:left="107" w:right="0" w:firstLine="0"/>
        <w:jc w:val="left"/>
        <w:rPr>
          <w:b/>
          <w:sz w:val="18"/>
        </w:rPr>
      </w:pPr>
      <w:r>
        <w:rPr>
          <w:b/>
          <w:sz w:val="18"/>
        </w:rPr>
        <w:t>【说明书核准日期及修改日期】</w:t>
      </w:r>
      <w:r>
        <w:rPr>
          <w:rFonts w:ascii="Times New Roman" w:eastAsia="Times New Roman"/>
          <w:b/>
          <w:sz w:val="18"/>
        </w:rPr>
        <w:t>2019 </w:t>
      </w:r>
      <w:r>
        <w:rPr>
          <w:b/>
          <w:sz w:val="18"/>
        </w:rPr>
        <w:t>年 </w:t>
      </w:r>
      <w:r>
        <w:rPr>
          <w:rFonts w:ascii="Times New Roman" w:eastAsia="Times New Roman"/>
          <w:b/>
          <w:sz w:val="18"/>
        </w:rPr>
        <w:t>10 </w:t>
      </w:r>
      <w:r>
        <w:rPr>
          <w:b/>
          <w:sz w:val="18"/>
        </w:rPr>
        <w:t>月 </w:t>
      </w:r>
      <w:r>
        <w:rPr>
          <w:rFonts w:ascii="Times New Roman" w:eastAsia="Times New Roman"/>
          <w:b/>
          <w:sz w:val="18"/>
        </w:rPr>
        <w:t>10 </w:t>
      </w:r>
      <w:r>
        <w:rPr>
          <w:b/>
          <w:sz w:val="18"/>
        </w:rPr>
        <w:t>日</w:t>
      </w:r>
    </w:p>
    <w:sectPr>
      <w:pgSz w:w="11910" w:h="16840"/>
      <w:pgMar w:header="462" w:footer="465" w:top="660" w:bottom="660" w:left="80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宋体">
    <w:altName w:val="宋体"/>
    <w:charset w:val="86"/>
    <w:family w:val="auto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266.480011pt;margin-top:807.630005pt;width:62.25pt;height:12pt;mso-position-horizontal-relative:page;mso-position-vertical-relative:page;z-index:-252176384" type="#_x0000_t202" filled="false" stroked="false">
          <v:textbox inset="0,0,0,0">
            <w:txbxContent>
              <w:p>
                <w:pPr>
                  <w:pStyle w:val="BodyText"/>
                  <w:spacing w:line="240" w:lineRule="auto"/>
                  <w:ind w:left="20"/>
                </w:pPr>
                <w:r>
                  <w:rPr>
                    <w:rFonts w:ascii="Times New Roman" w:eastAsia="Times New Roman"/>
                  </w:rPr>
                  <w:t>MP </w:t>
                </w:r>
                <w:r>
                  <w:rPr/>
                  <w:t>产品说明书</w:t>
                </w:r>
              </w:p>
            </w:txbxContent>
          </v:textbox>
          <w10:wrap type="none"/>
        </v:shape>
      </w:pict>
    </w:r>
    <w:r>
      <w:rPr/>
      <w:pict>
        <v:shape style="position:absolute;margin-left:538.23999pt;margin-top:810.030029pt;width:8.5pt;height:12pt;mso-position-horizontal-relative:page;mso-position-vertical-relative:page;z-index:-252175360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12"/>
                  <w:ind w:left="4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40.959015pt;margin-top:23.11565pt;width:110pt;height:11pt;mso-position-horizontal-relative:page;mso-position-vertical-relative:page;z-index:-252177408" type="#_x0000_t202" filled="false" stroked="false">
          <v:textbox inset="0,0,0,0">
            <w:txbxContent>
              <w:p>
                <w:pPr>
                  <w:pStyle w:val="BodyText"/>
                  <w:spacing w:line="220" w:lineRule="exact"/>
                  <w:ind w:left="20"/>
                </w:pPr>
                <w:r>
                  <w:rPr/>
                  <w:t>圣湘生物科技股份有限公司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decimal"/>
      <w:lvlText w:val="[%1]"/>
      <w:lvlJc w:val="left"/>
      <w:pPr>
        <w:ind w:left="404" w:hanging="298"/>
        <w:jc w:val="left"/>
      </w:pPr>
      <w:rPr>
        <w:rFonts w:hint="default" w:ascii="Times New Roman" w:hAnsi="Times New Roman" w:eastAsia="Times New Roman" w:cs="Times New Roman"/>
        <w:spacing w:val="-45"/>
        <w:w w:val="100"/>
        <w:sz w:val="18"/>
        <w:szCs w:val="18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400" w:hanging="298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401" w:hanging="298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401" w:hanging="298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402" w:hanging="298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403" w:hanging="298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403" w:hanging="298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404" w:hanging="298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404" w:hanging="298"/>
      </w:pPr>
      <w:rPr>
        <w:rFonts w:hint="default"/>
        <w:lang w:val="zh-CN" w:eastAsia="zh-CN" w:bidi="zh-CN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323" w:hanging="216"/>
        <w:jc w:val="left"/>
      </w:pPr>
      <w:rPr>
        <w:rFonts w:hint="default" w:ascii="Times New Roman" w:hAnsi="Times New Roman" w:eastAsia="Times New Roman" w:cs="Times New Roman"/>
        <w:spacing w:val="-8"/>
        <w:w w:val="100"/>
        <w:sz w:val="18"/>
        <w:szCs w:val="18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328" w:hanging="216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337" w:hanging="216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345" w:hanging="216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354" w:hanging="216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363" w:hanging="216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371" w:hanging="216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380" w:hanging="216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388" w:hanging="216"/>
      </w:pPr>
      <w:rPr>
        <w:rFonts w:hint="default"/>
        <w:lang w:val="zh-CN" w:eastAsia="zh-CN" w:bidi="zh-CN"/>
      </w:rPr>
    </w:lvl>
  </w:abstractNum>
  <w:abstractNum w:abstractNumId="5">
    <w:multiLevelType w:val="hybridMultilevel"/>
    <w:lvl w:ilvl="0">
      <w:start w:val="1"/>
      <w:numFmt w:val="decimal"/>
      <w:lvlText w:val="%1"/>
      <w:lvlJc w:val="left"/>
      <w:pPr>
        <w:ind w:left="366" w:hanging="260"/>
        <w:jc w:val="left"/>
      </w:pPr>
      <w:rPr>
        <w:rFonts w:hint="default" w:ascii="Times New Roman" w:hAnsi="Times New Roman" w:eastAsia="Times New Roman" w:cs="Times New Roman"/>
        <w:spacing w:val="-11"/>
        <w:w w:val="100"/>
        <w:sz w:val="18"/>
        <w:szCs w:val="18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467" w:hanging="360"/>
        <w:jc w:val="left"/>
      </w:pPr>
      <w:rPr>
        <w:rFonts w:hint="default" w:ascii="Times New Roman" w:hAnsi="Times New Roman" w:eastAsia="Times New Roman" w:cs="Times New Roman"/>
        <w:spacing w:val="-5"/>
        <w:w w:val="100"/>
        <w:sz w:val="18"/>
        <w:szCs w:val="18"/>
        <w:lang w:val="zh-CN" w:eastAsia="zh-CN" w:bidi="zh-CN"/>
      </w:rPr>
    </w:lvl>
    <w:lvl w:ilvl="2">
      <w:start w:val="0"/>
      <w:numFmt w:val="bullet"/>
      <w:lvlText w:val="•"/>
      <w:lvlJc w:val="left"/>
      <w:pPr>
        <w:ind w:left="1565" w:hanging="360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2670" w:hanging="360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3775" w:hanging="360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4880" w:hanging="360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985" w:hanging="360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090" w:hanging="360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195" w:hanging="360"/>
      </w:pPr>
      <w:rPr>
        <w:rFonts w:hint="default"/>
        <w:lang w:val="zh-CN" w:eastAsia="zh-CN" w:bidi="zh-CN"/>
      </w:rPr>
    </w:lvl>
  </w:abstractNum>
  <w:abstractNum w:abstractNumId="4">
    <w:multiLevelType w:val="hybridMultilevel"/>
    <w:lvl w:ilvl="0">
      <w:start w:val="2"/>
      <w:numFmt w:val="decimal"/>
      <w:lvlText w:val="%1"/>
      <w:lvlJc w:val="left"/>
      <w:pPr>
        <w:ind w:left="412" w:hanging="305"/>
        <w:jc w:val="left"/>
      </w:pPr>
      <w:rPr>
        <w:rFonts w:hint="default"/>
        <w:lang w:val="zh-CN" w:eastAsia="zh-CN" w:bidi="zh-CN"/>
      </w:rPr>
    </w:lvl>
    <w:lvl w:ilvl="1">
      <w:start w:val="2"/>
      <w:numFmt w:val="decimal"/>
      <w:lvlText w:val="%1.%2"/>
      <w:lvlJc w:val="left"/>
      <w:pPr>
        <w:ind w:left="412" w:hanging="305"/>
        <w:jc w:val="left"/>
      </w:pPr>
      <w:rPr>
        <w:rFonts w:hint="default" w:ascii="Times New Roman" w:hAnsi="Times New Roman" w:eastAsia="Times New Roman" w:cs="Times New Roman"/>
        <w:spacing w:val="-8"/>
        <w:w w:val="100"/>
        <w:sz w:val="18"/>
        <w:szCs w:val="18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500" w:hanging="394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18"/>
        <w:szCs w:val="18"/>
        <w:lang w:val="zh-CN" w:eastAsia="zh-CN" w:bidi="zh-CN"/>
      </w:rPr>
    </w:lvl>
    <w:lvl w:ilvl="3">
      <w:start w:val="0"/>
      <w:numFmt w:val="bullet"/>
      <w:lvlText w:val="•"/>
      <w:lvlJc w:val="left"/>
      <w:pPr>
        <w:ind w:left="2701" w:hanging="394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3802" w:hanging="394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4902" w:hanging="394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003" w:hanging="394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104" w:hanging="394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204" w:hanging="394"/>
      </w:pPr>
      <w:rPr>
        <w:rFonts w:hint="default"/>
        <w:lang w:val="zh-CN" w:eastAsia="zh-CN" w:bidi="zh-CN"/>
      </w:rPr>
    </w:lvl>
  </w:abstractNum>
  <w:abstractNum w:abstractNumId="3">
    <w:multiLevelType w:val="hybridMultilevel"/>
    <w:lvl w:ilvl="0">
      <w:start w:val="2"/>
      <w:numFmt w:val="decimal"/>
      <w:lvlText w:val="%1"/>
      <w:lvlJc w:val="left"/>
      <w:pPr>
        <w:ind w:left="544" w:hanging="437"/>
        <w:jc w:val="left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544" w:hanging="437"/>
        <w:jc w:val="left"/>
      </w:pPr>
      <w:rPr>
        <w:rFonts w:hint="default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544" w:hanging="437"/>
        <w:jc w:val="left"/>
      </w:pPr>
      <w:rPr>
        <w:rFonts w:hint="default" w:ascii="Times New Roman" w:hAnsi="Times New Roman" w:eastAsia="Times New Roman" w:cs="Times New Roman"/>
        <w:spacing w:val="-8"/>
        <w:w w:val="100"/>
        <w:sz w:val="18"/>
        <w:szCs w:val="18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499" w:hanging="437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486" w:hanging="437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473" w:hanging="437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459" w:hanging="437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446" w:hanging="437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432" w:hanging="437"/>
      </w:pPr>
      <w:rPr>
        <w:rFonts w:hint="default"/>
        <w:lang w:val="zh-CN" w:eastAsia="zh-CN" w:bidi="zh-CN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241" w:hanging="135"/>
        <w:jc w:val="left"/>
      </w:pPr>
      <w:rPr>
        <w:rFonts w:hint="default" w:ascii="Times New Roman" w:hAnsi="Times New Roman" w:eastAsia="Times New Roman" w:cs="Times New Roman"/>
        <w:b/>
        <w:bCs/>
        <w:spacing w:val="-5"/>
        <w:w w:val="100"/>
        <w:sz w:val="16"/>
        <w:szCs w:val="16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412" w:hanging="305"/>
        <w:jc w:val="left"/>
      </w:pPr>
      <w:rPr>
        <w:rFonts w:hint="default" w:ascii="Times New Roman" w:hAnsi="Times New Roman" w:eastAsia="Times New Roman" w:cs="Times New Roman"/>
        <w:spacing w:val="-8"/>
        <w:w w:val="100"/>
        <w:sz w:val="18"/>
        <w:szCs w:val="18"/>
        <w:lang w:val="zh-CN" w:eastAsia="zh-CN" w:bidi="zh-CN"/>
      </w:rPr>
    </w:lvl>
    <w:lvl w:ilvl="2">
      <w:start w:val="1"/>
      <w:numFmt w:val="decimal"/>
      <w:lvlText w:val="%1.%2.%3"/>
      <w:lvlJc w:val="left"/>
      <w:pPr>
        <w:ind w:left="488" w:hanging="382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18"/>
        <w:szCs w:val="18"/>
        <w:lang w:val="zh-CN" w:eastAsia="zh-CN" w:bidi="zh-CN"/>
      </w:rPr>
    </w:lvl>
    <w:lvl w:ilvl="3">
      <w:start w:val="0"/>
      <w:numFmt w:val="bullet"/>
      <w:lvlText w:val="•"/>
      <w:lvlJc w:val="left"/>
      <w:pPr>
        <w:ind w:left="480" w:hanging="382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640" w:hanging="382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2267" w:hanging="382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3895" w:hanging="382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5523" w:hanging="382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150" w:hanging="382"/>
      </w:pPr>
      <w:rPr>
        <w:rFonts w:hint="default"/>
        <w:lang w:val="zh-CN" w:eastAsia="zh-CN" w:bidi="zh-CN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280" w:hanging="173"/>
        <w:jc w:val="left"/>
      </w:pPr>
      <w:rPr>
        <w:rFonts w:hint="default" w:ascii="Times New Roman" w:hAnsi="Times New Roman" w:eastAsia="Times New Roman" w:cs="Times New Roman"/>
        <w:spacing w:val="-8"/>
        <w:w w:val="100"/>
        <w:sz w:val="18"/>
        <w:szCs w:val="18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368" w:hanging="262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18"/>
        <w:szCs w:val="18"/>
        <w:lang w:val="zh-CN" w:eastAsia="zh-CN" w:bidi="zh-CN"/>
      </w:rPr>
    </w:lvl>
    <w:lvl w:ilvl="2">
      <w:start w:val="0"/>
      <w:numFmt w:val="bullet"/>
      <w:lvlText w:val="•"/>
      <w:lvlJc w:val="left"/>
      <w:pPr>
        <w:ind w:left="1476" w:hanging="262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2592" w:hanging="262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3708" w:hanging="262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4824" w:hanging="262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941" w:hanging="262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057" w:hanging="262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173" w:hanging="262"/>
      </w:pPr>
      <w:rPr>
        <w:rFonts w:hint="default"/>
        <w:lang w:val="zh-CN" w:eastAsia="zh-CN" w:bidi="zh-CN"/>
      </w:rPr>
    </w:lvl>
  </w:abstractNum>
  <w:abstractNum w:abstractNumId="0">
    <w:multiLevelType w:val="hybridMultilevel"/>
    <w:lvl w:ilvl="0">
      <w:start w:val="2"/>
      <w:numFmt w:val="decimal"/>
      <w:lvlText w:val="%1）"/>
      <w:lvlJc w:val="left"/>
      <w:pPr>
        <w:ind w:left="895" w:hanging="285"/>
        <w:jc w:val="right"/>
      </w:pPr>
      <w:rPr>
        <w:rFonts w:hint="default"/>
        <w:spacing w:val="-3"/>
        <w:w w:val="99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850" w:hanging="285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801" w:hanging="285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751" w:hanging="285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702" w:hanging="285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653" w:hanging="285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6603" w:hanging="285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7554" w:hanging="285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8504" w:hanging="285"/>
      </w:pPr>
      <w:rPr>
        <w:rFonts w:hint="default"/>
        <w:lang w:val="zh-CN" w:eastAsia="zh-CN" w:bidi="zh-CN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  <w:lang w:val="zh-CN" w:eastAsia="zh-CN" w:bidi="zh-CN"/>
    </w:rPr>
  </w:style>
  <w:style w:styleId="BodyText" w:type="paragraph">
    <w:name w:val="Body Text"/>
    <w:basedOn w:val="Normal"/>
    <w:uiPriority w:val="1"/>
    <w:qFormat/>
    <w:pPr>
      <w:spacing w:line="200" w:lineRule="exact"/>
      <w:ind w:left="107"/>
    </w:pPr>
    <w:rPr>
      <w:rFonts w:ascii="宋体" w:hAnsi="宋体" w:eastAsia="宋体" w:cs="宋体"/>
      <w:sz w:val="18"/>
      <w:szCs w:val="18"/>
      <w:lang w:val="zh-CN" w:eastAsia="zh-CN" w:bidi="zh-CN"/>
    </w:rPr>
  </w:style>
  <w:style w:styleId="Heading1" w:type="paragraph">
    <w:name w:val="Heading 1"/>
    <w:basedOn w:val="Normal"/>
    <w:uiPriority w:val="1"/>
    <w:qFormat/>
    <w:pPr>
      <w:spacing w:line="200" w:lineRule="exact"/>
      <w:ind w:left="107"/>
      <w:outlineLvl w:val="1"/>
    </w:pPr>
    <w:rPr>
      <w:rFonts w:ascii="宋体" w:hAnsi="宋体" w:eastAsia="宋体" w:cs="宋体"/>
      <w:b/>
      <w:bCs/>
      <w:sz w:val="18"/>
      <w:szCs w:val="18"/>
      <w:lang w:val="zh-CN" w:eastAsia="zh-CN" w:bidi="zh-CN"/>
    </w:rPr>
  </w:style>
  <w:style w:styleId="ListParagraph" w:type="paragraph">
    <w:name w:val="List Paragraph"/>
    <w:basedOn w:val="Normal"/>
    <w:uiPriority w:val="1"/>
    <w:qFormat/>
    <w:pPr>
      <w:spacing w:line="200" w:lineRule="exact"/>
      <w:ind w:left="412" w:hanging="305"/>
    </w:pPr>
    <w:rPr>
      <w:rFonts w:ascii="宋体" w:hAnsi="宋体" w:eastAsia="宋体" w:cs="宋体"/>
      <w:lang w:val="zh-CN" w:eastAsia="zh-CN" w:bidi="zh-CN"/>
    </w:rPr>
  </w:style>
  <w:style w:styleId="TableParagraph" w:type="paragraph">
    <w:name w:val="Table Paragraph"/>
    <w:basedOn w:val="Normal"/>
    <w:uiPriority w:val="1"/>
    <w:qFormat/>
    <w:pPr>
      <w:spacing w:line="180" w:lineRule="exact"/>
      <w:ind w:left="87"/>
      <w:jc w:val="center"/>
    </w:pPr>
    <w:rPr>
      <w:rFonts w:ascii="Times New Roman" w:hAnsi="Times New Roman" w:eastAsia="Times New Roman" w:cs="Times New Roman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dzp</dc:creator>
  <dc:title>医疗器械注册产品标准</dc:title>
  <dcterms:created xsi:type="dcterms:W3CDTF">2021-04-21T13:46:24Z</dcterms:created>
  <dcterms:modified xsi:type="dcterms:W3CDTF">2021-04-21T13:46:24Z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2021-04-21T00:00:00Z</vt:filetime>
  </property>
</Properties>
</file>