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rPr>
      </w:pPr>
    </w:p>
    <w:p>
      <w:pPr>
        <w:pStyle w:val="BodyText"/>
        <w:spacing w:before="6"/>
        <w:ind w:left="0"/>
        <w:rPr>
          <w:rFonts w:ascii="Times New Roman"/>
          <w:sz w:val="16"/>
        </w:rPr>
      </w:pPr>
    </w:p>
    <w:p>
      <w:pPr>
        <w:pStyle w:val="Heading1"/>
        <w:spacing w:line="195" w:lineRule="exact"/>
      </w:pPr>
      <w:r>
        <w:rPr/>
        <w:t>【产品名称】</w:t>
      </w:r>
    </w:p>
    <w:p>
      <w:pPr>
        <w:spacing w:before="88"/>
        <w:ind w:left="127" w:right="0" w:firstLine="0"/>
        <w:jc w:val="left"/>
        <w:rPr>
          <w:b/>
          <w:sz w:val="21"/>
        </w:rPr>
      </w:pPr>
      <w:r>
        <w:rPr/>
        <w:br w:type="column"/>
      </w:r>
      <w:r>
        <w:rPr>
          <w:b/>
          <w:sz w:val="21"/>
        </w:rPr>
        <w:t>丙型肝炎病毒核酸检测试剂盒（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65" w:top="660" w:bottom="660" w:left="780" w:right="760"/>
          <w:pgNumType w:start="1"/>
          <w:cols w:num="2" w:equalWidth="0">
            <w:col w:w="1240" w:space="1140"/>
            <w:col w:w="7990"/>
          </w:cols>
        </w:sectPr>
      </w:pPr>
    </w:p>
    <w:p>
      <w:pPr>
        <w:pStyle w:val="BodyText"/>
        <w:spacing w:line="183" w:lineRule="exact"/>
        <w:rPr>
          <w:rFonts w:ascii="Times New Roman" w:eastAsia="Times New Roman"/>
        </w:rPr>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通用名称：丙型肝炎病毒核酸检测试剂盒</w:t>
      </w:r>
      <w:r>
        <w:rPr>
          <w:rFonts w:ascii="Times New Roman" w:eastAsia="Times New Roman"/>
        </w:rPr>
        <w:t>(PCR-</w:t>
      </w:r>
      <w:r>
        <w:rPr/>
        <w:t>荧光探针法</w:t>
      </w:r>
      <w:r>
        <w:rPr>
          <w:rFonts w:ascii="Times New Roman" w:eastAsia="Times New Roman"/>
        </w:rPr>
        <w:t>)</w:t>
      </w:r>
    </w:p>
    <w:p>
      <w:pPr>
        <w:spacing w:line="176" w:lineRule="exact" w:before="0"/>
        <w:ind w:left="127" w:right="0" w:firstLine="0"/>
        <w:jc w:val="left"/>
        <w:rPr>
          <w:sz w:val="18"/>
        </w:rPr>
      </w:pPr>
      <w:r>
        <w:rPr>
          <w:b/>
          <w:sz w:val="18"/>
        </w:rPr>
        <w:t>【包装规格】</w:t>
      </w:r>
      <w:r>
        <w:rPr>
          <w:rFonts w:ascii="Times New Roman" w:eastAsia="Times New Roman"/>
          <w:sz w:val="18"/>
        </w:rPr>
        <w:t>24 </w:t>
      </w:r>
      <w:r>
        <w:rPr>
          <w:sz w:val="18"/>
        </w:rPr>
        <w:t>人份</w:t>
      </w:r>
      <w:r>
        <w:rPr>
          <w:rFonts w:ascii="Times New Roman" w:eastAsia="Times New Roman"/>
          <w:sz w:val="18"/>
        </w:rPr>
        <w:t>/</w:t>
      </w:r>
      <w:r>
        <w:rPr>
          <w:sz w:val="18"/>
        </w:rPr>
        <w:t>盒</w:t>
      </w:r>
    </w:p>
    <w:p>
      <w:pPr>
        <w:pStyle w:val="Heading1"/>
      </w:pPr>
      <w:r>
        <w:rPr/>
        <w:t>【预期用途】</w:t>
      </w:r>
    </w:p>
    <w:p>
      <w:pPr>
        <w:pStyle w:val="BodyText"/>
        <w:spacing w:line="175" w:lineRule="exact"/>
        <w:ind w:left="484"/>
      </w:pPr>
      <w:r>
        <w:rPr/>
        <w:t>本试剂盒用于定量检测临床血清或血浆样本中的丙型肝炎病毒（</w:t>
      </w:r>
      <w:r>
        <w:rPr>
          <w:rFonts w:ascii="Times New Roman" w:eastAsia="Times New Roman"/>
        </w:rPr>
        <w:t>HCV</w:t>
      </w:r>
      <w:r>
        <w:rPr/>
        <w:t>）</w:t>
      </w:r>
      <w:r>
        <w:rPr>
          <w:rFonts w:ascii="Times New Roman" w:eastAsia="Times New Roman"/>
        </w:rPr>
        <w:t>RNA</w:t>
      </w:r>
      <w:r>
        <w:rPr/>
        <w:t>。</w:t>
      </w:r>
    </w:p>
    <w:p>
      <w:pPr>
        <w:pStyle w:val="BodyText"/>
        <w:spacing w:line="182" w:lineRule="auto" w:before="15"/>
        <w:ind w:right="135" w:firstLine="352"/>
        <w:jc w:val="both"/>
      </w:pPr>
      <w:r>
        <w:rPr>
          <w:spacing w:val="-3"/>
        </w:rPr>
        <w:t>丙型肝炎是一种主要经血液传播的疾病，丙型肝炎病毒</w:t>
      </w:r>
      <w:r>
        <w:rPr>
          <w:rFonts w:ascii="Times New Roman" w:eastAsia="Times New Roman"/>
        </w:rPr>
        <w:t>(Hepatitis C </w:t>
      </w:r>
      <w:r>
        <w:rPr>
          <w:rFonts w:ascii="Times New Roman" w:eastAsia="Times New Roman"/>
          <w:spacing w:val="-4"/>
        </w:rPr>
        <w:t>Virus)</w:t>
      </w:r>
      <w:r>
        <w:rPr>
          <w:spacing w:val="-3"/>
        </w:rPr>
        <w:t>慢性感染可导致肝脏慢性炎症坏死和纤维化，部分患者可发展为肝硬化甚至肝细胞癌</w:t>
      </w:r>
      <w:r>
        <w:rPr>
          <w:rFonts w:ascii="Times New Roman" w:eastAsia="Times New Roman"/>
          <w:spacing w:val="-3"/>
        </w:rPr>
        <w:t>(HCC)</w:t>
      </w:r>
      <w:r>
        <w:rPr>
          <w:spacing w:val="-3"/>
        </w:rPr>
        <w:t>，对患者的健康和生命危害极大，己成为严重的社会和公共卫生问题。本试剂盒检测结果可用于丙型肝炎的辅助诊断。</w:t>
      </w:r>
    </w:p>
    <w:p>
      <w:pPr>
        <w:pStyle w:val="BodyText"/>
        <w:spacing w:line="163" w:lineRule="exact"/>
        <w:ind w:left="480"/>
      </w:pPr>
      <w:r>
        <w:rPr/>
        <w:t>本试剂盒不得用于血源筛查。</w:t>
      </w:r>
    </w:p>
    <w:p>
      <w:pPr>
        <w:pStyle w:val="Heading1"/>
      </w:pPr>
      <w:r>
        <w:rPr/>
        <w:t>【检验原理】</w:t>
      </w:r>
    </w:p>
    <w:p>
      <w:pPr>
        <w:pStyle w:val="BodyText"/>
        <w:spacing w:line="182" w:lineRule="auto" w:before="16"/>
        <w:ind w:right="137" w:firstLine="357"/>
        <w:jc w:val="both"/>
      </w:pPr>
      <w:r>
        <w:rPr>
          <w:spacing w:val="-3"/>
        </w:rPr>
        <w:t>本试剂盒采用磁珠法提取血清或血浆样品中的丙型肝炎病毒</w:t>
      </w:r>
      <w:r>
        <w:rPr/>
        <w:t>（</w:t>
      </w:r>
      <w:r>
        <w:rPr>
          <w:rFonts w:ascii="Times New Roman" w:eastAsia="Times New Roman"/>
        </w:rPr>
        <w:t>HCV</w:t>
      </w:r>
      <w:r>
        <w:rPr/>
        <w:t>）</w:t>
      </w:r>
      <w:r>
        <w:rPr>
          <w:spacing w:val="-57"/>
        </w:rPr>
        <w:t> </w:t>
      </w:r>
      <w:r>
        <w:rPr>
          <w:rFonts w:ascii="Times New Roman" w:eastAsia="Times New Roman"/>
          <w:spacing w:val="-3"/>
        </w:rPr>
        <w:t>RNA</w:t>
      </w:r>
      <w:r>
        <w:rPr>
          <w:spacing w:val="-3"/>
        </w:rPr>
        <w:t>，利用针对丙型肝炎病毒</w:t>
      </w:r>
      <w:r>
        <w:rPr/>
        <w:t>（</w:t>
      </w:r>
      <w:r>
        <w:rPr>
          <w:rFonts w:ascii="Times New Roman" w:eastAsia="Times New Roman"/>
        </w:rPr>
        <w:t>HCV</w:t>
      </w:r>
      <w:r>
        <w:rPr/>
        <w:t>）</w:t>
      </w:r>
      <w:r>
        <w:rPr>
          <w:spacing w:val="-3"/>
        </w:rPr>
        <w:t>核酸保守区设计</w:t>
      </w:r>
      <w:r>
        <w:rPr>
          <w:spacing w:val="-5"/>
        </w:rPr>
        <w:t>的一对特异性引物、一条特异荧光探针，配以 </w:t>
      </w:r>
      <w:r>
        <w:rPr>
          <w:rFonts w:ascii="Times New Roman" w:eastAsia="Times New Roman"/>
        </w:rPr>
        <w:t>PCR </w:t>
      </w:r>
      <w:r>
        <w:rPr>
          <w:spacing w:val="4"/>
        </w:rPr>
        <w:t>反应液，在荧光定量</w:t>
      </w:r>
      <w:r>
        <w:rPr>
          <w:rFonts w:ascii="Times New Roman" w:eastAsia="Times New Roman"/>
        </w:rPr>
        <w:t>PCR </w:t>
      </w:r>
      <w:r>
        <w:rPr>
          <w:spacing w:val="3"/>
        </w:rPr>
        <w:t>仪上，应用实时荧光定量</w:t>
      </w:r>
      <w:r>
        <w:rPr>
          <w:rFonts w:ascii="Times New Roman" w:eastAsia="Times New Roman"/>
        </w:rPr>
        <w:t>PCR </w:t>
      </w:r>
      <w:r>
        <w:rPr/>
        <w:t>检测技术，通过荧光</w:t>
      </w:r>
      <w:r>
        <w:rPr>
          <w:spacing w:val="-3"/>
        </w:rPr>
        <w:t>信号的变化实现丙型肝炎病毒</w:t>
      </w:r>
      <w:r>
        <w:rPr/>
        <w:t>（</w:t>
      </w:r>
      <w:r>
        <w:rPr>
          <w:rFonts w:ascii="Times New Roman" w:eastAsia="Times New Roman"/>
        </w:rPr>
        <w:t>HCV</w:t>
      </w:r>
      <w:r>
        <w:rPr/>
        <w:t>）</w:t>
      </w:r>
      <w:r>
        <w:rPr>
          <w:spacing w:val="-51"/>
        </w:rPr>
        <w:t> </w:t>
      </w:r>
      <w:r>
        <w:rPr>
          <w:rFonts w:ascii="Times New Roman" w:eastAsia="Times New Roman"/>
        </w:rPr>
        <w:t>RNA </w:t>
      </w:r>
      <w:r>
        <w:rPr>
          <w:spacing w:val="-3"/>
        </w:rPr>
        <w:t>的定量检测。</w:t>
      </w:r>
    </w:p>
    <w:p>
      <w:pPr>
        <w:pStyle w:val="BodyText"/>
        <w:spacing w:line="182" w:lineRule="auto" w:before="2"/>
        <w:ind w:right="142"/>
        <w:jc w:val="both"/>
      </w:pPr>
      <w:r>
        <w:rPr>
          <w:rFonts w:ascii="Times New Roman" w:eastAsia="Times New Roman"/>
        </w:rPr>
        <w:t>PCR </w:t>
      </w:r>
      <w:r>
        <w:rPr>
          <w:spacing w:val="-3"/>
        </w:rPr>
        <w:t>检测体系含有阳性内对照</w:t>
      </w:r>
      <w:r>
        <w:rPr/>
        <w:t>（</w:t>
      </w:r>
      <w:r>
        <w:rPr>
          <w:spacing w:val="-3"/>
        </w:rPr>
        <w:t>丙型肝炎病毒</w:t>
      </w:r>
      <w:r>
        <w:rPr/>
        <w:t>（</w:t>
      </w:r>
      <w:r>
        <w:rPr>
          <w:rFonts w:ascii="Times New Roman" w:eastAsia="Times New Roman"/>
        </w:rPr>
        <w:t>HCV</w:t>
      </w:r>
      <w:r>
        <w:rPr/>
        <w:t>）</w:t>
      </w:r>
      <w:r>
        <w:rPr>
          <w:spacing w:val="-2"/>
        </w:rPr>
        <w:t>内标</w:t>
      </w:r>
      <w:r>
        <w:rPr/>
        <w:t>）</w:t>
      </w:r>
      <w:r>
        <w:rPr>
          <w:spacing w:val="-1"/>
        </w:rPr>
        <w:t>，通过检测内标是否正常来监测待测样本中是否具有</w:t>
      </w:r>
      <w:r>
        <w:rPr>
          <w:rFonts w:ascii="Times New Roman" w:eastAsia="Times New Roman"/>
        </w:rPr>
        <w:t>PCR </w:t>
      </w:r>
      <w:r>
        <w:rPr>
          <w:spacing w:val="-3"/>
        </w:rPr>
        <w:t>抑制物， </w:t>
      </w:r>
      <w:r>
        <w:rPr>
          <w:spacing w:val="20"/>
        </w:rPr>
        <w:t>避免</w:t>
      </w:r>
      <w:r>
        <w:rPr>
          <w:rFonts w:ascii="Times New Roman" w:eastAsia="Times New Roman"/>
        </w:rPr>
        <w:t>PCR </w:t>
      </w:r>
      <w:r>
        <w:rPr>
          <w:spacing w:val="-3"/>
        </w:rPr>
        <w:t>假阴性。</w:t>
      </w:r>
    </w:p>
    <w:p>
      <w:pPr>
        <w:pStyle w:val="BodyText"/>
        <w:spacing w:line="182" w:lineRule="auto" w:before="2"/>
        <w:ind w:right="140"/>
      </w:pPr>
      <w:r>
        <w:rPr>
          <w:rFonts w:ascii="Times New Roman" w:eastAsia="Times New Roman"/>
        </w:rPr>
        <w:t>PCR </w:t>
      </w:r>
      <w:r>
        <w:rPr/>
        <w:t>检测体系含有内参比荧光 </w:t>
      </w:r>
      <w:r>
        <w:rPr>
          <w:rFonts w:ascii="Times New Roman" w:eastAsia="Times New Roman"/>
        </w:rPr>
        <w:t>ROX</w:t>
      </w:r>
      <w:r>
        <w:rPr/>
        <w:t>，用于校正加样误差和管间差异，便于仪器自动分析报告荧光与内参比荧光</w:t>
      </w:r>
      <w:r>
        <w:rPr>
          <w:rFonts w:ascii="Times New Roman" w:eastAsia="Times New Roman"/>
        </w:rPr>
        <w:t>ROX </w:t>
      </w:r>
      <w:r>
        <w:rPr/>
        <w:t>的比值，使定量更准确。</w:t>
      </w:r>
    </w:p>
    <w:p>
      <w:pPr>
        <w:pStyle w:val="Heading1"/>
        <w:spacing w:line="161" w:lineRule="exact"/>
      </w:pPr>
      <w:r>
        <w:rPr/>
        <w:t>【主要组成成分】</w:t>
      </w:r>
    </w:p>
    <w:p>
      <w:pPr>
        <w:pStyle w:val="BodyText"/>
        <w:spacing w:line="204" w:lineRule="exact"/>
        <w:ind w:left="484"/>
      </w:pPr>
      <w:r>
        <w:rPr/>
        <w:t>本试剂盒包括磁珠法核酸提取试剂和扩增反应试剂，由以下两个包装盒组成：</w:t>
      </w: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14"/>
        <w:gridCol w:w="472"/>
        <w:gridCol w:w="3071"/>
        <w:gridCol w:w="1276"/>
        <w:gridCol w:w="4300"/>
      </w:tblGrid>
      <w:tr>
        <w:trPr>
          <w:trHeight w:val="351" w:hRule="atLeast"/>
        </w:trPr>
        <w:tc>
          <w:tcPr>
            <w:tcW w:w="1014" w:type="dxa"/>
            <w:tcBorders>
              <w:bottom w:val="single" w:sz="6" w:space="0" w:color="000000"/>
              <w:right w:val="single" w:sz="6" w:space="0" w:color="000000"/>
            </w:tcBorders>
          </w:tcPr>
          <w:p>
            <w:pPr>
              <w:pStyle w:val="TableParagraph"/>
              <w:spacing w:line="240" w:lineRule="auto"/>
              <w:jc w:val="left"/>
              <w:rPr>
                <w:rFonts w:ascii="Times New Roman"/>
                <w:sz w:val="18"/>
              </w:rPr>
            </w:pPr>
          </w:p>
        </w:tc>
        <w:tc>
          <w:tcPr>
            <w:tcW w:w="472" w:type="dxa"/>
            <w:tcBorders>
              <w:left w:val="single" w:sz="6" w:space="0" w:color="000000"/>
              <w:bottom w:val="single" w:sz="6" w:space="0" w:color="000000"/>
              <w:right w:val="single" w:sz="6" w:space="0" w:color="000000"/>
            </w:tcBorders>
          </w:tcPr>
          <w:p>
            <w:pPr>
              <w:pStyle w:val="TableParagraph"/>
              <w:spacing w:line="149" w:lineRule="exact"/>
              <w:ind w:left="144"/>
              <w:jc w:val="left"/>
              <w:rPr>
                <w:sz w:val="18"/>
              </w:rPr>
            </w:pPr>
            <w:r>
              <w:rPr>
                <w:sz w:val="18"/>
              </w:rPr>
              <w:t>序</w:t>
            </w:r>
          </w:p>
          <w:p>
            <w:pPr>
              <w:pStyle w:val="TableParagraph"/>
              <w:spacing w:line="183" w:lineRule="exact"/>
              <w:ind w:left="144"/>
              <w:jc w:val="left"/>
              <w:rPr>
                <w:sz w:val="18"/>
              </w:rPr>
            </w:pPr>
            <w:r>
              <w:rPr>
                <w:sz w:val="18"/>
              </w:rPr>
              <w:t>号</w:t>
            </w:r>
          </w:p>
        </w:tc>
        <w:tc>
          <w:tcPr>
            <w:tcW w:w="3071" w:type="dxa"/>
            <w:tcBorders>
              <w:left w:val="single" w:sz="6" w:space="0" w:color="000000"/>
              <w:bottom w:val="single" w:sz="6" w:space="0" w:color="000000"/>
              <w:right w:val="single" w:sz="6" w:space="0" w:color="000000"/>
            </w:tcBorders>
          </w:tcPr>
          <w:p>
            <w:pPr>
              <w:pStyle w:val="TableParagraph"/>
              <w:spacing w:line="240" w:lineRule="auto" w:before="33"/>
              <w:ind w:left="86" w:right="75"/>
              <w:rPr>
                <w:sz w:val="18"/>
              </w:rPr>
            </w:pPr>
            <w:r>
              <w:rPr>
                <w:sz w:val="18"/>
              </w:rPr>
              <w:t>试剂名称</w:t>
            </w:r>
          </w:p>
        </w:tc>
        <w:tc>
          <w:tcPr>
            <w:tcW w:w="1276" w:type="dxa"/>
            <w:tcBorders>
              <w:left w:val="single" w:sz="6" w:space="0" w:color="000000"/>
              <w:bottom w:val="single" w:sz="6" w:space="0" w:color="000000"/>
              <w:right w:val="single" w:sz="6" w:space="0" w:color="000000"/>
            </w:tcBorders>
          </w:tcPr>
          <w:p>
            <w:pPr>
              <w:pStyle w:val="TableParagraph"/>
              <w:spacing w:line="240" w:lineRule="auto" w:before="33"/>
              <w:ind w:right="176"/>
              <w:jc w:val="right"/>
              <w:rPr>
                <w:sz w:val="18"/>
              </w:rPr>
            </w:pPr>
            <w:r>
              <w:rPr>
                <w:sz w:val="18"/>
              </w:rPr>
              <w:t>规格与装量</w:t>
            </w:r>
          </w:p>
        </w:tc>
        <w:tc>
          <w:tcPr>
            <w:tcW w:w="4300" w:type="dxa"/>
            <w:tcBorders>
              <w:left w:val="single" w:sz="6" w:space="0" w:color="000000"/>
              <w:bottom w:val="single" w:sz="6" w:space="0" w:color="000000"/>
            </w:tcBorders>
          </w:tcPr>
          <w:p>
            <w:pPr>
              <w:pStyle w:val="TableParagraph"/>
              <w:spacing w:line="240" w:lineRule="auto" w:before="33"/>
              <w:ind w:left="97" w:right="90"/>
              <w:rPr>
                <w:sz w:val="18"/>
              </w:rPr>
            </w:pPr>
            <w:r>
              <w:rPr>
                <w:sz w:val="18"/>
              </w:rPr>
              <w:t>主要成分</w:t>
            </w:r>
          </w:p>
        </w:tc>
      </w:tr>
      <w:tr>
        <w:trPr>
          <w:trHeight w:val="175" w:hRule="atLeast"/>
        </w:trPr>
        <w:tc>
          <w:tcPr>
            <w:tcW w:w="1014" w:type="dxa"/>
            <w:vMerge w:val="restart"/>
            <w:tcBorders>
              <w:top w:val="single" w:sz="6" w:space="0" w:color="000000"/>
              <w:bottom w:val="single" w:sz="6" w:space="0" w:color="000000"/>
              <w:right w:val="single" w:sz="6" w:space="0" w:color="000000"/>
            </w:tcBorders>
          </w:tcPr>
          <w:p>
            <w:pPr>
              <w:pStyle w:val="TableParagraph"/>
              <w:spacing w:line="182" w:lineRule="auto" w:before="134"/>
              <w:ind w:left="128" w:right="114"/>
              <w:rPr>
                <w:sz w:val="18"/>
              </w:rPr>
            </w:pPr>
            <w:r>
              <w:rPr>
                <w:sz w:val="18"/>
              </w:rPr>
              <w:t>磁珠法核酸提取试剂</w:t>
            </w: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1</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7" w:right="75"/>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1</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15 mL/</w:t>
            </w:r>
            <w:r>
              <w:rPr>
                <w:sz w:val="18"/>
              </w:rPr>
              <w:t>瓶</w:t>
            </w:r>
            <w:r>
              <w:rPr>
                <w:rFonts w:ascii="Times New Roman" w:hAnsi="Times New Roman" w:eastAsia="Times New Roman"/>
                <w:sz w:val="18"/>
              </w:rPr>
              <w:t>×1</w:t>
            </w:r>
            <w:r>
              <w:rPr>
                <w:sz w:val="18"/>
              </w:rPr>
              <w:t>瓶</w:t>
            </w:r>
          </w:p>
        </w:tc>
        <w:tc>
          <w:tcPr>
            <w:tcW w:w="4300" w:type="dxa"/>
            <w:tcBorders>
              <w:top w:val="single" w:sz="6" w:space="0" w:color="000000"/>
              <w:left w:val="single" w:sz="6" w:space="0" w:color="000000"/>
              <w:bottom w:val="single" w:sz="6" w:space="0" w:color="000000"/>
            </w:tcBorders>
          </w:tcPr>
          <w:p>
            <w:pPr>
              <w:pStyle w:val="TableParagraph"/>
              <w:ind w:left="97" w:right="90"/>
              <w:rPr>
                <w:sz w:val="18"/>
              </w:rPr>
            </w:pPr>
            <w:r>
              <w:rPr>
                <w:sz w:val="18"/>
              </w:rPr>
              <w:t>十二烷基硫酸钠、曲拉通</w:t>
            </w:r>
            <w:r>
              <w:rPr>
                <w:rFonts w:ascii="Times New Roman" w:eastAsia="Times New Roman"/>
                <w:sz w:val="18"/>
              </w:rPr>
              <w:t>X-100</w:t>
            </w:r>
            <w:r>
              <w:rPr>
                <w:sz w:val="18"/>
              </w:rPr>
              <w:t>、异硫氰酸胍、磁珠</w:t>
            </w:r>
          </w:p>
        </w:tc>
      </w:tr>
      <w:tr>
        <w:trPr>
          <w:trHeight w:val="175" w:hRule="atLeast"/>
        </w:trPr>
        <w:tc>
          <w:tcPr>
            <w:tcW w:w="1014" w:type="dxa"/>
            <w:vMerge/>
            <w:tcBorders>
              <w:top w:val="nil"/>
              <w:bottom w:val="single" w:sz="6" w:space="0" w:color="000000"/>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2</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7" w:right="75"/>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2</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2.5mL/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ind w:left="97" w:right="90"/>
              <w:rPr>
                <w:sz w:val="18"/>
              </w:rPr>
            </w:pPr>
            <w:r>
              <w:rPr>
                <w:rFonts w:ascii="Times New Roman" w:eastAsia="Times New Roman"/>
                <w:sz w:val="18"/>
              </w:rPr>
              <w:t>4-</w:t>
            </w:r>
            <w:r>
              <w:rPr>
                <w:sz w:val="18"/>
              </w:rPr>
              <w:t>羟乙基哌嗪乙磺酸、氯化钠</w:t>
            </w:r>
          </w:p>
        </w:tc>
      </w:tr>
      <w:tr>
        <w:trPr>
          <w:trHeight w:val="212" w:hRule="atLeast"/>
        </w:trPr>
        <w:tc>
          <w:tcPr>
            <w:tcW w:w="1014" w:type="dxa"/>
            <w:vMerge/>
            <w:tcBorders>
              <w:top w:val="nil"/>
              <w:bottom w:val="single" w:sz="6" w:space="0" w:color="000000"/>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spacing w:line="180" w:lineRule="exact"/>
              <w:ind w:left="190"/>
              <w:jc w:val="left"/>
              <w:rPr>
                <w:rFonts w:ascii="Times New Roman"/>
                <w:sz w:val="18"/>
              </w:rPr>
            </w:pPr>
            <w:r>
              <w:rPr>
                <w:rFonts w:ascii="Times New Roman"/>
                <w:sz w:val="18"/>
              </w:rPr>
              <w:t>3</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left="87" w:right="75"/>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3</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right="114"/>
              <w:jc w:val="right"/>
              <w:rPr>
                <w:sz w:val="18"/>
              </w:rPr>
            </w:pPr>
            <w:r>
              <w:rPr>
                <w:rFonts w:ascii="Times New Roman" w:hAnsi="Times New Roman" w:eastAsia="Times New Roman"/>
                <w:sz w:val="18"/>
              </w:rPr>
              <w:t>15mL/</w:t>
            </w:r>
            <w:r>
              <w:rPr>
                <w:sz w:val="18"/>
              </w:rPr>
              <w:t>瓶</w:t>
            </w:r>
            <w:r>
              <w:rPr>
                <w:rFonts w:ascii="Times New Roman" w:hAnsi="Times New Roman" w:eastAsia="Times New Roman"/>
                <w:sz w:val="18"/>
              </w:rPr>
              <w:t>×1</w:t>
            </w:r>
            <w:r>
              <w:rPr>
                <w:sz w:val="18"/>
              </w:rPr>
              <w:t>瓶</w:t>
            </w:r>
          </w:p>
        </w:tc>
        <w:tc>
          <w:tcPr>
            <w:tcW w:w="4300" w:type="dxa"/>
            <w:tcBorders>
              <w:top w:val="single" w:sz="6" w:space="0" w:color="000000"/>
              <w:left w:val="single" w:sz="6" w:space="0" w:color="000000"/>
              <w:bottom w:val="single" w:sz="6" w:space="0" w:color="000000"/>
            </w:tcBorders>
          </w:tcPr>
          <w:p>
            <w:pPr>
              <w:pStyle w:val="TableParagraph"/>
              <w:spacing w:line="192" w:lineRule="exact"/>
              <w:ind w:left="97" w:right="90"/>
              <w:rPr>
                <w:sz w:val="18"/>
              </w:rPr>
            </w:pPr>
            <w:r>
              <w:rPr>
                <w:sz w:val="18"/>
              </w:rPr>
              <w:t>曲拉通</w:t>
            </w:r>
            <w:r>
              <w:rPr>
                <w:rFonts w:ascii="Times New Roman" w:eastAsia="Times New Roman"/>
                <w:sz w:val="18"/>
              </w:rPr>
              <w:t>X-100</w:t>
            </w:r>
            <w:r>
              <w:rPr>
                <w:sz w:val="18"/>
              </w:rPr>
              <w:t>、氯化钠</w:t>
            </w:r>
          </w:p>
        </w:tc>
      </w:tr>
      <w:tr>
        <w:trPr>
          <w:trHeight w:val="212" w:hRule="atLeast"/>
        </w:trPr>
        <w:tc>
          <w:tcPr>
            <w:tcW w:w="1014" w:type="dxa"/>
            <w:vMerge/>
            <w:tcBorders>
              <w:top w:val="nil"/>
              <w:bottom w:val="single" w:sz="6" w:space="0" w:color="000000"/>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ind w:left="190"/>
              <w:jc w:val="left"/>
              <w:rPr>
                <w:rFonts w:ascii="Times New Roman"/>
                <w:sz w:val="18"/>
              </w:rPr>
            </w:pPr>
            <w:r>
              <w:rPr>
                <w:rFonts w:ascii="Times New Roman"/>
                <w:sz w:val="18"/>
              </w:rPr>
              <w:t>4</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left="87" w:right="75"/>
              <w:rPr>
                <w:rFonts w:ascii="Times New Roman" w:eastAsia="Times New Roman"/>
                <w:sz w:val="18"/>
              </w:rPr>
            </w:pPr>
            <w:r>
              <w:rPr>
                <w:rFonts w:ascii="Times New Roman" w:eastAsia="Times New Roman"/>
                <w:sz w:val="18"/>
              </w:rPr>
              <w:t>RNA</w:t>
            </w:r>
            <w:r>
              <w:rPr>
                <w:sz w:val="18"/>
              </w:rPr>
              <w:t>提取溶液</w:t>
            </w:r>
            <w:r>
              <w:rPr>
                <w:rFonts w:ascii="Times New Roman" w:eastAsia="Times New Roman"/>
                <w:sz w:val="18"/>
              </w:rPr>
              <w:t>4</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right="159"/>
              <w:jc w:val="right"/>
              <w:rPr>
                <w:sz w:val="18"/>
              </w:rPr>
            </w:pPr>
            <w:r>
              <w:rPr>
                <w:rFonts w:ascii="Times New Roman" w:hAnsi="Times New Roman" w:eastAsia="Times New Roman"/>
                <w:sz w:val="18"/>
              </w:rPr>
              <w:t>5mL/</w:t>
            </w:r>
            <w:r>
              <w:rPr>
                <w:sz w:val="18"/>
              </w:rPr>
              <w:t>瓶</w:t>
            </w:r>
            <w:r>
              <w:rPr>
                <w:rFonts w:ascii="Times New Roman" w:hAnsi="Times New Roman" w:eastAsia="Times New Roman"/>
                <w:sz w:val="18"/>
              </w:rPr>
              <w:t>×1</w:t>
            </w:r>
            <w:r>
              <w:rPr>
                <w:sz w:val="18"/>
              </w:rPr>
              <w:t>瓶</w:t>
            </w:r>
          </w:p>
        </w:tc>
        <w:tc>
          <w:tcPr>
            <w:tcW w:w="4300" w:type="dxa"/>
            <w:tcBorders>
              <w:top w:val="single" w:sz="6" w:space="0" w:color="000000"/>
              <w:left w:val="single" w:sz="6" w:space="0" w:color="000000"/>
              <w:bottom w:val="single" w:sz="6" w:space="0" w:color="000000"/>
            </w:tcBorders>
          </w:tcPr>
          <w:p>
            <w:pPr>
              <w:pStyle w:val="TableParagraph"/>
              <w:spacing w:line="192" w:lineRule="exact"/>
              <w:ind w:left="97" w:right="90"/>
              <w:rPr>
                <w:sz w:val="18"/>
              </w:rPr>
            </w:pPr>
            <w:r>
              <w:rPr>
                <w:sz w:val="18"/>
              </w:rPr>
              <w:t>矿物油</w:t>
            </w:r>
          </w:p>
        </w:tc>
      </w:tr>
      <w:tr>
        <w:trPr>
          <w:trHeight w:val="351" w:hRule="atLeast"/>
        </w:trPr>
        <w:tc>
          <w:tcPr>
            <w:tcW w:w="1014" w:type="dxa"/>
            <w:vMerge w:val="restart"/>
            <w:tcBorders>
              <w:top w:val="single" w:sz="6" w:space="0" w:color="000000"/>
              <w:right w:val="single" w:sz="6" w:space="0" w:color="000000"/>
            </w:tcBorders>
          </w:tcPr>
          <w:p>
            <w:pPr>
              <w:pStyle w:val="TableParagraph"/>
              <w:spacing w:line="240" w:lineRule="auto"/>
              <w:jc w:val="left"/>
              <w:rPr>
                <w:sz w:val="18"/>
              </w:rPr>
            </w:pPr>
          </w:p>
          <w:p>
            <w:pPr>
              <w:pStyle w:val="TableParagraph"/>
              <w:spacing w:line="240" w:lineRule="auto"/>
              <w:jc w:val="left"/>
              <w:rPr>
                <w:sz w:val="18"/>
              </w:rPr>
            </w:pPr>
          </w:p>
          <w:p>
            <w:pPr>
              <w:pStyle w:val="TableParagraph"/>
              <w:spacing w:line="240" w:lineRule="auto"/>
              <w:jc w:val="left"/>
              <w:rPr>
                <w:sz w:val="18"/>
              </w:rPr>
            </w:pPr>
          </w:p>
          <w:p>
            <w:pPr>
              <w:pStyle w:val="TableParagraph"/>
              <w:spacing w:line="182" w:lineRule="auto" w:before="155"/>
              <w:ind w:left="328" w:right="93" w:hanging="178"/>
              <w:jc w:val="left"/>
              <w:rPr>
                <w:sz w:val="18"/>
              </w:rPr>
            </w:pPr>
            <w:r>
              <w:rPr>
                <w:sz w:val="18"/>
              </w:rPr>
              <w:t>扩增反应试剂</w:t>
            </w:r>
          </w:p>
        </w:tc>
        <w:tc>
          <w:tcPr>
            <w:tcW w:w="472"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5"/>
              <w:ind w:left="190"/>
              <w:jc w:val="left"/>
              <w:rPr>
                <w:rFonts w:ascii="Times New Roman"/>
                <w:sz w:val="18"/>
              </w:rPr>
            </w:pPr>
            <w:r>
              <w:rPr>
                <w:rFonts w:ascii="Times New Roman"/>
                <w:sz w:val="18"/>
              </w:rPr>
              <w:t>1</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33"/>
              <w:ind w:left="88" w:right="75"/>
              <w:rPr>
                <w:sz w:val="18"/>
              </w:rPr>
            </w:pPr>
            <w:r>
              <w:rPr>
                <w:sz w:val="18"/>
              </w:rPr>
              <w:t>丙型肝炎病毒（</w:t>
            </w:r>
            <w:r>
              <w:rPr>
                <w:rFonts w:ascii="Times New Roman" w:eastAsia="Times New Roman"/>
                <w:sz w:val="18"/>
              </w:rPr>
              <w:t>HCV</w:t>
            </w:r>
            <w:r>
              <w:rPr>
                <w:sz w:val="18"/>
              </w:rPr>
              <w:t>）内标</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33"/>
              <w:ind w:right="135"/>
              <w:jc w:val="right"/>
              <w:rPr>
                <w:sz w:val="18"/>
              </w:rPr>
            </w:pPr>
            <w:r>
              <w:rPr>
                <w:rFonts w:ascii="Times New Roman" w:hAnsi="Times New Roman" w:eastAsia="Times New Roman"/>
                <w:sz w:val="18"/>
              </w:rPr>
              <w:t>10μL/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spacing w:line="150" w:lineRule="exact"/>
              <w:ind w:left="97" w:right="88"/>
              <w:rPr>
                <w:sz w:val="18"/>
              </w:rPr>
            </w:pPr>
            <w:r>
              <w:rPr>
                <w:sz w:val="18"/>
              </w:rPr>
              <w:t>阳性内对照（克隆质粒，不含丙型肝炎病毒</w:t>
            </w:r>
          </w:p>
          <w:p>
            <w:pPr>
              <w:pStyle w:val="TableParagraph"/>
              <w:spacing w:line="182" w:lineRule="exact"/>
              <w:ind w:left="97" w:right="88"/>
              <w:rPr>
                <w:sz w:val="18"/>
              </w:rPr>
            </w:pPr>
            <w:r>
              <w:rPr>
                <w:sz w:val="18"/>
              </w:rPr>
              <w:t>（</w:t>
            </w:r>
            <w:r>
              <w:rPr>
                <w:rFonts w:ascii="Times New Roman" w:eastAsia="Times New Roman"/>
                <w:sz w:val="18"/>
              </w:rPr>
              <w:t>HCV</w:t>
            </w:r>
            <w:r>
              <w:rPr>
                <w:sz w:val="18"/>
              </w:rPr>
              <w:t>）扩增靶序列）</w:t>
            </w:r>
          </w:p>
        </w:tc>
      </w:tr>
      <w:tr>
        <w:trPr>
          <w:trHeight w:val="352"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5"/>
              <w:ind w:left="190"/>
              <w:jc w:val="left"/>
              <w:rPr>
                <w:rFonts w:ascii="Times New Roman"/>
                <w:sz w:val="18"/>
              </w:rPr>
            </w:pPr>
            <w:r>
              <w:rPr>
                <w:rFonts w:ascii="Times New Roman"/>
                <w:sz w:val="18"/>
              </w:rPr>
              <w:t>2</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33"/>
              <w:ind w:left="86" w:right="75"/>
              <w:rPr>
                <w:sz w:val="18"/>
              </w:rPr>
            </w:pPr>
            <w:r>
              <w:rPr>
                <w:spacing w:val="-3"/>
                <w:sz w:val="18"/>
              </w:rPr>
              <w:t>丙型肝炎病毒</w:t>
            </w:r>
            <w:r>
              <w:rPr>
                <w:sz w:val="18"/>
              </w:rPr>
              <w:t>（</w:t>
            </w:r>
            <w:r>
              <w:rPr>
                <w:rFonts w:ascii="Times New Roman" w:eastAsia="Times New Roman"/>
                <w:sz w:val="18"/>
              </w:rPr>
              <w:t>HCV</w:t>
            </w:r>
            <w:r>
              <w:rPr>
                <w:sz w:val="18"/>
              </w:rPr>
              <w:t>）</w:t>
            </w:r>
            <w:r>
              <w:rPr>
                <w:spacing w:val="-52"/>
                <w:sz w:val="18"/>
              </w:rPr>
              <w:t> </w:t>
            </w:r>
            <w:r>
              <w:rPr>
                <w:rFonts w:ascii="Times New Roman" w:eastAsia="Times New Roman"/>
                <w:spacing w:val="-3"/>
                <w:sz w:val="18"/>
              </w:rPr>
              <w:t>PCR</w:t>
            </w:r>
            <w:r>
              <w:rPr>
                <w:spacing w:val="-2"/>
                <w:sz w:val="18"/>
              </w:rPr>
              <w:t>反应液</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33"/>
              <w:ind w:right="92"/>
              <w:jc w:val="right"/>
              <w:rPr>
                <w:sz w:val="18"/>
              </w:rPr>
            </w:pPr>
            <w:r>
              <w:rPr>
                <w:rFonts w:ascii="Times New Roman" w:hAnsi="Times New Roman" w:eastAsia="Times New Roman"/>
                <w:sz w:val="18"/>
              </w:rPr>
              <w:t>1.2mL/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spacing w:line="149" w:lineRule="exact"/>
              <w:ind w:left="97" w:right="88"/>
              <w:rPr>
                <w:sz w:val="18"/>
              </w:rPr>
            </w:pPr>
            <w:r>
              <w:rPr>
                <w:sz w:val="18"/>
              </w:rPr>
              <w:t>引物、探针、脱氧核糖核苷三磷酸（含</w:t>
            </w:r>
            <w:r>
              <w:rPr>
                <w:rFonts w:ascii="Times New Roman" w:eastAsia="Times New Roman"/>
                <w:sz w:val="18"/>
              </w:rPr>
              <w:t>dUTP</w:t>
            </w:r>
            <w:r>
              <w:rPr>
                <w:sz w:val="18"/>
              </w:rPr>
              <w:t>）、镁</w:t>
            </w:r>
          </w:p>
          <w:p>
            <w:pPr>
              <w:pStyle w:val="TableParagraph"/>
              <w:spacing w:line="183" w:lineRule="exact"/>
              <w:ind w:left="97" w:right="88"/>
              <w:rPr>
                <w:sz w:val="18"/>
              </w:rPr>
            </w:pPr>
            <w:r>
              <w:rPr>
                <w:sz w:val="18"/>
              </w:rPr>
              <w:t>离子、</w:t>
            </w:r>
            <w:r>
              <w:rPr>
                <w:rFonts w:ascii="Times New Roman" w:eastAsia="Times New Roman"/>
                <w:sz w:val="18"/>
              </w:rPr>
              <w:t>Tth</w:t>
            </w:r>
            <w:r>
              <w:rPr>
                <w:sz w:val="18"/>
              </w:rPr>
              <w:t>酶、参比荧光（</w:t>
            </w:r>
            <w:r>
              <w:rPr>
                <w:rFonts w:ascii="Times New Roman" w:eastAsia="Times New Roman"/>
                <w:sz w:val="18"/>
              </w:rPr>
              <w:t>ROX</w:t>
            </w:r>
            <w:r>
              <w:rPr>
                <w:sz w:val="18"/>
              </w:rPr>
              <w:t>）、</w:t>
            </w:r>
            <w:r>
              <w:rPr>
                <w:rFonts w:ascii="Times New Roman" w:eastAsia="Times New Roman"/>
                <w:sz w:val="18"/>
              </w:rPr>
              <w:t>PCR</w:t>
            </w:r>
            <w:r>
              <w:rPr>
                <w:sz w:val="18"/>
              </w:rPr>
              <w:t>缓冲液</w:t>
            </w:r>
          </w:p>
        </w:tc>
      </w:tr>
      <w:tr>
        <w:trPr>
          <w:trHeight w:val="175"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3</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6" w:right="75"/>
              <w:rPr>
                <w:sz w:val="18"/>
              </w:rPr>
            </w:pPr>
            <w:r>
              <w:rPr>
                <w:rFonts w:ascii="Times New Roman" w:eastAsia="Times New Roman"/>
                <w:sz w:val="18"/>
              </w:rPr>
              <w:t>RT-PCR</w:t>
            </w:r>
            <w:r>
              <w:rPr>
                <w:sz w:val="18"/>
              </w:rPr>
              <w:t>增强剂</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135"/>
              <w:jc w:val="right"/>
              <w:rPr>
                <w:sz w:val="18"/>
              </w:rPr>
            </w:pPr>
            <w:r>
              <w:rPr>
                <w:rFonts w:ascii="Times New Roman" w:hAnsi="Times New Roman" w:eastAsia="Times New Roman"/>
                <w:sz w:val="18"/>
              </w:rPr>
              <w:t>25μL/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ind w:left="97" w:right="90"/>
              <w:rPr>
                <w:sz w:val="18"/>
              </w:rPr>
            </w:pPr>
            <w:r>
              <w:rPr>
                <w:sz w:val="18"/>
              </w:rPr>
              <w:t>醋酸锰</w:t>
            </w:r>
          </w:p>
        </w:tc>
      </w:tr>
      <w:tr>
        <w:trPr>
          <w:trHeight w:val="176"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4</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9" w:right="75"/>
              <w:rPr>
                <w:rFonts w:ascii="Times New Roman" w:eastAsia="Times New Roman"/>
                <w:sz w:val="18"/>
              </w:rPr>
            </w:pPr>
            <w:r>
              <w:rPr>
                <w:sz w:val="18"/>
              </w:rPr>
              <w:t>丙型肝炎病毒（</w:t>
            </w:r>
            <w:r>
              <w:rPr>
                <w:rFonts w:ascii="Times New Roman" w:eastAsia="Times New Roman"/>
                <w:sz w:val="18"/>
              </w:rPr>
              <w:t>HCV</w:t>
            </w:r>
            <w:r>
              <w:rPr>
                <w:sz w:val="18"/>
              </w:rPr>
              <w:t>）定量参考品</w:t>
            </w:r>
            <w:r>
              <w:rPr>
                <w:rFonts w:ascii="Times New Roman" w:eastAsia="Times New Roman"/>
                <w:sz w:val="18"/>
              </w:rPr>
              <w:t>A</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ind w:left="97" w:right="88"/>
              <w:rPr>
                <w:sz w:val="18"/>
              </w:rPr>
            </w:pPr>
            <w:r>
              <w:rPr>
                <w:sz w:val="18"/>
              </w:rPr>
              <w:t>定值的丙型肝炎病毒（</w:t>
            </w:r>
            <w:r>
              <w:rPr>
                <w:rFonts w:ascii="Times New Roman" w:eastAsia="Times New Roman"/>
                <w:sz w:val="18"/>
              </w:rPr>
              <w:t>HCV</w:t>
            </w:r>
            <w:r>
              <w:rPr>
                <w:sz w:val="18"/>
              </w:rPr>
              <w:t>）阳性样本（已灭活）</w:t>
            </w:r>
          </w:p>
        </w:tc>
      </w:tr>
      <w:tr>
        <w:trPr>
          <w:trHeight w:val="175"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5</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8" w:right="75"/>
              <w:rPr>
                <w:rFonts w:ascii="Times New Roman" w:eastAsia="Times New Roman"/>
                <w:sz w:val="18"/>
              </w:rPr>
            </w:pPr>
            <w:r>
              <w:rPr>
                <w:sz w:val="18"/>
              </w:rPr>
              <w:t>丙型肝炎病毒（</w:t>
            </w:r>
            <w:r>
              <w:rPr>
                <w:rFonts w:ascii="Times New Roman" w:eastAsia="Times New Roman"/>
                <w:sz w:val="18"/>
              </w:rPr>
              <w:t>HCV</w:t>
            </w:r>
            <w:r>
              <w:rPr>
                <w:sz w:val="18"/>
              </w:rPr>
              <w:t>）定量参考品</w:t>
            </w:r>
            <w:r>
              <w:rPr>
                <w:rFonts w:ascii="Times New Roman" w:eastAsia="Times New Roman"/>
                <w:sz w:val="18"/>
              </w:rPr>
              <w:t>B</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ind w:left="97" w:right="88"/>
              <w:rPr>
                <w:sz w:val="18"/>
              </w:rPr>
            </w:pPr>
            <w:r>
              <w:rPr>
                <w:sz w:val="18"/>
              </w:rPr>
              <w:t>定值的丙型肝炎病毒（</w:t>
            </w:r>
            <w:r>
              <w:rPr>
                <w:rFonts w:ascii="Times New Roman" w:eastAsia="Times New Roman"/>
                <w:sz w:val="18"/>
              </w:rPr>
              <w:t>HCV</w:t>
            </w:r>
            <w:r>
              <w:rPr>
                <w:sz w:val="18"/>
              </w:rPr>
              <w:t>）阳性样本（已灭活）</w:t>
            </w:r>
          </w:p>
        </w:tc>
      </w:tr>
      <w:tr>
        <w:trPr>
          <w:trHeight w:val="189"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spacing w:line="169" w:lineRule="exact"/>
              <w:ind w:left="190"/>
              <w:jc w:val="left"/>
              <w:rPr>
                <w:rFonts w:ascii="Times New Roman"/>
                <w:sz w:val="18"/>
              </w:rPr>
            </w:pPr>
            <w:r>
              <w:rPr>
                <w:rFonts w:ascii="Times New Roman"/>
                <w:sz w:val="18"/>
              </w:rPr>
              <w:t>6</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spacing w:line="169" w:lineRule="exact"/>
              <w:ind w:left="88" w:right="75"/>
              <w:rPr>
                <w:rFonts w:ascii="Times New Roman" w:eastAsia="Times New Roman"/>
                <w:sz w:val="18"/>
              </w:rPr>
            </w:pPr>
            <w:r>
              <w:rPr>
                <w:sz w:val="18"/>
              </w:rPr>
              <w:t>丙型肝炎病毒（</w:t>
            </w:r>
            <w:r>
              <w:rPr>
                <w:rFonts w:ascii="Times New Roman" w:eastAsia="Times New Roman"/>
                <w:sz w:val="18"/>
              </w:rPr>
              <w:t>HCV</w:t>
            </w:r>
            <w:r>
              <w:rPr>
                <w:sz w:val="18"/>
              </w:rPr>
              <w:t>）定量参考品</w:t>
            </w:r>
            <w:r>
              <w:rPr>
                <w:rFonts w:ascii="Times New Roman" w:eastAsia="Times New Roman"/>
                <w:sz w:val="18"/>
              </w:rPr>
              <w:t>C</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spacing w:line="169" w:lineRule="exact"/>
              <w:ind w:right="92"/>
              <w:jc w:val="right"/>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spacing w:line="169" w:lineRule="exact"/>
              <w:ind w:left="97" w:right="88"/>
              <w:rPr>
                <w:sz w:val="18"/>
              </w:rPr>
            </w:pPr>
            <w:r>
              <w:rPr>
                <w:sz w:val="18"/>
              </w:rPr>
              <w:t>定值的丙型肝炎病毒（</w:t>
            </w:r>
            <w:r>
              <w:rPr>
                <w:rFonts w:ascii="Times New Roman" w:eastAsia="Times New Roman"/>
                <w:sz w:val="18"/>
              </w:rPr>
              <w:t>HCV</w:t>
            </w:r>
            <w:r>
              <w:rPr>
                <w:sz w:val="18"/>
              </w:rPr>
              <w:t>）阳性样本（已灭活）</w:t>
            </w:r>
          </w:p>
        </w:tc>
      </w:tr>
      <w:tr>
        <w:trPr>
          <w:trHeight w:val="175"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7</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9" w:right="75"/>
              <w:rPr>
                <w:rFonts w:ascii="Times New Roman" w:eastAsia="Times New Roman"/>
                <w:sz w:val="18"/>
              </w:rPr>
            </w:pPr>
            <w:r>
              <w:rPr>
                <w:sz w:val="18"/>
              </w:rPr>
              <w:t>丙型肝炎病毒（</w:t>
            </w:r>
            <w:r>
              <w:rPr>
                <w:rFonts w:ascii="Times New Roman" w:eastAsia="Times New Roman"/>
                <w:sz w:val="18"/>
              </w:rPr>
              <w:t>HCV</w:t>
            </w:r>
            <w:r>
              <w:rPr>
                <w:sz w:val="18"/>
              </w:rPr>
              <w:t>）定量参考品</w:t>
            </w:r>
            <w:r>
              <w:rPr>
                <w:rFonts w:ascii="Times New Roman" w:eastAsia="Times New Roman"/>
                <w:sz w:val="18"/>
              </w:rPr>
              <w:t>D</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ind w:left="97" w:right="88"/>
              <w:rPr>
                <w:sz w:val="18"/>
              </w:rPr>
            </w:pPr>
            <w:r>
              <w:rPr>
                <w:sz w:val="18"/>
              </w:rPr>
              <w:t>定值的丙型肝炎病毒（</w:t>
            </w:r>
            <w:r>
              <w:rPr>
                <w:rFonts w:ascii="Times New Roman" w:eastAsia="Times New Roman"/>
                <w:sz w:val="18"/>
              </w:rPr>
              <w:t>HCV</w:t>
            </w:r>
            <w:r>
              <w:rPr>
                <w:sz w:val="18"/>
              </w:rPr>
              <w:t>）阳性样本（已灭活）</w:t>
            </w:r>
          </w:p>
        </w:tc>
      </w:tr>
      <w:tr>
        <w:trPr>
          <w:trHeight w:val="176"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bottom w:val="single" w:sz="6" w:space="0" w:color="000000"/>
              <w:right w:val="single" w:sz="6" w:space="0" w:color="000000"/>
            </w:tcBorders>
          </w:tcPr>
          <w:p>
            <w:pPr>
              <w:pStyle w:val="TableParagraph"/>
              <w:ind w:left="190"/>
              <w:jc w:val="left"/>
              <w:rPr>
                <w:rFonts w:ascii="Times New Roman"/>
                <w:sz w:val="18"/>
              </w:rPr>
            </w:pPr>
            <w:r>
              <w:rPr>
                <w:rFonts w:ascii="Times New Roman"/>
                <w:sz w:val="18"/>
              </w:rPr>
              <w:t>8</w:t>
            </w:r>
          </w:p>
        </w:tc>
        <w:tc>
          <w:tcPr>
            <w:tcW w:w="3071" w:type="dxa"/>
            <w:tcBorders>
              <w:top w:val="single" w:sz="6" w:space="0" w:color="000000"/>
              <w:left w:val="single" w:sz="6" w:space="0" w:color="000000"/>
              <w:bottom w:val="single" w:sz="6" w:space="0" w:color="000000"/>
              <w:right w:val="single" w:sz="6" w:space="0" w:color="000000"/>
            </w:tcBorders>
          </w:tcPr>
          <w:p>
            <w:pPr>
              <w:pStyle w:val="TableParagraph"/>
              <w:ind w:left="86" w:right="75"/>
              <w:rPr>
                <w:sz w:val="18"/>
              </w:rPr>
            </w:pPr>
            <w:r>
              <w:rPr>
                <w:sz w:val="18"/>
              </w:rPr>
              <w:t>丙型肝炎病毒（</w:t>
            </w:r>
            <w:r>
              <w:rPr>
                <w:rFonts w:ascii="Times New Roman" w:eastAsia="Times New Roman"/>
                <w:sz w:val="18"/>
              </w:rPr>
              <w:t>HCV</w:t>
            </w:r>
            <w:r>
              <w:rPr>
                <w:sz w:val="18"/>
              </w:rPr>
              <w:t>）阴性对照</w:t>
            </w:r>
          </w:p>
        </w:tc>
        <w:tc>
          <w:tcPr>
            <w:tcW w:w="1276" w:type="dxa"/>
            <w:tcBorders>
              <w:top w:val="single" w:sz="6" w:space="0" w:color="000000"/>
              <w:left w:val="single" w:sz="6" w:space="0" w:color="000000"/>
              <w:bottom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bottom w:val="single" w:sz="6" w:space="0" w:color="000000"/>
            </w:tcBorders>
          </w:tcPr>
          <w:p>
            <w:pPr>
              <w:pStyle w:val="TableParagraph"/>
              <w:ind w:left="97" w:right="90"/>
              <w:rPr>
                <w:sz w:val="18"/>
              </w:rPr>
            </w:pPr>
            <w:r>
              <w:rPr>
                <w:sz w:val="18"/>
              </w:rPr>
              <w:t>丙型肝炎病毒（</w:t>
            </w:r>
            <w:r>
              <w:rPr>
                <w:rFonts w:ascii="Times New Roman" w:eastAsia="Times New Roman"/>
                <w:sz w:val="18"/>
              </w:rPr>
              <w:t>HCV</w:t>
            </w:r>
            <w:r>
              <w:rPr>
                <w:sz w:val="18"/>
              </w:rPr>
              <w:t>）阴性样本（已灭活）</w:t>
            </w:r>
          </w:p>
        </w:tc>
      </w:tr>
      <w:tr>
        <w:trPr>
          <w:trHeight w:val="176" w:hRule="atLeast"/>
        </w:trPr>
        <w:tc>
          <w:tcPr>
            <w:tcW w:w="1014" w:type="dxa"/>
            <w:vMerge/>
            <w:tcBorders>
              <w:top w:val="nil"/>
              <w:right w:val="single" w:sz="6" w:space="0" w:color="000000"/>
            </w:tcBorders>
          </w:tcPr>
          <w:p>
            <w:pPr>
              <w:rPr>
                <w:sz w:val="2"/>
                <w:szCs w:val="2"/>
              </w:rPr>
            </w:pPr>
          </w:p>
        </w:tc>
        <w:tc>
          <w:tcPr>
            <w:tcW w:w="472" w:type="dxa"/>
            <w:tcBorders>
              <w:top w:val="single" w:sz="6" w:space="0" w:color="000000"/>
              <w:left w:val="single" w:sz="6" w:space="0" w:color="000000"/>
              <w:right w:val="single" w:sz="6" w:space="0" w:color="000000"/>
            </w:tcBorders>
          </w:tcPr>
          <w:p>
            <w:pPr>
              <w:pStyle w:val="TableParagraph"/>
              <w:ind w:left="190"/>
              <w:jc w:val="left"/>
              <w:rPr>
                <w:rFonts w:ascii="Times New Roman"/>
                <w:sz w:val="18"/>
              </w:rPr>
            </w:pPr>
            <w:r>
              <w:rPr>
                <w:rFonts w:ascii="Times New Roman"/>
                <w:sz w:val="18"/>
              </w:rPr>
              <w:t>9</w:t>
            </w:r>
          </w:p>
        </w:tc>
        <w:tc>
          <w:tcPr>
            <w:tcW w:w="3071" w:type="dxa"/>
            <w:tcBorders>
              <w:top w:val="single" w:sz="6" w:space="0" w:color="000000"/>
              <w:left w:val="single" w:sz="6" w:space="0" w:color="000000"/>
              <w:right w:val="single" w:sz="6" w:space="0" w:color="000000"/>
            </w:tcBorders>
          </w:tcPr>
          <w:p>
            <w:pPr>
              <w:pStyle w:val="TableParagraph"/>
              <w:ind w:left="86" w:right="75"/>
              <w:rPr>
                <w:sz w:val="18"/>
              </w:rPr>
            </w:pPr>
            <w:r>
              <w:rPr>
                <w:sz w:val="18"/>
              </w:rPr>
              <w:t>丙型肝炎病毒（</w:t>
            </w:r>
            <w:r>
              <w:rPr>
                <w:rFonts w:ascii="Times New Roman" w:eastAsia="Times New Roman"/>
                <w:sz w:val="18"/>
              </w:rPr>
              <w:t>HCV</w:t>
            </w:r>
            <w:r>
              <w:rPr>
                <w:sz w:val="18"/>
              </w:rPr>
              <w:t>）阳性对照</w:t>
            </w:r>
          </w:p>
        </w:tc>
        <w:tc>
          <w:tcPr>
            <w:tcW w:w="1276" w:type="dxa"/>
            <w:tcBorders>
              <w:top w:val="single" w:sz="6" w:space="0" w:color="000000"/>
              <w:left w:val="single" w:sz="6" w:space="0" w:color="000000"/>
              <w:right w:val="single" w:sz="6" w:space="0" w:color="000000"/>
            </w:tcBorders>
          </w:tcPr>
          <w:p>
            <w:pPr>
              <w:pStyle w:val="TableParagraph"/>
              <w:ind w:right="92"/>
              <w:jc w:val="right"/>
              <w:rPr>
                <w:sz w:val="18"/>
              </w:rPr>
            </w:pPr>
            <w:r>
              <w:rPr>
                <w:rFonts w:ascii="Times New Roman" w:hAnsi="Times New Roman" w:eastAsia="Times New Roman"/>
                <w:sz w:val="18"/>
              </w:rPr>
              <w:t>0.5mL/</w:t>
            </w:r>
            <w:r>
              <w:rPr>
                <w:sz w:val="18"/>
              </w:rPr>
              <w:t>管</w:t>
            </w:r>
            <w:r>
              <w:rPr>
                <w:rFonts w:ascii="Times New Roman" w:hAnsi="Times New Roman" w:eastAsia="Times New Roman"/>
                <w:sz w:val="18"/>
              </w:rPr>
              <w:t>×1</w:t>
            </w:r>
            <w:r>
              <w:rPr>
                <w:sz w:val="18"/>
              </w:rPr>
              <w:t>管</w:t>
            </w:r>
          </w:p>
        </w:tc>
        <w:tc>
          <w:tcPr>
            <w:tcW w:w="4300" w:type="dxa"/>
            <w:tcBorders>
              <w:top w:val="single" w:sz="6" w:space="0" w:color="000000"/>
              <w:left w:val="single" w:sz="6" w:space="0" w:color="000000"/>
            </w:tcBorders>
          </w:tcPr>
          <w:p>
            <w:pPr>
              <w:pStyle w:val="TableParagraph"/>
              <w:ind w:left="97" w:right="88"/>
              <w:rPr>
                <w:sz w:val="18"/>
              </w:rPr>
            </w:pPr>
            <w:r>
              <w:rPr>
                <w:sz w:val="18"/>
              </w:rPr>
              <w:t>定值的丙型肝炎病毒（</w:t>
            </w:r>
            <w:r>
              <w:rPr>
                <w:rFonts w:ascii="Times New Roman" w:eastAsia="Times New Roman"/>
                <w:sz w:val="18"/>
              </w:rPr>
              <w:t>HCV</w:t>
            </w:r>
            <w:r>
              <w:rPr>
                <w:sz w:val="18"/>
              </w:rPr>
              <w:t>）阳性样本（已灭活）</w:t>
            </w:r>
          </w:p>
        </w:tc>
      </w:tr>
    </w:tbl>
    <w:p>
      <w:pPr>
        <w:pStyle w:val="Heading1"/>
        <w:spacing w:line="149" w:lineRule="exact"/>
      </w:pPr>
      <w:r>
        <w:rPr/>
        <w:t>备注：</w:t>
      </w:r>
      <w:r>
        <w:rPr>
          <w:rFonts w:ascii="Times New Roman" w:eastAsia="Times New Roman"/>
        </w:rPr>
        <w:t>1</w:t>
      </w:r>
      <w:r>
        <w:rPr/>
        <w:t>）不同批号产品的成分之间不可以混用或互换。</w:t>
      </w:r>
    </w:p>
    <w:p>
      <w:pPr>
        <w:pStyle w:val="ListParagraph"/>
        <w:numPr>
          <w:ilvl w:val="0"/>
          <w:numId w:val="1"/>
        </w:numPr>
        <w:tabs>
          <w:tab w:pos="1014" w:val="left" w:leader="none"/>
        </w:tabs>
        <w:spacing w:line="175" w:lineRule="exact" w:before="0" w:after="0"/>
        <w:ind w:left="1013" w:right="0" w:hanging="270"/>
        <w:jc w:val="left"/>
        <w:rPr>
          <w:sz w:val="18"/>
        </w:rPr>
      </w:pPr>
      <w:r>
        <w:rPr>
          <w:spacing w:val="-3"/>
          <w:sz w:val="18"/>
        </w:rPr>
        <w:t>试剂盒内的生物样本均已经灭活处理；丙型肝炎病毒（</w:t>
      </w:r>
      <w:r>
        <w:rPr>
          <w:rFonts w:ascii="Times New Roman" w:eastAsia="Times New Roman"/>
          <w:spacing w:val="-3"/>
          <w:sz w:val="18"/>
        </w:rPr>
        <w:t>HCV</w:t>
      </w:r>
      <w:r>
        <w:rPr>
          <w:spacing w:val="-3"/>
          <w:sz w:val="18"/>
        </w:rPr>
        <w:t>）</w:t>
      </w:r>
      <w:r>
        <w:rPr>
          <w:spacing w:val="5"/>
          <w:sz w:val="18"/>
        </w:rPr>
        <w:t>定量参考品</w:t>
      </w:r>
      <w:r>
        <w:rPr>
          <w:rFonts w:ascii="Times New Roman" w:eastAsia="Times New Roman"/>
          <w:sz w:val="18"/>
        </w:rPr>
        <w:t>A</w:t>
      </w:r>
      <w:r>
        <w:rPr>
          <w:sz w:val="18"/>
        </w:rPr>
        <w:t>～</w:t>
      </w:r>
      <w:r>
        <w:rPr>
          <w:rFonts w:ascii="Times New Roman" w:eastAsia="Times New Roman"/>
          <w:sz w:val="18"/>
        </w:rPr>
        <w:t>D</w:t>
      </w:r>
      <w:r>
        <w:rPr>
          <w:rFonts w:ascii="Times New Roman" w:eastAsia="Times New Roman"/>
          <w:spacing w:val="-13"/>
          <w:sz w:val="18"/>
        </w:rPr>
        <w:t> </w:t>
      </w:r>
      <w:r>
        <w:rPr>
          <w:spacing w:val="-3"/>
          <w:sz w:val="18"/>
        </w:rPr>
        <w:t>的具体浓度请参照试剂盒内给定值。</w:t>
      </w:r>
    </w:p>
    <w:p>
      <w:pPr>
        <w:pStyle w:val="ListParagraph"/>
        <w:numPr>
          <w:ilvl w:val="0"/>
          <w:numId w:val="1"/>
        </w:numPr>
        <w:tabs>
          <w:tab w:pos="1014" w:val="left" w:leader="none"/>
        </w:tabs>
        <w:spacing w:line="184" w:lineRule="auto" w:before="13" w:after="0"/>
        <w:ind w:left="484" w:right="249" w:firstLine="259"/>
        <w:jc w:val="left"/>
        <w:rPr>
          <w:sz w:val="18"/>
        </w:rPr>
      </w:pPr>
      <w:r>
        <w:rPr>
          <w:spacing w:val="-3"/>
          <w:sz w:val="18"/>
        </w:rPr>
        <w:t>自备试验器材：经高压灭菌（</w:t>
      </w:r>
      <w:r>
        <w:rPr>
          <w:rFonts w:ascii="Times New Roman" w:hAnsi="Times New Roman" w:eastAsia="Times New Roman"/>
          <w:spacing w:val="-3"/>
          <w:sz w:val="18"/>
        </w:rPr>
        <w:t>121</w:t>
      </w:r>
      <w:r>
        <w:rPr>
          <w:spacing w:val="-3"/>
          <w:sz w:val="18"/>
        </w:rPr>
        <w:t>℃，</w:t>
      </w:r>
      <w:r>
        <w:rPr>
          <w:rFonts w:ascii="Times New Roman" w:hAnsi="Times New Roman" w:eastAsia="Times New Roman"/>
          <w:spacing w:val="-3"/>
          <w:sz w:val="18"/>
        </w:rPr>
        <w:t>30</w:t>
      </w:r>
      <w:r>
        <w:rPr>
          <w:rFonts w:ascii="Times New Roman" w:hAnsi="Times New Roman" w:eastAsia="Times New Roman"/>
          <w:spacing w:val="-5"/>
          <w:sz w:val="18"/>
        </w:rPr>
        <w:t> </w:t>
      </w:r>
      <w:r>
        <w:rPr>
          <w:spacing w:val="-3"/>
          <w:sz w:val="18"/>
        </w:rPr>
        <w:t>分钟）</w:t>
      </w:r>
      <w:r>
        <w:rPr>
          <w:spacing w:val="-14"/>
          <w:sz w:val="18"/>
        </w:rPr>
        <w:t>处理的 </w:t>
      </w:r>
      <w:r>
        <w:rPr>
          <w:rFonts w:ascii="Times New Roman" w:hAnsi="Times New Roman" w:eastAsia="Times New Roman"/>
          <w:sz w:val="18"/>
        </w:rPr>
        <w:t>1.5</w:t>
      </w:r>
      <w:r>
        <w:rPr>
          <w:rFonts w:ascii="Times New Roman" w:hAnsi="Times New Roman" w:eastAsia="Times New Roman"/>
          <w:spacing w:val="-7"/>
          <w:sz w:val="18"/>
        </w:rPr>
        <w:t> </w:t>
      </w:r>
      <w:r>
        <w:rPr>
          <w:rFonts w:ascii="Times New Roman" w:hAnsi="Times New Roman" w:eastAsia="Times New Roman"/>
          <w:sz w:val="18"/>
        </w:rPr>
        <w:t>mL</w:t>
      </w:r>
      <w:r>
        <w:rPr>
          <w:rFonts w:ascii="Times New Roman" w:hAnsi="Times New Roman" w:eastAsia="Times New Roman"/>
          <w:spacing w:val="-13"/>
          <w:sz w:val="18"/>
        </w:rPr>
        <w:t> </w:t>
      </w:r>
      <w:r>
        <w:rPr>
          <w:spacing w:val="-3"/>
          <w:sz w:val="18"/>
        </w:rPr>
        <w:t>离心管、</w:t>
      </w:r>
      <w:r>
        <w:rPr>
          <w:rFonts w:ascii="Times New Roman" w:hAnsi="Times New Roman" w:eastAsia="Times New Roman"/>
          <w:sz w:val="18"/>
        </w:rPr>
        <w:t>0.2</w:t>
      </w:r>
      <w:r>
        <w:rPr>
          <w:rFonts w:ascii="Times New Roman" w:hAnsi="Times New Roman" w:eastAsia="Times New Roman"/>
          <w:spacing w:val="-8"/>
          <w:sz w:val="18"/>
        </w:rPr>
        <w:t> </w:t>
      </w:r>
      <w:r>
        <w:rPr>
          <w:rFonts w:ascii="Times New Roman" w:hAnsi="Times New Roman" w:eastAsia="Times New Roman"/>
          <w:sz w:val="18"/>
        </w:rPr>
        <w:t>mL</w:t>
      </w:r>
      <w:r>
        <w:rPr>
          <w:rFonts w:ascii="Times New Roman" w:hAnsi="Times New Roman" w:eastAsia="Times New Roman"/>
          <w:spacing w:val="-11"/>
          <w:sz w:val="18"/>
        </w:rPr>
        <w:t> </w:t>
      </w:r>
      <w:r>
        <w:rPr>
          <w:rFonts w:ascii="Times New Roman" w:hAnsi="Times New Roman" w:eastAsia="Times New Roman"/>
          <w:sz w:val="18"/>
        </w:rPr>
        <w:t>PCR</w:t>
      </w:r>
      <w:r>
        <w:rPr>
          <w:rFonts w:ascii="Times New Roman" w:hAnsi="Times New Roman" w:eastAsia="Times New Roman"/>
          <w:spacing w:val="-15"/>
          <w:sz w:val="18"/>
        </w:rPr>
        <w:t> </w:t>
      </w:r>
      <w:r>
        <w:rPr>
          <w:spacing w:val="-3"/>
          <w:sz w:val="18"/>
        </w:rPr>
        <w:t>反应管、吸嘴（建议使用带滤芯吸嘴，规格：</w:t>
      </w:r>
      <w:r>
        <w:rPr>
          <w:rFonts w:ascii="Times New Roman" w:hAnsi="Times New Roman" w:eastAsia="Times New Roman"/>
          <w:spacing w:val="-3"/>
          <w:sz w:val="18"/>
        </w:rPr>
        <w:t>10μL</w:t>
      </w:r>
      <w:r>
        <w:rPr>
          <w:spacing w:val="-3"/>
          <w:sz w:val="18"/>
        </w:rPr>
        <w:t>、</w:t>
      </w:r>
      <w:r>
        <w:rPr>
          <w:rFonts w:ascii="Times New Roman" w:hAnsi="Times New Roman" w:eastAsia="Times New Roman"/>
          <w:spacing w:val="-3"/>
          <w:sz w:val="18"/>
        </w:rPr>
        <w:t>200μL</w:t>
      </w:r>
      <w:r>
        <w:rPr>
          <w:spacing w:val="-3"/>
          <w:sz w:val="18"/>
        </w:rPr>
        <w:t>、</w:t>
      </w:r>
      <w:r>
        <w:rPr>
          <w:rFonts w:ascii="Times New Roman" w:hAnsi="Times New Roman" w:eastAsia="Times New Roman"/>
          <w:spacing w:val="-3"/>
          <w:sz w:val="18"/>
        </w:rPr>
        <w:t>1000μL</w:t>
      </w:r>
      <w:r>
        <w:rPr>
          <w:spacing w:val="-3"/>
          <w:sz w:val="18"/>
        </w:rPr>
        <w:t>）；离心机；震荡混合器；（磁珠）分离器；各种规格的加样枪。</w:t>
      </w:r>
    </w:p>
    <w:p>
      <w:pPr>
        <w:pStyle w:val="Heading1"/>
        <w:spacing w:line="159" w:lineRule="exact"/>
      </w:pPr>
      <w:r>
        <w:rPr/>
        <w:t>【储存条件及有效期】</w:t>
      </w:r>
    </w:p>
    <w:p>
      <w:pPr>
        <w:pStyle w:val="BodyText"/>
        <w:spacing w:line="184" w:lineRule="auto" w:before="14"/>
        <w:ind w:right="75" w:firstLine="357"/>
      </w:pPr>
      <w:r>
        <w:rPr/>
        <w:t>试剂应避光密闭保存，其中大盒（磁珠法核酸提取试剂）置于 </w:t>
      </w:r>
      <w:r>
        <w:rPr>
          <w:rFonts w:ascii="Times New Roman" w:hAnsi="Times New Roman" w:eastAsia="Times New Roman"/>
        </w:rPr>
        <w:t>2~8</w:t>
      </w:r>
      <w:r>
        <w:rPr/>
        <w:t>℃下保存；小盒（扩增反应试剂）置于</w:t>
      </w:r>
      <w:r>
        <w:rPr>
          <w:rFonts w:ascii="Times New Roman" w:hAnsi="Times New Roman" w:eastAsia="Times New Roman"/>
        </w:rPr>
        <w:t>-20±5</w:t>
      </w:r>
      <w:r>
        <w:rPr/>
        <w:t>℃保存。试剂盒有效期为 </w:t>
      </w:r>
      <w:r>
        <w:rPr>
          <w:rFonts w:ascii="Times New Roman" w:hAnsi="Times New Roman" w:eastAsia="Times New Roman"/>
        </w:rPr>
        <w:t>12 </w:t>
      </w:r>
      <w:r>
        <w:rPr/>
        <w:t>个月，避免反复冻融，生产日期，失效日期请见外包装盒。</w:t>
      </w:r>
    </w:p>
    <w:p>
      <w:pPr>
        <w:pStyle w:val="Heading1"/>
        <w:spacing w:line="159" w:lineRule="exact"/>
      </w:pPr>
      <w:r>
        <w:rPr/>
        <w:t>【适用仪器】</w:t>
      </w:r>
    </w:p>
    <w:p>
      <w:pPr>
        <w:pStyle w:val="BodyText"/>
        <w:spacing w:line="176" w:lineRule="exact"/>
        <w:ind w:left="484"/>
      </w:pPr>
      <w:r>
        <w:rPr/>
        <w:t>适用于</w:t>
      </w:r>
      <w:r>
        <w:rPr>
          <w:rFonts w:ascii="Times New Roman" w:eastAsia="Times New Roman"/>
        </w:rPr>
        <w:t>ABI7500 </w:t>
      </w:r>
      <w:r>
        <w:rPr/>
        <w:t>荧光</w:t>
      </w:r>
      <w:r>
        <w:rPr>
          <w:rFonts w:ascii="Times New Roman" w:eastAsia="Times New Roman"/>
        </w:rPr>
        <w:t>PCR </w:t>
      </w:r>
      <w:r>
        <w:rPr/>
        <w:t>仪、</w:t>
      </w:r>
      <w:r>
        <w:rPr>
          <w:rFonts w:ascii="Times New Roman" w:eastAsia="Times New Roman"/>
        </w:rPr>
        <w:t>Stratagene Mx3000P </w:t>
      </w:r>
      <w:r>
        <w:rPr/>
        <w:t>荧光</w:t>
      </w:r>
      <w:r>
        <w:rPr>
          <w:rFonts w:ascii="Times New Roman" w:eastAsia="Times New Roman"/>
        </w:rPr>
        <w:t>PCR </w:t>
      </w:r>
      <w:r>
        <w:rPr/>
        <w:t>仪、</w:t>
      </w:r>
      <w:r>
        <w:rPr>
          <w:rFonts w:ascii="Times New Roman" w:eastAsia="Times New Roman"/>
        </w:rPr>
        <w:t>Roche Light Cycler 480 </w:t>
      </w:r>
      <w:r>
        <w:rPr/>
        <w:t>荧光</w:t>
      </w:r>
      <w:r>
        <w:rPr>
          <w:rFonts w:ascii="Times New Roman" w:eastAsia="Times New Roman"/>
        </w:rPr>
        <w:t>PCR </w:t>
      </w:r>
      <w:r>
        <w:rPr/>
        <w:t>仪。</w:t>
      </w:r>
    </w:p>
    <w:p>
      <w:pPr>
        <w:pStyle w:val="Heading1"/>
      </w:pPr>
      <w:r>
        <w:rPr/>
        <w:t>【样本要求】</w:t>
      </w:r>
    </w:p>
    <w:p>
      <w:pPr>
        <w:pStyle w:val="ListParagraph"/>
        <w:numPr>
          <w:ilvl w:val="0"/>
          <w:numId w:val="2"/>
        </w:numPr>
        <w:tabs>
          <w:tab w:pos="257" w:val="left" w:leader="none"/>
        </w:tabs>
        <w:spacing w:line="175" w:lineRule="exact" w:before="0" w:after="0"/>
        <w:ind w:left="256" w:right="0" w:hanging="130"/>
        <w:jc w:val="left"/>
        <w:rPr>
          <w:sz w:val="18"/>
        </w:rPr>
      </w:pPr>
      <w:r>
        <w:rPr>
          <w:spacing w:val="-3"/>
          <w:sz w:val="18"/>
        </w:rPr>
        <w:t>适用样本类型：血清或血浆样本。</w:t>
      </w:r>
    </w:p>
    <w:p>
      <w:pPr>
        <w:pStyle w:val="ListParagraph"/>
        <w:numPr>
          <w:ilvl w:val="0"/>
          <w:numId w:val="2"/>
        </w:numPr>
        <w:tabs>
          <w:tab w:pos="257" w:val="left" w:leader="none"/>
        </w:tabs>
        <w:spacing w:line="176" w:lineRule="exact" w:before="0" w:after="0"/>
        <w:ind w:left="256" w:right="0" w:hanging="130"/>
        <w:jc w:val="left"/>
        <w:rPr>
          <w:sz w:val="18"/>
        </w:rPr>
      </w:pPr>
      <w:r>
        <w:rPr>
          <w:spacing w:val="-3"/>
          <w:sz w:val="18"/>
        </w:rPr>
        <w:t>样本采集：</w:t>
      </w:r>
    </w:p>
    <w:p>
      <w:pPr>
        <w:pStyle w:val="ListParagraph"/>
        <w:numPr>
          <w:ilvl w:val="1"/>
          <w:numId w:val="2"/>
        </w:numPr>
        <w:tabs>
          <w:tab w:pos="382" w:val="left" w:leader="none"/>
        </w:tabs>
        <w:spacing w:line="182" w:lineRule="auto" w:before="17" w:after="0"/>
        <w:ind w:left="307" w:right="144" w:hanging="180"/>
        <w:jc w:val="left"/>
        <w:rPr>
          <w:sz w:val="18"/>
        </w:rPr>
      </w:pPr>
      <w:r>
        <w:rPr>
          <w:spacing w:val="-5"/>
          <w:sz w:val="18"/>
        </w:rPr>
        <w:t>血清样本采集：用无菌注射器抽取受检者静脉血 </w:t>
      </w:r>
      <w:r>
        <w:rPr>
          <w:rFonts w:ascii="Times New Roman" w:eastAsia="Times New Roman"/>
          <w:spacing w:val="-3"/>
          <w:sz w:val="18"/>
        </w:rPr>
        <w:t>2mL</w:t>
      </w:r>
      <w:r>
        <w:rPr>
          <w:spacing w:val="-6"/>
          <w:sz w:val="18"/>
        </w:rPr>
        <w:t>，注入无菌收集管，室温不超过 </w:t>
      </w:r>
      <w:r>
        <w:rPr>
          <w:rFonts w:ascii="Times New Roman" w:eastAsia="Times New Roman"/>
          <w:sz w:val="18"/>
        </w:rPr>
        <w:t>4</w:t>
      </w:r>
      <w:r>
        <w:rPr>
          <w:rFonts w:ascii="Times New Roman" w:eastAsia="Times New Roman"/>
          <w:spacing w:val="-13"/>
          <w:sz w:val="18"/>
        </w:rPr>
        <w:t> </w:t>
      </w:r>
      <w:r>
        <w:rPr>
          <w:spacing w:val="-3"/>
          <w:sz w:val="18"/>
        </w:rPr>
        <w:t>小时，待样本自行析出血清，或直接室</w:t>
      </w:r>
      <w:r>
        <w:rPr>
          <w:spacing w:val="-27"/>
          <w:sz w:val="18"/>
        </w:rPr>
        <w:t>温 </w:t>
      </w:r>
      <w:r>
        <w:rPr>
          <w:rFonts w:ascii="Times New Roman" w:eastAsia="Times New Roman"/>
          <w:sz w:val="18"/>
        </w:rPr>
        <w:t>1600rpm</w:t>
      </w:r>
      <w:r>
        <w:rPr>
          <w:rFonts w:ascii="Times New Roman" w:eastAsia="Times New Roman"/>
          <w:spacing w:val="-15"/>
          <w:sz w:val="18"/>
        </w:rPr>
        <w:t> </w:t>
      </w:r>
      <w:r>
        <w:rPr>
          <w:spacing w:val="-17"/>
          <w:sz w:val="18"/>
        </w:rPr>
        <w:t>离心 </w:t>
      </w:r>
      <w:r>
        <w:rPr>
          <w:rFonts w:ascii="Times New Roman" w:eastAsia="Times New Roman"/>
          <w:sz w:val="18"/>
        </w:rPr>
        <w:t>5</w:t>
      </w:r>
      <w:r>
        <w:rPr>
          <w:rFonts w:ascii="Times New Roman" w:eastAsia="Times New Roman"/>
          <w:spacing w:val="-13"/>
          <w:sz w:val="18"/>
        </w:rPr>
        <w:t> </w:t>
      </w:r>
      <w:r>
        <w:rPr>
          <w:spacing w:val="-7"/>
          <w:sz w:val="18"/>
        </w:rPr>
        <w:t>分钟分离出血清，转移到 </w:t>
      </w:r>
      <w:r>
        <w:rPr>
          <w:rFonts w:ascii="Times New Roman" w:eastAsia="Times New Roman"/>
          <w:spacing w:val="-3"/>
          <w:sz w:val="18"/>
        </w:rPr>
        <w:t>1.5mL</w:t>
      </w:r>
      <w:r>
        <w:rPr>
          <w:rFonts w:ascii="Times New Roman" w:eastAsia="Times New Roman"/>
          <w:spacing w:val="-11"/>
          <w:sz w:val="18"/>
        </w:rPr>
        <w:t> </w:t>
      </w:r>
      <w:r>
        <w:rPr>
          <w:spacing w:val="-3"/>
          <w:sz w:val="18"/>
        </w:rPr>
        <w:t>灭菌离心管中备用。</w:t>
      </w:r>
    </w:p>
    <w:p>
      <w:pPr>
        <w:pStyle w:val="ListParagraph"/>
        <w:numPr>
          <w:ilvl w:val="1"/>
          <w:numId w:val="2"/>
        </w:numPr>
        <w:tabs>
          <w:tab w:pos="382" w:val="left" w:leader="none"/>
        </w:tabs>
        <w:spacing w:line="184" w:lineRule="auto" w:before="0" w:after="0"/>
        <w:ind w:left="307" w:right="140" w:hanging="180"/>
        <w:jc w:val="left"/>
        <w:rPr>
          <w:sz w:val="18"/>
        </w:rPr>
      </w:pPr>
      <w:r>
        <w:rPr>
          <w:spacing w:val="-6"/>
          <w:sz w:val="18"/>
        </w:rPr>
        <w:t>血浆样本采集：用无菌注射器抽取受检者静脉血 </w:t>
      </w:r>
      <w:r>
        <w:rPr>
          <w:rFonts w:ascii="Times New Roman" w:eastAsia="Times New Roman"/>
          <w:spacing w:val="-3"/>
          <w:sz w:val="18"/>
        </w:rPr>
        <w:t>2mL</w:t>
      </w:r>
      <w:r>
        <w:rPr>
          <w:spacing w:val="6"/>
          <w:sz w:val="18"/>
        </w:rPr>
        <w:t>，注入含有</w:t>
      </w:r>
      <w:r>
        <w:rPr>
          <w:rFonts w:ascii="Times New Roman" w:eastAsia="Times New Roman"/>
          <w:spacing w:val="-5"/>
          <w:sz w:val="18"/>
        </w:rPr>
        <w:t>EDTA</w:t>
      </w:r>
      <w:r>
        <w:rPr>
          <w:rFonts w:ascii="Times New Roman" w:eastAsia="Times New Roman"/>
          <w:spacing w:val="-16"/>
          <w:sz w:val="18"/>
        </w:rPr>
        <w:t> </w:t>
      </w:r>
      <w:r>
        <w:rPr>
          <w:spacing w:val="-3"/>
          <w:sz w:val="18"/>
        </w:rPr>
        <w:t>或枸橼酸钠抗凝剂的无菌收集管，立即轻轻颠倒混匀， </w:t>
      </w:r>
      <w:r>
        <w:rPr>
          <w:spacing w:val="-11"/>
          <w:sz w:val="18"/>
        </w:rPr>
        <w:t>室温不超过 </w:t>
      </w:r>
      <w:r>
        <w:rPr>
          <w:rFonts w:ascii="Times New Roman" w:eastAsia="Times New Roman"/>
          <w:sz w:val="18"/>
        </w:rPr>
        <w:t>4</w:t>
      </w:r>
      <w:r>
        <w:rPr>
          <w:rFonts w:ascii="Times New Roman" w:eastAsia="Times New Roman"/>
          <w:spacing w:val="-13"/>
          <w:sz w:val="18"/>
        </w:rPr>
        <w:t> </w:t>
      </w:r>
      <w:r>
        <w:rPr>
          <w:spacing w:val="-6"/>
          <w:sz w:val="18"/>
        </w:rPr>
        <w:t>小时，待样本自行析出血浆，或直接 </w:t>
      </w:r>
      <w:r>
        <w:rPr>
          <w:rFonts w:ascii="Times New Roman" w:eastAsia="Times New Roman"/>
          <w:sz w:val="18"/>
        </w:rPr>
        <w:t>1600rpm</w:t>
      </w:r>
      <w:r>
        <w:rPr>
          <w:rFonts w:ascii="Times New Roman" w:eastAsia="Times New Roman"/>
          <w:spacing w:val="-15"/>
          <w:sz w:val="18"/>
        </w:rPr>
        <w:t> </w:t>
      </w:r>
      <w:r>
        <w:rPr>
          <w:spacing w:val="-17"/>
          <w:sz w:val="18"/>
        </w:rPr>
        <w:t>离心 </w:t>
      </w:r>
      <w:r>
        <w:rPr>
          <w:rFonts w:ascii="Times New Roman" w:eastAsia="Times New Roman"/>
          <w:sz w:val="18"/>
        </w:rPr>
        <w:t>5</w:t>
      </w:r>
      <w:r>
        <w:rPr>
          <w:rFonts w:ascii="Times New Roman" w:eastAsia="Times New Roman"/>
          <w:spacing w:val="-14"/>
          <w:sz w:val="18"/>
        </w:rPr>
        <w:t> </w:t>
      </w:r>
      <w:r>
        <w:rPr>
          <w:spacing w:val="-7"/>
          <w:sz w:val="18"/>
        </w:rPr>
        <w:t>分钟分离出血浆，转移到 </w:t>
      </w:r>
      <w:r>
        <w:rPr>
          <w:rFonts w:ascii="Times New Roman" w:eastAsia="Times New Roman"/>
          <w:spacing w:val="-3"/>
          <w:sz w:val="18"/>
        </w:rPr>
        <w:t>1.5mL</w:t>
      </w:r>
      <w:r>
        <w:rPr>
          <w:rFonts w:ascii="Times New Roman" w:eastAsia="Times New Roman"/>
          <w:spacing w:val="-11"/>
          <w:sz w:val="18"/>
        </w:rPr>
        <w:t> </w:t>
      </w:r>
      <w:r>
        <w:rPr>
          <w:spacing w:val="-3"/>
          <w:sz w:val="18"/>
        </w:rPr>
        <w:t>灭菌离心管中备用。</w:t>
      </w:r>
    </w:p>
    <w:p>
      <w:pPr>
        <w:pStyle w:val="BodyText"/>
        <w:spacing w:line="182" w:lineRule="auto"/>
        <w:ind w:left="307" w:right="141" w:hanging="178"/>
      </w:pPr>
      <w:r>
        <w:rPr>
          <w:rFonts w:ascii="Times New Roman" w:hAnsi="Times New Roman" w:eastAsia="Times New Roman"/>
        </w:rPr>
        <w:t>3. </w:t>
      </w:r>
      <w:r>
        <w:rPr/>
        <w:t>样本保存和运送：经上述处理后的待测血清或血浆样本可立即用于检测，或</w:t>
      </w:r>
      <w:r>
        <w:rPr>
          <w:rFonts w:ascii="Times New Roman" w:hAnsi="Times New Roman" w:eastAsia="Times New Roman"/>
        </w:rPr>
        <w:t>-20±5</w:t>
      </w:r>
      <w:r>
        <w:rPr/>
        <w:t>℃保存（</w:t>
      </w:r>
      <w:r>
        <w:rPr>
          <w:rFonts w:ascii="Times New Roman" w:hAnsi="Times New Roman" w:eastAsia="Times New Roman"/>
        </w:rPr>
        <w:t>3 </w:t>
      </w:r>
      <w:r>
        <w:rPr/>
        <w:t>个月），长期保存请置于</w:t>
      </w:r>
      <w:r>
        <w:rPr>
          <w:rFonts w:ascii="Times New Roman" w:hAnsi="Times New Roman" w:eastAsia="Times New Roman"/>
        </w:rPr>
        <w:t>-70</w:t>
      </w:r>
      <w:r>
        <w:rPr/>
        <w:t>℃以下。应避免反复冻融。标本运送采用冰壶加冰或泡沫箱加冰密封进行运输。</w:t>
      </w:r>
    </w:p>
    <w:p>
      <w:pPr>
        <w:pStyle w:val="Heading1"/>
        <w:spacing w:line="162" w:lineRule="exact"/>
      </w:pPr>
      <w:r>
        <w:rPr/>
        <w:t>【检验方法】</w:t>
      </w:r>
    </w:p>
    <w:p>
      <w:pPr>
        <w:pStyle w:val="ListParagraph"/>
        <w:numPr>
          <w:ilvl w:val="0"/>
          <w:numId w:val="3"/>
        </w:numPr>
        <w:tabs>
          <w:tab w:pos="300" w:val="left" w:leader="none"/>
        </w:tabs>
        <w:spacing w:line="175" w:lineRule="exact" w:before="0" w:after="0"/>
        <w:ind w:left="300" w:right="0" w:hanging="173"/>
        <w:jc w:val="left"/>
        <w:rPr>
          <w:b/>
          <w:sz w:val="18"/>
        </w:rPr>
      </w:pPr>
      <w:r>
        <w:rPr>
          <w:b/>
          <w:spacing w:val="-3"/>
          <w:sz w:val="18"/>
        </w:rPr>
        <w:t>试剂准备（在试剂准备区进行</w:t>
      </w:r>
      <w:r>
        <w:rPr>
          <w:b/>
          <w:sz w:val="18"/>
        </w:rPr>
        <w:t>）</w:t>
      </w:r>
    </w:p>
    <w:p>
      <w:pPr>
        <w:pStyle w:val="ListParagraph"/>
        <w:numPr>
          <w:ilvl w:val="1"/>
          <w:numId w:val="3"/>
        </w:numPr>
        <w:tabs>
          <w:tab w:pos="389" w:val="left" w:leader="none"/>
        </w:tabs>
        <w:spacing w:line="176" w:lineRule="exact" w:before="0" w:after="0"/>
        <w:ind w:left="388" w:right="0" w:hanging="262"/>
        <w:jc w:val="left"/>
        <w:rPr>
          <w:sz w:val="18"/>
        </w:rPr>
      </w:pPr>
      <w:r>
        <w:rPr>
          <w:spacing w:val="-3"/>
          <w:sz w:val="18"/>
        </w:rPr>
        <w:t>取出两个包装盒中的各组分，室温放置，待其温度平衡至室温后，混匀后备用；</w:t>
      </w:r>
    </w:p>
    <w:p>
      <w:pPr>
        <w:pStyle w:val="ListParagraph"/>
        <w:numPr>
          <w:ilvl w:val="1"/>
          <w:numId w:val="3"/>
        </w:numPr>
        <w:tabs>
          <w:tab w:pos="389" w:val="left" w:leader="none"/>
        </w:tabs>
        <w:spacing w:line="182" w:lineRule="auto" w:before="14" w:after="0"/>
        <w:ind w:left="395" w:right="137" w:hanging="269"/>
        <w:jc w:val="left"/>
        <w:rPr>
          <w:sz w:val="18"/>
        </w:rPr>
      </w:pPr>
      <w:r>
        <w:rPr>
          <w:spacing w:val="-5"/>
          <w:sz w:val="18"/>
        </w:rPr>
        <w:t>根据待测样本、阴性对照、阳性对照以及定量参考品 </w:t>
      </w:r>
      <w:r>
        <w:rPr>
          <w:rFonts w:ascii="Times New Roman" w:hAnsi="Times New Roman" w:eastAsia="Times New Roman"/>
          <w:sz w:val="18"/>
        </w:rPr>
        <w:t>A~D</w:t>
      </w:r>
      <w:r>
        <w:rPr>
          <w:rFonts w:ascii="Times New Roman" w:hAnsi="Times New Roman" w:eastAsia="Times New Roman"/>
          <w:spacing w:val="-13"/>
          <w:sz w:val="18"/>
        </w:rPr>
        <w:t> </w:t>
      </w:r>
      <w:r>
        <w:rPr>
          <w:spacing w:val="-3"/>
          <w:sz w:val="18"/>
        </w:rPr>
        <w:t>数量，按比例（</w:t>
      </w:r>
      <w:r>
        <w:rPr>
          <w:spacing w:val="-12"/>
          <w:sz w:val="18"/>
        </w:rPr>
        <w:t>提取试剂 </w:t>
      </w:r>
      <w:r>
        <w:rPr>
          <w:rFonts w:ascii="Times New Roman" w:hAnsi="Times New Roman" w:eastAsia="Times New Roman"/>
          <w:sz w:val="18"/>
        </w:rPr>
        <w:t>1</w:t>
      </w:r>
      <w:r>
        <w:rPr>
          <w:rFonts w:ascii="Times New Roman" w:hAnsi="Times New Roman" w:eastAsia="Times New Roman"/>
          <w:spacing w:val="-5"/>
          <w:sz w:val="18"/>
        </w:rPr>
        <w:t> </w:t>
      </w:r>
      <w:r>
        <w:rPr>
          <w:rFonts w:ascii="Times New Roman" w:hAnsi="Times New Roman" w:eastAsia="Times New Roman"/>
          <w:spacing w:val="-3"/>
          <w:sz w:val="18"/>
        </w:rPr>
        <w:t>600μL/</w:t>
      </w:r>
      <w:r>
        <w:rPr>
          <w:spacing w:val="-2"/>
          <w:sz w:val="18"/>
        </w:rPr>
        <w:t>人份</w:t>
      </w:r>
      <w:r>
        <w:rPr>
          <w:rFonts w:ascii="Times New Roman" w:hAnsi="Times New Roman" w:eastAsia="Times New Roman"/>
          <w:sz w:val="18"/>
        </w:rPr>
        <w:t>+</w:t>
      </w:r>
      <w:r>
        <w:rPr>
          <w:spacing w:val="-3"/>
          <w:sz w:val="18"/>
        </w:rPr>
        <w:t>丙型肝炎病毒</w:t>
      </w:r>
      <w:r>
        <w:rPr>
          <w:sz w:val="18"/>
        </w:rPr>
        <w:t>（</w:t>
      </w:r>
      <w:r>
        <w:rPr>
          <w:rFonts w:ascii="Times New Roman" w:hAnsi="Times New Roman" w:eastAsia="Times New Roman"/>
          <w:sz w:val="18"/>
        </w:rPr>
        <w:t>HCV</w:t>
      </w:r>
      <w:r>
        <w:rPr>
          <w:sz w:val="18"/>
        </w:rPr>
        <w:t>）</w:t>
      </w:r>
      <w:r>
        <w:rPr>
          <w:spacing w:val="-2"/>
          <w:sz w:val="18"/>
        </w:rPr>
        <w:t>内标</w:t>
      </w:r>
      <w:r>
        <w:rPr>
          <w:rFonts w:ascii="Times New Roman" w:hAnsi="Times New Roman" w:eastAsia="Times New Roman"/>
          <w:spacing w:val="-3"/>
          <w:sz w:val="18"/>
        </w:rPr>
        <w:t>0.4μL/</w:t>
      </w:r>
      <w:r>
        <w:rPr>
          <w:spacing w:val="-3"/>
          <w:sz w:val="18"/>
        </w:rPr>
        <w:t>人份）</w:t>
      </w:r>
      <w:r>
        <w:rPr>
          <w:spacing w:val="-8"/>
          <w:sz w:val="18"/>
        </w:rPr>
        <w:t>取相应量的提取试剂 </w:t>
      </w:r>
      <w:r>
        <w:rPr>
          <w:rFonts w:ascii="Times New Roman" w:hAnsi="Times New Roman" w:eastAsia="Times New Roman"/>
          <w:sz w:val="18"/>
        </w:rPr>
        <w:t>1</w:t>
      </w:r>
      <w:r>
        <w:rPr>
          <w:rFonts w:ascii="Times New Roman" w:hAnsi="Times New Roman" w:eastAsia="Times New Roman"/>
          <w:spacing w:val="-11"/>
          <w:sz w:val="18"/>
        </w:rPr>
        <w:t> </w:t>
      </w:r>
      <w:r>
        <w:rPr>
          <w:spacing w:val="-3"/>
          <w:sz w:val="18"/>
        </w:rPr>
        <w:t>及丙型肝炎病毒（</w:t>
      </w:r>
      <w:r>
        <w:rPr>
          <w:rFonts w:ascii="Times New Roman" w:hAnsi="Times New Roman" w:eastAsia="Times New Roman"/>
          <w:spacing w:val="-3"/>
          <w:sz w:val="18"/>
        </w:rPr>
        <w:t>HCV</w:t>
      </w:r>
      <w:r>
        <w:rPr>
          <w:spacing w:val="-3"/>
          <w:sz w:val="18"/>
        </w:rPr>
        <w:t>）</w:t>
      </w:r>
      <w:r>
        <w:rPr>
          <w:spacing w:val="-7"/>
          <w:sz w:val="18"/>
        </w:rPr>
        <w:t>内标，充分混匀成提取试剂 </w:t>
      </w:r>
      <w:r>
        <w:rPr>
          <w:rFonts w:ascii="Times New Roman" w:hAnsi="Times New Roman" w:eastAsia="Times New Roman"/>
          <w:sz w:val="18"/>
        </w:rPr>
        <w:t>1</w:t>
      </w:r>
      <w:r>
        <w:rPr>
          <w:rFonts w:ascii="Times New Roman" w:hAnsi="Times New Roman" w:eastAsia="Times New Roman"/>
          <w:spacing w:val="-13"/>
          <w:sz w:val="18"/>
        </w:rPr>
        <w:t> </w:t>
      </w:r>
      <w:r>
        <w:rPr>
          <w:spacing w:val="-3"/>
          <w:sz w:val="18"/>
        </w:rPr>
        <w:t>混合液，瞬时离心后备用。</w:t>
      </w:r>
    </w:p>
    <w:p>
      <w:pPr>
        <w:pStyle w:val="ListParagraph"/>
        <w:numPr>
          <w:ilvl w:val="1"/>
          <w:numId w:val="3"/>
        </w:numPr>
        <w:tabs>
          <w:tab w:pos="392" w:val="left" w:leader="none"/>
        </w:tabs>
        <w:spacing w:line="184" w:lineRule="auto" w:before="0" w:after="0"/>
        <w:ind w:left="393" w:right="137" w:hanging="264"/>
        <w:jc w:val="left"/>
        <w:rPr>
          <w:sz w:val="18"/>
        </w:rPr>
      </w:pPr>
      <w:r>
        <w:rPr>
          <w:spacing w:val="-1"/>
          <w:sz w:val="18"/>
        </w:rPr>
        <w:t>根据待测样本、阴性对照、阳性对照以及定量参考品</w:t>
      </w:r>
      <w:r>
        <w:rPr>
          <w:rFonts w:ascii="Times New Roman" w:hAnsi="Times New Roman" w:eastAsia="Times New Roman"/>
          <w:sz w:val="18"/>
        </w:rPr>
        <w:t>A~D</w:t>
      </w:r>
      <w:r>
        <w:rPr>
          <w:rFonts w:ascii="Times New Roman" w:hAnsi="Times New Roman" w:eastAsia="Times New Roman"/>
          <w:spacing w:val="-17"/>
          <w:sz w:val="18"/>
        </w:rPr>
        <w:t> </w:t>
      </w:r>
      <w:r>
        <w:rPr>
          <w:spacing w:val="-1"/>
          <w:sz w:val="18"/>
        </w:rPr>
        <w:t>数量，按比例</w:t>
      </w:r>
      <w:r>
        <w:rPr>
          <w:sz w:val="18"/>
        </w:rPr>
        <w:t>（</w:t>
      </w:r>
      <w:r>
        <w:rPr>
          <w:rFonts w:ascii="Times New Roman" w:hAnsi="Times New Roman" w:eastAsia="Times New Roman"/>
          <w:sz w:val="18"/>
        </w:rPr>
        <w:t>PCR</w:t>
      </w:r>
      <w:r>
        <w:rPr>
          <w:rFonts w:ascii="Times New Roman" w:hAnsi="Times New Roman" w:eastAsia="Times New Roman"/>
          <w:spacing w:val="-16"/>
          <w:sz w:val="18"/>
        </w:rPr>
        <w:t> </w:t>
      </w:r>
      <w:r>
        <w:rPr>
          <w:spacing w:val="-13"/>
          <w:sz w:val="18"/>
        </w:rPr>
        <w:t>反应液 </w:t>
      </w:r>
      <w:r>
        <w:rPr>
          <w:rFonts w:ascii="Times New Roman" w:hAnsi="Times New Roman" w:eastAsia="Times New Roman"/>
          <w:spacing w:val="-3"/>
          <w:sz w:val="18"/>
        </w:rPr>
        <w:t>49μL/</w:t>
      </w:r>
      <w:r>
        <w:rPr>
          <w:sz w:val="18"/>
        </w:rPr>
        <w:t>人份</w:t>
      </w:r>
      <w:r>
        <w:rPr>
          <w:rFonts w:ascii="Times New Roman" w:hAnsi="Times New Roman" w:eastAsia="Times New Roman"/>
          <w:sz w:val="18"/>
        </w:rPr>
        <w:t>+</w:t>
      </w:r>
      <w:r>
        <w:rPr>
          <w:spacing w:val="-14"/>
          <w:sz w:val="18"/>
        </w:rPr>
        <w:t>增强剂 </w:t>
      </w:r>
      <w:r>
        <w:rPr>
          <w:rFonts w:ascii="Times New Roman" w:hAnsi="Times New Roman" w:eastAsia="Times New Roman"/>
          <w:sz w:val="18"/>
        </w:rPr>
        <w:t>1μL/</w:t>
      </w:r>
      <w:r>
        <w:rPr>
          <w:sz w:val="18"/>
        </w:rPr>
        <w:t>人份</w:t>
      </w:r>
      <w:r>
        <w:rPr>
          <w:spacing w:val="-3"/>
          <w:sz w:val="18"/>
        </w:rPr>
        <w:t>）</w:t>
      </w:r>
      <w:r>
        <w:rPr>
          <w:sz w:val="18"/>
        </w:rPr>
        <w:t>取相应量</w:t>
      </w:r>
      <w:r>
        <w:rPr>
          <w:spacing w:val="-3"/>
          <w:sz w:val="18"/>
        </w:rPr>
        <w:t>的丙型肝炎病毒</w:t>
      </w:r>
      <w:r>
        <w:rPr>
          <w:sz w:val="18"/>
        </w:rPr>
        <w:t>（</w:t>
      </w:r>
      <w:r>
        <w:rPr>
          <w:rFonts w:ascii="Times New Roman" w:hAnsi="Times New Roman" w:eastAsia="Times New Roman"/>
          <w:sz w:val="18"/>
        </w:rPr>
        <w:t>HCV</w:t>
      </w:r>
      <w:r>
        <w:rPr>
          <w:sz w:val="18"/>
        </w:rPr>
        <w:t>）</w:t>
      </w:r>
      <w:r>
        <w:rPr>
          <w:spacing w:val="-51"/>
          <w:sz w:val="18"/>
        </w:rPr>
        <w:t> </w:t>
      </w:r>
      <w:r>
        <w:rPr>
          <w:rFonts w:ascii="Times New Roman" w:hAnsi="Times New Roman" w:eastAsia="Times New Roman"/>
          <w:sz w:val="18"/>
        </w:rPr>
        <w:t>PCR</w:t>
      </w:r>
      <w:r>
        <w:rPr>
          <w:rFonts w:ascii="Times New Roman" w:hAnsi="Times New Roman" w:eastAsia="Times New Roman"/>
          <w:spacing w:val="-14"/>
          <w:sz w:val="18"/>
        </w:rPr>
        <w:t> </w:t>
      </w:r>
      <w:r>
        <w:rPr>
          <w:spacing w:val="8"/>
          <w:sz w:val="18"/>
        </w:rPr>
        <w:t>反应液及</w:t>
      </w:r>
      <w:r>
        <w:rPr>
          <w:rFonts w:ascii="Times New Roman" w:hAnsi="Times New Roman" w:eastAsia="Times New Roman"/>
          <w:spacing w:val="-7"/>
          <w:sz w:val="18"/>
        </w:rPr>
        <w:t>RT-PCR</w:t>
      </w:r>
      <w:r>
        <w:rPr>
          <w:rFonts w:ascii="Times New Roman" w:hAnsi="Times New Roman" w:eastAsia="Times New Roman"/>
          <w:spacing w:val="-14"/>
          <w:sz w:val="18"/>
        </w:rPr>
        <w:t> </w:t>
      </w:r>
      <w:r>
        <w:rPr>
          <w:spacing w:val="1"/>
          <w:sz w:val="18"/>
        </w:rPr>
        <w:t>增强剂，充分混匀成</w:t>
      </w:r>
      <w:r>
        <w:rPr>
          <w:rFonts w:ascii="Times New Roman" w:hAnsi="Times New Roman" w:eastAsia="Times New Roman"/>
          <w:sz w:val="18"/>
        </w:rPr>
        <w:t>PCR</w:t>
      </w:r>
      <w:r>
        <w:rPr>
          <w:rFonts w:ascii="Times New Roman" w:hAnsi="Times New Roman" w:eastAsia="Times New Roman"/>
          <w:spacing w:val="-14"/>
          <w:sz w:val="18"/>
        </w:rPr>
        <w:t> </w:t>
      </w:r>
      <w:r>
        <w:rPr>
          <w:spacing w:val="-3"/>
          <w:sz w:val="18"/>
        </w:rPr>
        <w:t>混合液，瞬时离心后备用。</w:t>
      </w:r>
    </w:p>
    <w:p>
      <w:pPr>
        <w:pStyle w:val="ListParagraph"/>
        <w:numPr>
          <w:ilvl w:val="1"/>
          <w:numId w:val="3"/>
        </w:numPr>
        <w:tabs>
          <w:tab w:pos="392" w:val="left" w:leader="none"/>
        </w:tabs>
        <w:spacing w:line="159" w:lineRule="exact" w:before="0" w:after="0"/>
        <w:ind w:left="391" w:right="0" w:hanging="263"/>
        <w:jc w:val="left"/>
        <w:rPr>
          <w:sz w:val="18"/>
        </w:rPr>
      </w:pPr>
      <w:r>
        <w:rPr>
          <w:spacing w:val="-3"/>
          <w:sz w:val="18"/>
        </w:rPr>
        <w:t>将上述准备好的试剂转移至样本处理区，待用。</w:t>
      </w:r>
    </w:p>
    <w:p>
      <w:pPr>
        <w:pStyle w:val="ListParagraph"/>
        <w:numPr>
          <w:ilvl w:val="0"/>
          <w:numId w:val="3"/>
        </w:numPr>
        <w:tabs>
          <w:tab w:pos="300" w:val="left" w:leader="none"/>
        </w:tabs>
        <w:spacing w:line="176" w:lineRule="exact" w:before="0" w:after="0"/>
        <w:ind w:left="300" w:right="0" w:hanging="173"/>
        <w:jc w:val="left"/>
        <w:rPr>
          <w:rFonts w:ascii="Times New Roman" w:eastAsia="Times New Roman"/>
          <w:sz w:val="18"/>
        </w:rPr>
      </w:pPr>
      <w:r>
        <w:rPr>
          <w:b/>
          <w:spacing w:val="-3"/>
          <w:sz w:val="18"/>
        </w:rPr>
        <w:t>样本处理（在样本处理区进行）</w:t>
      </w:r>
      <w:r>
        <w:rPr>
          <w:spacing w:val="-3"/>
          <w:sz w:val="18"/>
        </w:rPr>
        <w:t>（阴性对照、阳性对照、定量参考品与待测样本同步处理</w:t>
      </w:r>
      <w:r>
        <w:rPr>
          <w:rFonts w:ascii="Times New Roman" w:eastAsia="Times New Roman"/>
          <w:sz w:val="18"/>
        </w:rPr>
        <w:t>)</w:t>
      </w:r>
    </w:p>
    <w:p>
      <w:pPr>
        <w:pStyle w:val="ListParagraph"/>
        <w:numPr>
          <w:ilvl w:val="1"/>
          <w:numId w:val="3"/>
        </w:numPr>
        <w:tabs>
          <w:tab w:pos="392" w:val="left" w:leader="none"/>
        </w:tabs>
        <w:spacing w:line="182" w:lineRule="auto" w:before="15" w:after="0"/>
        <w:ind w:left="127" w:right="142" w:firstLine="0"/>
        <w:jc w:val="left"/>
        <w:rPr>
          <w:sz w:val="18"/>
        </w:rPr>
      </w:pPr>
      <w:r>
        <w:rPr>
          <w:spacing w:val="-12"/>
          <w:sz w:val="18"/>
        </w:rPr>
        <w:t>取适量 </w:t>
      </w:r>
      <w:r>
        <w:rPr>
          <w:rFonts w:ascii="Times New Roman" w:hAnsi="Times New Roman" w:eastAsia="Times New Roman"/>
          <w:sz w:val="18"/>
        </w:rPr>
        <w:t>1.5</w:t>
      </w:r>
      <w:r>
        <w:rPr>
          <w:rFonts w:ascii="Times New Roman" w:hAnsi="Times New Roman" w:eastAsia="Times New Roman"/>
          <w:spacing w:val="-2"/>
          <w:sz w:val="18"/>
        </w:rPr>
        <w:t> </w:t>
      </w:r>
      <w:r>
        <w:rPr>
          <w:rFonts w:ascii="Times New Roman" w:hAnsi="Times New Roman" w:eastAsia="Times New Roman"/>
          <w:sz w:val="18"/>
        </w:rPr>
        <w:t>mL</w:t>
      </w:r>
      <w:r>
        <w:rPr>
          <w:rFonts w:ascii="Times New Roman" w:hAnsi="Times New Roman" w:eastAsia="Times New Roman"/>
          <w:spacing w:val="-6"/>
          <w:sz w:val="18"/>
        </w:rPr>
        <w:t> </w:t>
      </w:r>
      <w:r>
        <w:rPr>
          <w:spacing w:val="-2"/>
          <w:sz w:val="18"/>
        </w:rPr>
        <w:t>灭菌离心管，分别标记阴性对照、阳性对照、定量参考品 </w:t>
      </w:r>
      <w:r>
        <w:rPr>
          <w:rFonts w:ascii="Times New Roman" w:hAnsi="Times New Roman" w:eastAsia="Times New Roman"/>
          <w:sz w:val="18"/>
        </w:rPr>
        <w:t>A</w:t>
      </w:r>
      <w:r>
        <w:rPr>
          <w:sz w:val="18"/>
        </w:rPr>
        <w:t>～</w:t>
      </w:r>
      <w:r>
        <w:rPr>
          <w:rFonts w:ascii="Times New Roman" w:hAnsi="Times New Roman" w:eastAsia="Times New Roman"/>
          <w:sz w:val="18"/>
        </w:rPr>
        <w:t>D</w:t>
      </w:r>
      <w:r>
        <w:rPr>
          <w:rFonts w:ascii="Times New Roman" w:hAnsi="Times New Roman" w:eastAsia="Times New Roman"/>
          <w:spacing w:val="-9"/>
          <w:sz w:val="18"/>
        </w:rPr>
        <w:t> </w:t>
      </w:r>
      <w:r>
        <w:rPr>
          <w:spacing w:val="-5"/>
          <w:sz w:val="18"/>
        </w:rPr>
        <w:t>及待测样本，每管加入 </w:t>
      </w:r>
      <w:r>
        <w:rPr>
          <w:rFonts w:ascii="Times New Roman" w:hAnsi="Times New Roman" w:eastAsia="Times New Roman"/>
          <w:sz w:val="18"/>
        </w:rPr>
        <w:t>600 μL</w:t>
      </w:r>
      <w:r>
        <w:rPr>
          <w:rFonts w:ascii="Times New Roman" w:hAnsi="Times New Roman" w:eastAsia="Times New Roman"/>
          <w:spacing w:val="-8"/>
          <w:sz w:val="18"/>
        </w:rPr>
        <w:t> </w:t>
      </w:r>
      <w:r>
        <w:rPr>
          <w:spacing w:val="-9"/>
          <w:sz w:val="18"/>
        </w:rPr>
        <w:t>提取试剂 </w:t>
      </w:r>
      <w:r>
        <w:rPr>
          <w:rFonts w:ascii="Times New Roman" w:hAnsi="Times New Roman" w:eastAsia="Times New Roman"/>
          <w:sz w:val="18"/>
        </w:rPr>
        <w:t>1</w:t>
      </w:r>
      <w:r>
        <w:rPr>
          <w:rFonts w:ascii="Times New Roman" w:hAnsi="Times New Roman" w:eastAsia="Times New Roman"/>
          <w:spacing w:val="-10"/>
          <w:sz w:val="18"/>
        </w:rPr>
        <w:t> </w:t>
      </w:r>
      <w:r>
        <w:rPr>
          <w:sz w:val="18"/>
        </w:rPr>
        <w:t>混合</w:t>
      </w:r>
      <w:r>
        <w:rPr>
          <w:spacing w:val="-2"/>
          <w:sz w:val="18"/>
        </w:rPr>
        <w:t>液；</w:t>
      </w:r>
    </w:p>
    <w:p>
      <w:pPr>
        <w:pStyle w:val="ListParagraph"/>
        <w:numPr>
          <w:ilvl w:val="1"/>
          <w:numId w:val="3"/>
        </w:numPr>
        <w:tabs>
          <w:tab w:pos="392" w:val="left" w:leader="none"/>
        </w:tabs>
        <w:spacing w:line="161" w:lineRule="exact" w:before="0" w:after="0"/>
        <w:ind w:left="391" w:right="0" w:hanging="263"/>
        <w:jc w:val="left"/>
        <w:rPr>
          <w:sz w:val="18"/>
        </w:rPr>
      </w:pPr>
      <w:r>
        <w:rPr>
          <w:spacing w:val="-12"/>
          <w:sz w:val="18"/>
        </w:rPr>
        <w:t>每管加入 </w:t>
      </w:r>
      <w:r>
        <w:rPr>
          <w:rFonts w:ascii="Times New Roman" w:hAnsi="Times New Roman" w:eastAsia="Times New Roman"/>
          <w:spacing w:val="-3"/>
          <w:sz w:val="18"/>
        </w:rPr>
        <w:t>200μL</w:t>
      </w:r>
      <w:r>
        <w:rPr>
          <w:rFonts w:ascii="Times New Roman" w:hAnsi="Times New Roman" w:eastAsia="Times New Roman"/>
          <w:spacing w:val="-11"/>
          <w:sz w:val="18"/>
        </w:rPr>
        <w:t> </w:t>
      </w:r>
      <w:r>
        <w:rPr>
          <w:spacing w:val="-1"/>
          <w:sz w:val="18"/>
        </w:rPr>
        <w:t>待测样本或阴性对照、阳性对照、定量参考品</w:t>
      </w:r>
      <w:r>
        <w:rPr>
          <w:rFonts w:ascii="Times New Roman" w:hAnsi="Times New Roman" w:eastAsia="Times New Roman"/>
          <w:spacing w:val="-3"/>
          <w:sz w:val="18"/>
        </w:rPr>
        <w:t>A</w:t>
      </w:r>
      <w:r>
        <w:rPr>
          <w:spacing w:val="-3"/>
          <w:sz w:val="18"/>
        </w:rPr>
        <w:t>～</w:t>
      </w:r>
      <w:r>
        <w:rPr>
          <w:rFonts w:ascii="Times New Roman" w:hAnsi="Times New Roman" w:eastAsia="Times New Roman"/>
          <w:spacing w:val="-3"/>
          <w:sz w:val="18"/>
        </w:rPr>
        <w:t>D</w:t>
      </w:r>
      <w:r>
        <w:rPr>
          <w:spacing w:val="-7"/>
          <w:sz w:val="18"/>
        </w:rPr>
        <w:t>；盖上管盖，震荡混匀 </w:t>
      </w:r>
      <w:r>
        <w:rPr>
          <w:rFonts w:ascii="Times New Roman" w:hAnsi="Times New Roman" w:eastAsia="Times New Roman"/>
          <w:sz w:val="18"/>
        </w:rPr>
        <w:t>10</w:t>
      </w:r>
      <w:r>
        <w:rPr>
          <w:rFonts w:ascii="Times New Roman" w:hAnsi="Times New Roman" w:eastAsia="Times New Roman"/>
          <w:spacing w:val="-15"/>
          <w:sz w:val="18"/>
        </w:rPr>
        <w:t> </w:t>
      </w:r>
      <w:r>
        <w:rPr>
          <w:spacing w:val="-3"/>
          <w:sz w:val="18"/>
        </w:rPr>
        <w:t>秒钟，瞬时离心；</w:t>
      </w:r>
    </w:p>
    <w:p>
      <w:pPr>
        <w:pStyle w:val="ListParagraph"/>
        <w:numPr>
          <w:ilvl w:val="1"/>
          <w:numId w:val="3"/>
        </w:numPr>
        <w:tabs>
          <w:tab w:pos="392" w:val="left" w:leader="none"/>
        </w:tabs>
        <w:spacing w:line="176" w:lineRule="exact" w:before="0" w:after="0"/>
        <w:ind w:left="391" w:right="0" w:hanging="263"/>
        <w:jc w:val="left"/>
        <w:rPr>
          <w:sz w:val="18"/>
        </w:rPr>
      </w:pPr>
      <w:r>
        <w:rPr>
          <w:spacing w:val="-12"/>
          <w:sz w:val="18"/>
        </w:rPr>
        <w:t>每管加入 </w:t>
      </w:r>
      <w:r>
        <w:rPr>
          <w:rFonts w:ascii="Times New Roman" w:hAnsi="Times New Roman" w:eastAsia="Times New Roman"/>
          <w:sz w:val="18"/>
        </w:rPr>
        <w:t>100</w:t>
      </w:r>
      <w:r>
        <w:rPr>
          <w:rFonts w:ascii="Times New Roman" w:hAnsi="Times New Roman" w:eastAsia="Times New Roman"/>
          <w:spacing w:val="-6"/>
          <w:sz w:val="18"/>
        </w:rPr>
        <w:t> </w:t>
      </w:r>
      <w:r>
        <w:rPr>
          <w:rFonts w:ascii="Times New Roman" w:hAnsi="Times New Roman" w:eastAsia="Times New Roman"/>
          <w:sz w:val="18"/>
        </w:rPr>
        <w:t>μL</w:t>
      </w:r>
      <w:r>
        <w:rPr>
          <w:rFonts w:ascii="Times New Roman" w:hAnsi="Times New Roman" w:eastAsia="Times New Roman"/>
          <w:spacing w:val="-11"/>
          <w:sz w:val="18"/>
        </w:rPr>
        <w:t> </w:t>
      </w:r>
      <w:r>
        <w:rPr>
          <w:spacing w:val="-12"/>
          <w:sz w:val="18"/>
        </w:rPr>
        <w:t>提取试剂 </w:t>
      </w:r>
      <w:r>
        <w:rPr>
          <w:rFonts w:ascii="Times New Roman" w:hAnsi="Times New Roman" w:eastAsia="Times New Roman"/>
          <w:spacing w:val="-3"/>
          <w:sz w:val="18"/>
        </w:rPr>
        <w:t>2</w:t>
      </w:r>
      <w:r>
        <w:rPr>
          <w:spacing w:val="-3"/>
          <w:sz w:val="18"/>
        </w:rPr>
        <w:t>（充分混匀后吸取</w:t>
      </w:r>
      <w:r>
        <w:rPr>
          <w:sz w:val="18"/>
        </w:rPr>
        <w:t>）</w:t>
      </w:r>
      <w:r>
        <w:rPr>
          <w:spacing w:val="-11"/>
          <w:sz w:val="18"/>
        </w:rPr>
        <w:t>，震荡混匀 </w:t>
      </w:r>
      <w:r>
        <w:rPr>
          <w:rFonts w:ascii="Times New Roman" w:hAnsi="Times New Roman" w:eastAsia="Times New Roman"/>
          <w:sz w:val="18"/>
        </w:rPr>
        <w:t>10</w:t>
      </w:r>
      <w:r>
        <w:rPr>
          <w:rFonts w:ascii="Times New Roman" w:hAnsi="Times New Roman" w:eastAsia="Times New Roman"/>
          <w:spacing w:val="-14"/>
          <w:sz w:val="18"/>
        </w:rPr>
        <w:t> </w:t>
      </w:r>
      <w:r>
        <w:rPr>
          <w:spacing w:val="-9"/>
          <w:sz w:val="18"/>
        </w:rPr>
        <w:t>秒钟后室温静置 </w:t>
      </w:r>
      <w:r>
        <w:rPr>
          <w:rFonts w:ascii="Times New Roman" w:hAnsi="Times New Roman" w:eastAsia="Times New Roman"/>
          <w:sz w:val="18"/>
        </w:rPr>
        <w:t>30</w:t>
      </w:r>
      <w:r>
        <w:rPr>
          <w:rFonts w:ascii="Times New Roman" w:hAnsi="Times New Roman" w:eastAsia="Times New Roman"/>
          <w:spacing w:val="-3"/>
          <w:sz w:val="18"/>
        </w:rPr>
        <w:t> </w:t>
      </w:r>
      <w:r>
        <w:rPr>
          <w:spacing w:val="-2"/>
          <w:sz w:val="18"/>
        </w:rPr>
        <w:t>分钟；</w:t>
      </w:r>
    </w:p>
    <w:p>
      <w:pPr>
        <w:pStyle w:val="ListParagraph"/>
        <w:numPr>
          <w:ilvl w:val="1"/>
          <w:numId w:val="3"/>
        </w:numPr>
        <w:tabs>
          <w:tab w:pos="389" w:val="left" w:leader="none"/>
        </w:tabs>
        <w:spacing w:line="175" w:lineRule="exact" w:before="0" w:after="0"/>
        <w:ind w:left="388" w:right="0" w:hanging="262"/>
        <w:jc w:val="left"/>
        <w:rPr>
          <w:sz w:val="18"/>
        </w:rPr>
      </w:pPr>
      <w:r>
        <w:rPr>
          <w:spacing w:val="-3"/>
          <w:sz w:val="18"/>
        </w:rPr>
        <w:t>瞬时离心后将离心管置于分离器上，</w:t>
      </w:r>
      <w:r>
        <w:rPr>
          <w:rFonts w:ascii="Times New Roman" w:eastAsia="Times New Roman"/>
          <w:sz w:val="18"/>
        </w:rPr>
        <w:t>3</w:t>
      </w:r>
      <w:r>
        <w:rPr>
          <w:rFonts w:ascii="Times New Roman" w:eastAsia="Times New Roman"/>
          <w:spacing w:val="-14"/>
          <w:sz w:val="18"/>
        </w:rPr>
        <w:t> </w:t>
      </w:r>
      <w:r>
        <w:rPr>
          <w:spacing w:val="-3"/>
          <w:sz w:val="18"/>
        </w:rPr>
        <w:t>分钟后缓慢将溶液吸出（注意不要碰到吸附于管壁的棕色物</w:t>
      </w:r>
      <w:r>
        <w:rPr>
          <w:sz w:val="18"/>
        </w:rPr>
        <w:t>）；</w:t>
      </w:r>
    </w:p>
    <w:p>
      <w:pPr>
        <w:pStyle w:val="ListParagraph"/>
        <w:numPr>
          <w:ilvl w:val="1"/>
          <w:numId w:val="3"/>
        </w:numPr>
        <w:tabs>
          <w:tab w:pos="389" w:val="left" w:leader="none"/>
        </w:tabs>
        <w:spacing w:line="176" w:lineRule="exact" w:before="0" w:after="0"/>
        <w:ind w:left="388" w:right="0" w:hanging="262"/>
        <w:jc w:val="left"/>
        <w:rPr>
          <w:sz w:val="18"/>
        </w:rPr>
      </w:pPr>
      <w:r>
        <w:rPr>
          <w:spacing w:val="-12"/>
          <w:sz w:val="18"/>
        </w:rPr>
        <w:t>每管加入 </w:t>
      </w:r>
      <w:r>
        <w:rPr>
          <w:rFonts w:ascii="Times New Roman" w:hAnsi="Times New Roman" w:eastAsia="Times New Roman"/>
          <w:spacing w:val="-3"/>
          <w:sz w:val="18"/>
        </w:rPr>
        <w:t>600μL</w:t>
      </w:r>
      <w:r>
        <w:rPr>
          <w:rFonts w:ascii="Times New Roman" w:hAnsi="Times New Roman" w:eastAsia="Times New Roman"/>
          <w:spacing w:val="-11"/>
          <w:sz w:val="18"/>
        </w:rPr>
        <w:t> </w:t>
      </w:r>
      <w:r>
        <w:rPr>
          <w:rFonts w:ascii="Times New Roman" w:hAnsi="Times New Roman" w:eastAsia="Times New Roman"/>
          <w:sz w:val="18"/>
        </w:rPr>
        <w:t>RNA</w:t>
      </w:r>
      <w:r>
        <w:rPr>
          <w:rFonts w:ascii="Times New Roman" w:hAnsi="Times New Roman" w:eastAsia="Times New Roman"/>
          <w:spacing w:val="-13"/>
          <w:sz w:val="18"/>
        </w:rPr>
        <w:t> </w:t>
      </w:r>
      <w:r>
        <w:rPr>
          <w:spacing w:val="-12"/>
          <w:sz w:val="18"/>
        </w:rPr>
        <w:t>提取溶液 </w:t>
      </w:r>
      <w:r>
        <w:rPr>
          <w:rFonts w:ascii="Times New Roman" w:hAnsi="Times New Roman" w:eastAsia="Times New Roman"/>
          <w:sz w:val="18"/>
        </w:rPr>
        <w:t>3</w:t>
      </w:r>
      <w:r>
        <w:rPr>
          <w:rFonts w:ascii="Times New Roman" w:hAnsi="Times New Roman" w:eastAsia="Times New Roman"/>
          <w:spacing w:val="-14"/>
          <w:sz w:val="18"/>
        </w:rPr>
        <w:t> </w:t>
      </w:r>
      <w:r>
        <w:rPr>
          <w:spacing w:val="-25"/>
          <w:sz w:val="18"/>
        </w:rPr>
        <w:t>和 </w:t>
      </w:r>
      <w:r>
        <w:rPr>
          <w:rFonts w:ascii="Times New Roman" w:hAnsi="Times New Roman" w:eastAsia="Times New Roman"/>
          <w:sz w:val="18"/>
        </w:rPr>
        <w:t>200μL</w:t>
      </w:r>
      <w:r>
        <w:rPr>
          <w:rFonts w:ascii="Times New Roman" w:hAnsi="Times New Roman" w:eastAsia="Times New Roman"/>
          <w:spacing w:val="-11"/>
          <w:sz w:val="18"/>
        </w:rPr>
        <w:t> </w:t>
      </w:r>
      <w:r>
        <w:rPr>
          <w:rFonts w:ascii="Times New Roman" w:hAnsi="Times New Roman" w:eastAsia="Times New Roman"/>
          <w:sz w:val="18"/>
        </w:rPr>
        <w:t>RNA</w:t>
      </w:r>
      <w:r>
        <w:rPr>
          <w:rFonts w:ascii="Times New Roman" w:hAnsi="Times New Roman" w:eastAsia="Times New Roman"/>
          <w:spacing w:val="-16"/>
          <w:sz w:val="18"/>
        </w:rPr>
        <w:t> </w:t>
      </w:r>
      <w:r>
        <w:rPr>
          <w:spacing w:val="-12"/>
          <w:sz w:val="18"/>
        </w:rPr>
        <w:t>提取溶液 </w:t>
      </w:r>
      <w:r>
        <w:rPr>
          <w:rFonts w:ascii="Times New Roman" w:hAnsi="Times New Roman" w:eastAsia="Times New Roman"/>
          <w:spacing w:val="-3"/>
          <w:sz w:val="18"/>
        </w:rPr>
        <w:t>4</w:t>
      </w:r>
      <w:r>
        <w:rPr>
          <w:spacing w:val="-11"/>
          <w:sz w:val="18"/>
        </w:rPr>
        <w:t>，震荡混匀 </w:t>
      </w:r>
      <w:r>
        <w:rPr>
          <w:rFonts w:ascii="Times New Roman" w:hAnsi="Times New Roman" w:eastAsia="Times New Roman"/>
          <w:sz w:val="18"/>
        </w:rPr>
        <w:t>5</w:t>
      </w:r>
      <w:r>
        <w:rPr>
          <w:rFonts w:ascii="Times New Roman" w:hAnsi="Times New Roman" w:eastAsia="Times New Roman"/>
          <w:spacing w:val="-13"/>
          <w:sz w:val="18"/>
        </w:rPr>
        <w:t> </w:t>
      </w:r>
      <w:r>
        <w:rPr>
          <w:spacing w:val="-3"/>
          <w:sz w:val="18"/>
        </w:rPr>
        <w:t>秒钟，瞬时离心后将离心管再次置于分离器上；</w:t>
      </w:r>
    </w:p>
    <w:p>
      <w:pPr>
        <w:pStyle w:val="ListParagraph"/>
        <w:numPr>
          <w:ilvl w:val="1"/>
          <w:numId w:val="3"/>
        </w:numPr>
        <w:tabs>
          <w:tab w:pos="389" w:val="left" w:leader="none"/>
        </w:tabs>
        <w:spacing w:line="176" w:lineRule="exact" w:before="0" w:after="0"/>
        <w:ind w:left="388" w:right="0" w:hanging="262"/>
        <w:jc w:val="left"/>
        <w:rPr>
          <w:sz w:val="18"/>
        </w:rPr>
      </w:pPr>
      <w:r>
        <w:rPr>
          <w:spacing w:val="-24"/>
          <w:sz w:val="18"/>
        </w:rPr>
        <w:t>约 </w:t>
      </w:r>
      <w:r>
        <w:rPr>
          <w:rFonts w:ascii="Times New Roman" w:eastAsia="Times New Roman"/>
          <w:sz w:val="18"/>
        </w:rPr>
        <w:t>3</w:t>
      </w:r>
      <w:r>
        <w:rPr>
          <w:rFonts w:ascii="Times New Roman" w:eastAsia="Times New Roman"/>
          <w:spacing w:val="-13"/>
          <w:sz w:val="18"/>
        </w:rPr>
        <w:t> </w:t>
      </w:r>
      <w:r>
        <w:rPr>
          <w:spacing w:val="-5"/>
          <w:sz w:val="18"/>
        </w:rPr>
        <w:t>分钟后，将吸头插入离心管底部，从底部开始缓慢将液体完全吸出丢弃，静置 </w:t>
      </w:r>
      <w:r>
        <w:rPr>
          <w:rFonts w:ascii="Times New Roman" w:eastAsia="Times New Roman"/>
          <w:sz w:val="18"/>
        </w:rPr>
        <w:t>1</w:t>
      </w:r>
      <w:r>
        <w:rPr>
          <w:rFonts w:ascii="Times New Roman" w:eastAsia="Times New Roman"/>
          <w:spacing w:val="-13"/>
          <w:sz w:val="18"/>
        </w:rPr>
        <w:t> </w:t>
      </w:r>
      <w:r>
        <w:rPr>
          <w:spacing w:val="-3"/>
          <w:sz w:val="18"/>
        </w:rPr>
        <w:t>分钟后将管底残余液体完全吸出丢弃。</w:t>
      </w:r>
    </w:p>
    <w:p>
      <w:pPr>
        <w:pStyle w:val="ListParagraph"/>
        <w:numPr>
          <w:ilvl w:val="1"/>
          <w:numId w:val="3"/>
        </w:numPr>
        <w:tabs>
          <w:tab w:pos="392" w:val="left" w:leader="none"/>
        </w:tabs>
        <w:spacing w:line="182" w:lineRule="auto" w:before="15" w:after="0"/>
        <w:ind w:left="424" w:right="142" w:hanging="298"/>
        <w:jc w:val="left"/>
        <w:rPr>
          <w:sz w:val="18"/>
        </w:rPr>
      </w:pPr>
      <w:r>
        <w:rPr>
          <w:spacing w:val="-11"/>
          <w:sz w:val="18"/>
        </w:rPr>
        <w:t>每管加入 </w:t>
      </w:r>
      <w:r>
        <w:rPr>
          <w:rFonts w:ascii="Times New Roman" w:hAnsi="Times New Roman" w:eastAsia="Times New Roman"/>
          <w:sz w:val="18"/>
        </w:rPr>
        <w:t>50μL</w:t>
      </w:r>
      <w:r>
        <w:rPr>
          <w:rFonts w:ascii="Times New Roman" w:hAnsi="Times New Roman" w:eastAsia="Times New Roman"/>
          <w:spacing w:val="-15"/>
          <w:sz w:val="18"/>
        </w:rPr>
        <w:t> </w:t>
      </w:r>
      <w:r>
        <w:rPr>
          <w:rFonts w:ascii="Times New Roman" w:hAnsi="Times New Roman" w:eastAsia="Times New Roman"/>
          <w:sz w:val="18"/>
        </w:rPr>
        <w:t>PCR-mix</w:t>
      </w:r>
      <w:r>
        <w:rPr>
          <w:spacing w:val="7"/>
          <w:sz w:val="18"/>
        </w:rPr>
        <w:t>，用吸头吸取</w:t>
      </w:r>
      <w:r>
        <w:rPr>
          <w:rFonts w:ascii="Times New Roman" w:hAnsi="Times New Roman" w:eastAsia="Times New Roman"/>
          <w:sz w:val="18"/>
        </w:rPr>
        <w:t>PCR</w:t>
      </w:r>
      <w:r>
        <w:rPr>
          <w:rFonts w:ascii="Times New Roman" w:hAnsi="Times New Roman" w:eastAsia="Times New Roman"/>
          <w:spacing w:val="-17"/>
          <w:sz w:val="18"/>
        </w:rPr>
        <w:t> </w:t>
      </w:r>
      <w:r>
        <w:rPr>
          <w:sz w:val="18"/>
        </w:rPr>
        <w:t>混合液洗脱吸附于离心管壁的棕色残留物，反复几次尽量将其完全洗脱，然后将洗</w:t>
      </w:r>
      <w:r>
        <w:rPr>
          <w:spacing w:val="-7"/>
          <w:sz w:val="18"/>
        </w:rPr>
        <w:t>脱后的全部棕色混合液转移至 </w:t>
      </w:r>
      <w:r>
        <w:rPr>
          <w:rFonts w:ascii="Times New Roman" w:hAnsi="Times New Roman" w:eastAsia="Times New Roman"/>
          <w:spacing w:val="-3"/>
          <w:sz w:val="18"/>
        </w:rPr>
        <w:t>0.2mL</w:t>
      </w:r>
      <w:r>
        <w:rPr>
          <w:rFonts w:ascii="Times New Roman" w:hAnsi="Times New Roman" w:eastAsia="Times New Roman"/>
          <w:spacing w:val="-9"/>
          <w:sz w:val="18"/>
        </w:rPr>
        <w:t> </w:t>
      </w:r>
      <w:r>
        <w:rPr>
          <w:rFonts w:ascii="Times New Roman" w:hAnsi="Times New Roman" w:eastAsia="Times New Roman"/>
          <w:sz w:val="18"/>
        </w:rPr>
        <w:t>PCR</w:t>
      </w:r>
      <w:r>
        <w:rPr>
          <w:rFonts w:ascii="Times New Roman" w:hAnsi="Times New Roman" w:eastAsia="Times New Roman"/>
          <w:spacing w:val="-17"/>
          <w:sz w:val="18"/>
        </w:rPr>
        <w:t> </w:t>
      </w:r>
      <w:r>
        <w:rPr>
          <w:spacing w:val="-3"/>
          <w:sz w:val="18"/>
        </w:rPr>
        <w:t>反应管中，盖上管盖，转移到扩增区。</w:t>
      </w:r>
    </w:p>
    <w:p>
      <w:pPr>
        <w:pStyle w:val="ListParagraph"/>
        <w:numPr>
          <w:ilvl w:val="0"/>
          <w:numId w:val="3"/>
        </w:numPr>
        <w:tabs>
          <w:tab w:pos="300" w:val="left" w:leader="none"/>
        </w:tabs>
        <w:spacing w:line="162" w:lineRule="exact" w:before="0" w:after="0"/>
        <w:ind w:left="300" w:right="0" w:hanging="173"/>
        <w:jc w:val="left"/>
        <w:rPr>
          <w:sz w:val="18"/>
        </w:rPr>
      </w:pPr>
      <w:r>
        <w:rPr>
          <w:rFonts w:ascii="Times New Roman" w:eastAsia="Times New Roman"/>
          <w:b/>
          <w:sz w:val="18"/>
        </w:rPr>
        <w:t>PCR</w:t>
      </w:r>
      <w:r>
        <w:rPr>
          <w:rFonts w:ascii="Times New Roman" w:eastAsia="Times New Roman"/>
          <w:b/>
          <w:spacing w:val="-6"/>
          <w:sz w:val="18"/>
        </w:rPr>
        <w:t> </w:t>
      </w:r>
      <w:r>
        <w:rPr>
          <w:b/>
          <w:spacing w:val="-2"/>
          <w:sz w:val="18"/>
        </w:rPr>
        <w:t>扩增</w:t>
      </w:r>
      <w:r>
        <w:rPr>
          <w:b/>
          <w:spacing w:val="-3"/>
          <w:sz w:val="18"/>
        </w:rPr>
        <w:t>（在扩增与分析区进行）</w:t>
      </w:r>
      <w:r>
        <w:rPr>
          <w:spacing w:val="-3"/>
          <w:sz w:val="18"/>
        </w:rPr>
        <w:t>（请参照各仪器使用说明书进行设置</w:t>
      </w:r>
      <w:r>
        <w:rPr>
          <w:sz w:val="18"/>
        </w:rPr>
        <w:t>）</w:t>
      </w:r>
    </w:p>
    <w:p>
      <w:pPr>
        <w:pStyle w:val="ListParagraph"/>
        <w:numPr>
          <w:ilvl w:val="1"/>
          <w:numId w:val="3"/>
        </w:numPr>
        <w:tabs>
          <w:tab w:pos="392" w:val="left" w:leader="none"/>
        </w:tabs>
        <w:spacing w:line="182" w:lineRule="auto" w:before="16" w:after="0"/>
        <w:ind w:left="480" w:right="152" w:hanging="351"/>
        <w:jc w:val="left"/>
        <w:rPr>
          <w:sz w:val="18"/>
        </w:rPr>
      </w:pPr>
      <w:r>
        <w:rPr>
          <w:spacing w:val="-3"/>
          <w:sz w:val="18"/>
        </w:rPr>
        <w:t>将</w:t>
      </w:r>
      <w:r>
        <w:rPr>
          <w:rFonts w:ascii="Times New Roman" w:eastAsia="Times New Roman"/>
          <w:spacing w:val="-3"/>
          <w:sz w:val="18"/>
        </w:rPr>
        <w:t>PCR</w:t>
      </w:r>
      <w:r>
        <w:rPr>
          <w:spacing w:val="-3"/>
          <w:sz w:val="18"/>
        </w:rPr>
        <w:t>反应管放入扩增仪样品槽，按对应顺序设置阴性对照、阳性对照、定量参考品</w:t>
      </w:r>
      <w:r>
        <w:rPr>
          <w:rFonts w:ascii="Times New Roman" w:eastAsia="Times New Roman"/>
          <w:spacing w:val="-11"/>
          <w:sz w:val="18"/>
        </w:rPr>
        <w:t>A</w:t>
      </w:r>
      <w:r>
        <w:rPr>
          <w:spacing w:val="-11"/>
          <w:sz w:val="18"/>
        </w:rPr>
        <w:t>～</w:t>
      </w:r>
      <w:r>
        <w:rPr>
          <w:rFonts w:ascii="Times New Roman" w:eastAsia="Times New Roman"/>
          <w:spacing w:val="-11"/>
          <w:sz w:val="18"/>
        </w:rPr>
        <w:t>D</w:t>
      </w:r>
      <w:r>
        <w:rPr>
          <w:spacing w:val="-3"/>
          <w:sz w:val="18"/>
        </w:rPr>
        <w:t>以及未知样本，并设置样本名称及定量参考品浓度。</w:t>
      </w:r>
    </w:p>
    <w:p>
      <w:pPr>
        <w:pStyle w:val="ListParagraph"/>
        <w:numPr>
          <w:ilvl w:val="1"/>
          <w:numId w:val="3"/>
        </w:numPr>
        <w:tabs>
          <w:tab w:pos="392" w:val="left" w:leader="none"/>
        </w:tabs>
        <w:spacing w:line="162" w:lineRule="exact" w:before="0" w:after="0"/>
        <w:ind w:left="391" w:right="0" w:hanging="263"/>
        <w:jc w:val="left"/>
        <w:rPr>
          <w:rFonts w:ascii="Times New Roman" w:eastAsia="Times New Roman"/>
          <w:b/>
          <w:sz w:val="18"/>
        </w:rPr>
      </w:pPr>
      <w:r>
        <w:rPr>
          <w:spacing w:val="-3"/>
          <w:sz w:val="18"/>
        </w:rPr>
        <w:t>荧光检测通道选择</w:t>
      </w:r>
      <w:r>
        <w:rPr>
          <w:rFonts w:ascii="Times New Roman" w:eastAsia="Times New Roman"/>
          <w:b/>
          <w:sz w:val="18"/>
        </w:rPr>
        <w:t>:</w:t>
      </w:r>
    </w:p>
    <w:p>
      <w:pPr>
        <w:pStyle w:val="ListParagraph"/>
        <w:numPr>
          <w:ilvl w:val="2"/>
          <w:numId w:val="3"/>
        </w:numPr>
        <w:tabs>
          <w:tab w:pos="521" w:val="left" w:leader="none"/>
        </w:tabs>
        <w:spacing w:line="175" w:lineRule="exact" w:before="0" w:after="0"/>
        <w:ind w:left="520" w:right="0" w:hanging="394"/>
        <w:jc w:val="left"/>
        <w:rPr>
          <w:sz w:val="18"/>
        </w:rPr>
      </w:pPr>
      <w:r>
        <w:rPr>
          <w:rFonts w:ascii="Times New Roman" w:eastAsia="Times New Roman"/>
          <w:sz w:val="18"/>
        </w:rPr>
        <w:t>ABI</w:t>
      </w:r>
      <w:r>
        <w:rPr>
          <w:sz w:val="18"/>
        </w:rPr>
        <w:t>、</w:t>
      </w:r>
      <w:r>
        <w:rPr>
          <w:rFonts w:ascii="Times New Roman" w:eastAsia="Times New Roman"/>
          <w:sz w:val="18"/>
        </w:rPr>
        <w:t>Stratagene</w:t>
      </w:r>
      <w:r>
        <w:rPr>
          <w:rFonts w:ascii="Times New Roman" w:eastAsia="Times New Roman"/>
          <w:spacing w:val="-11"/>
          <w:sz w:val="18"/>
        </w:rPr>
        <w:t> </w:t>
      </w:r>
      <w:r>
        <w:rPr>
          <w:sz w:val="18"/>
        </w:rPr>
        <w:t>系列仪器：</w:t>
      </w:r>
    </w:p>
    <w:p>
      <w:pPr>
        <w:pStyle w:val="BodyText"/>
        <w:spacing w:line="182" w:lineRule="auto" w:before="15"/>
        <w:ind w:left="129" w:right="298" w:firstLine="355"/>
      </w:pPr>
      <w:r>
        <w:rPr>
          <w:rFonts w:ascii="Times New Roman" w:eastAsia="Times New Roman"/>
          <w:spacing w:val="-3"/>
        </w:rPr>
        <w:t>1</w:t>
      </w:r>
      <w:r>
        <w:rPr>
          <w:spacing w:val="-3"/>
        </w:rPr>
        <w:t>）</w:t>
      </w:r>
      <w:r>
        <w:rPr>
          <w:spacing w:val="-2"/>
        </w:rPr>
        <w:t>选择</w:t>
      </w:r>
      <w:r>
        <w:rPr>
          <w:rFonts w:ascii="Times New Roman" w:eastAsia="Times New Roman"/>
          <w:spacing w:val="-3"/>
        </w:rPr>
        <w:t>FAM</w:t>
      </w:r>
      <w:r>
        <w:rPr>
          <w:spacing w:val="-3"/>
        </w:rPr>
        <w:t>通道（</w:t>
      </w:r>
      <w:r>
        <w:rPr>
          <w:rFonts w:ascii="Times New Roman" w:eastAsia="Times New Roman"/>
          <w:spacing w:val="-3"/>
        </w:rPr>
        <w:t>Reporter</w:t>
      </w:r>
      <w:r>
        <w:rPr>
          <w:rFonts w:ascii="Times New Roman" w:eastAsia="Times New Roman"/>
          <w:b/>
          <w:spacing w:val="-3"/>
        </w:rPr>
        <w:t>: </w:t>
      </w:r>
      <w:r>
        <w:rPr>
          <w:rFonts w:ascii="Times New Roman" w:eastAsia="Times New Roman"/>
        </w:rPr>
        <w:t>FAM</w:t>
      </w:r>
      <w:r>
        <w:rPr>
          <w:rFonts w:ascii="Times New Roman" w:eastAsia="Times New Roman"/>
          <w:spacing w:val="-2"/>
        </w:rPr>
        <w:t>, </w:t>
      </w:r>
      <w:r>
        <w:rPr>
          <w:rFonts w:ascii="Times New Roman" w:eastAsia="Times New Roman"/>
          <w:spacing w:val="-3"/>
        </w:rPr>
        <w:t>Quencher</w:t>
      </w:r>
      <w:r>
        <w:rPr>
          <w:rFonts w:ascii="Times New Roman" w:eastAsia="Times New Roman"/>
          <w:b/>
          <w:spacing w:val="-2"/>
        </w:rPr>
        <w:t>: </w:t>
      </w:r>
      <w:r>
        <w:rPr>
          <w:rFonts w:ascii="Times New Roman" w:eastAsia="Times New Roman"/>
          <w:spacing w:val="-3"/>
        </w:rPr>
        <w:t>none</w:t>
      </w:r>
      <w:r>
        <w:rPr>
          <w:spacing w:val="-3"/>
        </w:rPr>
        <w:t>）检测丙型肝炎病毒（</w:t>
      </w:r>
      <w:r>
        <w:rPr>
          <w:rFonts w:ascii="Times New Roman" w:eastAsia="Times New Roman"/>
          <w:spacing w:val="-3"/>
        </w:rPr>
        <w:t>HCV</w:t>
      </w:r>
      <w:r>
        <w:rPr>
          <w:spacing w:val="-3"/>
        </w:rPr>
        <w:t>）</w:t>
      </w:r>
      <w:r>
        <w:rPr>
          <w:rFonts w:ascii="Times New Roman" w:eastAsia="Times New Roman"/>
          <w:spacing w:val="-3"/>
        </w:rPr>
        <w:t>RNA</w:t>
      </w:r>
      <w:r>
        <w:rPr>
          <w:spacing w:val="-3"/>
        </w:rPr>
        <w:t>；</w:t>
      </w:r>
      <w:r>
        <w:rPr>
          <w:rFonts w:ascii="Times New Roman" w:eastAsia="Times New Roman"/>
          <w:spacing w:val="-3"/>
        </w:rPr>
        <w:t>2</w:t>
      </w:r>
      <w:r>
        <w:rPr>
          <w:spacing w:val="-3"/>
        </w:rPr>
        <w:t>）</w:t>
      </w:r>
      <w:r>
        <w:rPr>
          <w:spacing w:val="-2"/>
        </w:rPr>
        <w:t>选择</w:t>
      </w:r>
      <w:r>
        <w:rPr>
          <w:rFonts w:ascii="Times New Roman" w:eastAsia="Times New Roman"/>
          <w:spacing w:val="-2"/>
        </w:rPr>
        <w:t>HEX</w:t>
      </w:r>
      <w:r>
        <w:rPr>
          <w:spacing w:val="-3"/>
        </w:rPr>
        <w:t>或</w:t>
      </w:r>
      <w:r>
        <w:rPr>
          <w:rFonts w:ascii="Times New Roman" w:eastAsia="Times New Roman"/>
          <w:spacing w:val="-3"/>
        </w:rPr>
        <w:t>VIC</w:t>
      </w:r>
      <w:r>
        <w:rPr>
          <w:spacing w:val="-3"/>
        </w:rPr>
        <w:t>通道（</w:t>
      </w:r>
      <w:r>
        <w:rPr>
          <w:rFonts w:ascii="Times New Roman" w:eastAsia="Times New Roman"/>
          <w:spacing w:val="-3"/>
        </w:rPr>
        <w:t>Reporter</w:t>
      </w:r>
      <w:r>
        <w:rPr>
          <w:rFonts w:ascii="Times New Roman" w:eastAsia="Times New Roman"/>
          <w:b/>
          <w:spacing w:val="-3"/>
        </w:rPr>
        <w:t>: </w:t>
      </w:r>
      <w:r>
        <w:rPr>
          <w:rFonts w:ascii="Times New Roman" w:eastAsia="Times New Roman"/>
        </w:rPr>
        <w:t>HEX/VIC</w:t>
      </w:r>
      <w:r>
        <w:rPr>
          <w:rFonts w:ascii="Times New Roman" w:eastAsia="Times New Roman"/>
          <w:spacing w:val="-6"/>
        </w:rPr>
        <w:t>, </w:t>
      </w:r>
      <w:r>
        <w:rPr>
          <w:rFonts w:ascii="Times New Roman" w:eastAsia="Times New Roman"/>
          <w:spacing w:val="-3"/>
        </w:rPr>
        <w:t>Quencher</w:t>
      </w:r>
      <w:r>
        <w:rPr>
          <w:rFonts w:ascii="Times New Roman" w:eastAsia="Times New Roman"/>
          <w:b/>
          <w:spacing w:val="-5"/>
        </w:rPr>
        <w:t>; </w:t>
      </w:r>
      <w:r>
        <w:rPr>
          <w:rFonts w:ascii="Times New Roman" w:eastAsia="Times New Roman"/>
          <w:spacing w:val="-3"/>
        </w:rPr>
        <w:t>none</w:t>
      </w:r>
      <w:r>
        <w:rPr>
          <w:spacing w:val="-3"/>
        </w:rPr>
        <w:t>）检测丙型肝炎病毒</w:t>
      </w:r>
      <w:r>
        <w:rPr/>
        <w:t>（</w:t>
      </w:r>
      <w:r>
        <w:rPr>
          <w:rFonts w:ascii="Times New Roman" w:eastAsia="Times New Roman"/>
        </w:rPr>
        <w:t>HCV</w:t>
      </w:r>
      <w:r>
        <w:rPr/>
        <w:t>）</w:t>
      </w:r>
      <w:r>
        <w:rPr>
          <w:spacing w:val="-3"/>
        </w:rPr>
        <w:t>内标；</w:t>
      </w:r>
      <w:r>
        <w:rPr>
          <w:rFonts w:ascii="Times New Roman" w:eastAsia="Times New Roman"/>
          <w:spacing w:val="-3"/>
        </w:rPr>
        <w:t>3</w:t>
      </w:r>
      <w:r>
        <w:rPr>
          <w:spacing w:val="-3"/>
        </w:rPr>
        <w:t>）参比荧光（</w:t>
      </w:r>
      <w:r>
        <w:rPr>
          <w:rFonts w:ascii="Times New Roman" w:eastAsia="Times New Roman"/>
          <w:spacing w:val="-3"/>
        </w:rPr>
        <w:t>Reference Dye</w:t>
      </w:r>
      <w:r>
        <w:rPr>
          <w:spacing w:val="-3"/>
        </w:rPr>
        <w:t>）：选择</w:t>
      </w:r>
      <w:r>
        <w:rPr>
          <w:rFonts w:ascii="Times New Roman" w:eastAsia="Times New Roman"/>
          <w:spacing w:val="-3"/>
        </w:rPr>
        <w:t>ROX</w:t>
      </w:r>
      <w:r>
        <w:rPr>
          <w:spacing w:val="-2"/>
        </w:rPr>
        <w:t>。设置</w:t>
      </w:r>
      <w:r>
        <w:rPr>
          <w:rFonts w:ascii="Times New Roman" w:eastAsia="Times New Roman"/>
        </w:rPr>
        <w:t>Sample </w:t>
      </w:r>
      <w:r>
        <w:rPr>
          <w:rFonts w:ascii="Times New Roman" w:eastAsia="Times New Roman"/>
          <w:spacing w:val="-3"/>
        </w:rPr>
        <w:t>Volume</w:t>
      </w:r>
      <w:r>
        <w:rPr/>
        <w:t>为</w:t>
      </w:r>
      <w:r>
        <w:rPr>
          <w:rFonts w:ascii="Times New Roman" w:eastAsia="Times New Roman"/>
          <w:spacing w:val="-3"/>
        </w:rPr>
        <w:t>50</w:t>
      </w:r>
      <w:r>
        <w:rPr/>
        <w:t>。</w:t>
      </w:r>
    </w:p>
    <w:p>
      <w:pPr>
        <w:pStyle w:val="ListParagraph"/>
        <w:numPr>
          <w:ilvl w:val="2"/>
          <w:numId w:val="3"/>
        </w:numPr>
        <w:tabs>
          <w:tab w:pos="521" w:val="left" w:leader="none"/>
        </w:tabs>
        <w:spacing w:line="163" w:lineRule="exact" w:before="0" w:after="0"/>
        <w:ind w:left="520" w:right="0" w:hanging="394"/>
        <w:jc w:val="left"/>
        <w:rPr>
          <w:sz w:val="18"/>
        </w:rPr>
      </w:pPr>
      <w:r>
        <w:rPr>
          <w:rFonts w:ascii="Times New Roman" w:eastAsia="Times New Roman"/>
          <w:spacing w:val="-3"/>
          <w:sz w:val="18"/>
        </w:rPr>
        <w:t>Roche</w:t>
      </w:r>
      <w:r>
        <w:rPr>
          <w:rFonts w:ascii="Times New Roman" w:eastAsia="Times New Roman"/>
          <w:spacing w:val="-5"/>
          <w:sz w:val="18"/>
        </w:rPr>
        <w:t> </w:t>
      </w:r>
      <w:r>
        <w:rPr>
          <w:rFonts w:ascii="Times New Roman" w:eastAsia="Times New Roman"/>
          <w:spacing w:val="-3"/>
          <w:sz w:val="18"/>
        </w:rPr>
        <w:t>LightCycler480</w:t>
      </w:r>
      <w:r>
        <w:rPr>
          <w:rFonts w:ascii="Times New Roman" w:eastAsia="Times New Roman"/>
          <w:spacing w:val="-13"/>
          <w:sz w:val="18"/>
        </w:rPr>
        <w:t> </w:t>
      </w:r>
      <w:r>
        <w:rPr>
          <w:spacing w:val="-2"/>
          <w:sz w:val="18"/>
        </w:rPr>
        <w:t>仪器：</w:t>
      </w:r>
    </w:p>
    <w:p>
      <w:pPr>
        <w:pStyle w:val="BodyText"/>
        <w:spacing w:line="176" w:lineRule="exact"/>
        <w:ind w:left="0" w:right="120"/>
        <w:jc w:val="right"/>
        <w:rPr>
          <w:rFonts w:ascii="Times New Roman" w:eastAsia="Times New Roman"/>
        </w:rPr>
      </w:pPr>
      <w:r>
        <w:rPr>
          <w:spacing w:val="-14"/>
        </w:rPr>
        <w:t>选择 </w:t>
      </w:r>
      <w:r>
        <w:rPr>
          <w:rFonts w:ascii="Times New Roman" w:eastAsia="Times New Roman"/>
        </w:rPr>
        <w:t>New</w:t>
      </w:r>
      <w:r>
        <w:rPr>
          <w:rFonts w:ascii="Times New Roman" w:eastAsia="Times New Roman"/>
          <w:spacing w:val="4"/>
        </w:rPr>
        <w:t> </w:t>
      </w:r>
      <w:r>
        <w:rPr>
          <w:rFonts w:ascii="Times New Roman" w:eastAsia="Times New Roman"/>
        </w:rPr>
        <w:t>Experiment,</w:t>
      </w:r>
      <w:r>
        <w:rPr>
          <w:rFonts w:ascii="Times New Roman" w:eastAsia="Times New Roman"/>
          <w:spacing w:val="5"/>
        </w:rPr>
        <w:t> </w:t>
      </w:r>
      <w:r>
        <w:rPr>
          <w:spacing w:val="-22"/>
        </w:rPr>
        <w:t>在 </w:t>
      </w:r>
      <w:r>
        <w:rPr>
          <w:rFonts w:ascii="Times New Roman" w:eastAsia="Times New Roman"/>
        </w:rPr>
        <w:t>setup</w:t>
      </w:r>
      <w:r>
        <w:rPr>
          <w:rFonts w:ascii="Times New Roman" w:eastAsia="Times New Roman"/>
          <w:spacing w:val="-4"/>
        </w:rPr>
        <w:t> </w:t>
      </w:r>
      <w:r>
        <w:rPr>
          <w:spacing w:val="-7"/>
        </w:rPr>
        <w:t>设置面板 </w:t>
      </w:r>
      <w:r>
        <w:rPr>
          <w:rFonts w:ascii="Times New Roman" w:eastAsia="Times New Roman"/>
        </w:rPr>
        <w:t>Detection</w:t>
      </w:r>
      <w:r>
        <w:rPr>
          <w:rFonts w:ascii="Times New Roman" w:eastAsia="Times New Roman"/>
          <w:spacing w:val="3"/>
        </w:rPr>
        <w:t> </w:t>
      </w:r>
      <w:r>
        <w:rPr>
          <w:rFonts w:ascii="Times New Roman" w:eastAsia="Times New Roman"/>
        </w:rPr>
        <w:t>format</w:t>
      </w:r>
      <w:r>
        <w:rPr>
          <w:rFonts w:ascii="Times New Roman" w:eastAsia="Times New Roman"/>
          <w:spacing w:val="-5"/>
        </w:rPr>
        <w:t> </w:t>
      </w:r>
      <w:r>
        <w:rPr>
          <w:spacing w:val="-4"/>
        </w:rPr>
        <w:t>下拉菜单中选择 </w:t>
      </w:r>
      <w:r>
        <w:rPr>
          <w:rFonts w:ascii="Times New Roman" w:eastAsia="Times New Roman"/>
        </w:rPr>
        <w:t>Dual</w:t>
      </w:r>
      <w:r>
        <w:rPr>
          <w:rFonts w:ascii="Times New Roman" w:eastAsia="Times New Roman"/>
          <w:spacing w:val="3"/>
        </w:rPr>
        <w:t> </w:t>
      </w:r>
      <w:r>
        <w:rPr>
          <w:rFonts w:ascii="Times New Roman" w:eastAsia="Times New Roman"/>
        </w:rPr>
        <w:t>Color</w:t>
      </w:r>
      <w:r>
        <w:rPr>
          <w:rFonts w:ascii="Times New Roman" w:eastAsia="Times New Roman"/>
          <w:spacing w:val="2"/>
        </w:rPr>
        <w:t> </w:t>
      </w:r>
      <w:r>
        <w:rPr>
          <w:rFonts w:ascii="Times New Roman" w:eastAsia="Times New Roman"/>
        </w:rPr>
        <w:t>Hydrolysis</w:t>
      </w:r>
      <w:r>
        <w:rPr>
          <w:rFonts w:ascii="Times New Roman" w:eastAsia="Times New Roman"/>
          <w:spacing w:val="4"/>
        </w:rPr>
        <w:t> </w:t>
      </w:r>
      <w:r>
        <w:rPr>
          <w:rFonts w:ascii="Times New Roman" w:eastAsia="Times New Roman"/>
        </w:rPr>
        <w:t>Probe/UPL</w:t>
      </w:r>
      <w:r>
        <w:rPr>
          <w:rFonts w:ascii="Times New Roman" w:eastAsia="Times New Roman"/>
          <w:spacing w:val="-5"/>
        </w:rPr>
        <w:t> </w:t>
      </w:r>
      <w:r>
        <w:rPr>
          <w:rFonts w:ascii="Times New Roman" w:eastAsia="Times New Roman"/>
        </w:rPr>
        <w:t>Probe</w:t>
      </w:r>
      <w:r>
        <w:rPr>
          <w:spacing w:val="-14"/>
        </w:rPr>
        <w:t>，在 </w:t>
      </w:r>
      <w:r>
        <w:rPr>
          <w:rFonts w:ascii="Times New Roman" w:eastAsia="Times New Roman"/>
        </w:rPr>
        <w:t>Customize</w:t>
      </w:r>
    </w:p>
    <w:p>
      <w:pPr>
        <w:pStyle w:val="BodyText"/>
        <w:spacing w:line="203" w:lineRule="exact"/>
        <w:ind w:left="0" w:right="129"/>
        <w:jc w:val="right"/>
        <w:rPr>
          <w:rFonts w:ascii="Times New Roman" w:eastAsia="Times New Roman"/>
        </w:rPr>
      </w:pPr>
      <w:r>
        <w:rPr/>
        <w:t>下拉菜单中：</w:t>
      </w:r>
      <w:r>
        <w:rPr>
          <w:rFonts w:ascii="Times New Roman" w:eastAsia="Times New Roman"/>
        </w:rPr>
        <w:t>1</w:t>
      </w:r>
      <w:r>
        <w:rPr/>
        <w:t>）</w:t>
      </w:r>
      <w:r>
        <w:rPr>
          <w:spacing w:val="-12"/>
        </w:rPr>
        <w:t>选择 </w:t>
      </w:r>
      <w:r>
        <w:rPr>
          <w:rFonts w:ascii="Times New Roman" w:eastAsia="Times New Roman"/>
          <w:spacing w:val="-4"/>
        </w:rPr>
        <w:t>FAM</w:t>
      </w:r>
      <w:r>
        <w:rPr>
          <w:rFonts w:ascii="Times New Roman" w:eastAsia="Times New Roman"/>
          <w:spacing w:val="-3"/>
        </w:rPr>
        <w:t> </w:t>
      </w:r>
      <w:r>
        <w:rPr/>
        <w:t>通道检测丙型肝炎病毒（</w:t>
      </w:r>
      <w:r>
        <w:rPr>
          <w:rFonts w:ascii="Times New Roman" w:eastAsia="Times New Roman"/>
        </w:rPr>
        <w:t>HCV</w:t>
      </w:r>
      <w:r>
        <w:rPr/>
        <w:t>）</w:t>
      </w:r>
      <w:r>
        <w:rPr>
          <w:rFonts w:ascii="Times New Roman" w:eastAsia="Times New Roman"/>
        </w:rPr>
        <w:t>-RNA</w:t>
      </w:r>
      <w:r>
        <w:rPr/>
        <w:t>；</w:t>
      </w:r>
      <w:r>
        <w:rPr>
          <w:rFonts w:ascii="Times New Roman" w:eastAsia="Times New Roman"/>
        </w:rPr>
        <w:t>2</w:t>
      </w:r>
      <w:r>
        <w:rPr/>
        <w:t>）</w:t>
      </w:r>
      <w:r>
        <w:rPr>
          <w:spacing w:val="-12"/>
        </w:rPr>
        <w:t>选择 </w:t>
      </w:r>
      <w:r>
        <w:rPr>
          <w:rFonts w:ascii="Times New Roman" w:eastAsia="Times New Roman"/>
        </w:rPr>
        <w:t>VIC/HEX</w:t>
      </w:r>
      <w:r>
        <w:rPr>
          <w:rFonts w:ascii="Times New Roman" w:eastAsia="Times New Roman"/>
          <w:spacing w:val="9"/>
        </w:rPr>
        <w:t> </w:t>
      </w:r>
      <w:r>
        <w:rPr>
          <w:rFonts w:ascii="Times New Roman" w:eastAsia="Times New Roman"/>
          <w:spacing w:val="-3"/>
        </w:rPr>
        <w:t>/Yellow</w:t>
      </w:r>
      <w:r>
        <w:rPr>
          <w:rFonts w:ascii="Times New Roman" w:eastAsia="Times New Roman"/>
          <w:spacing w:val="10"/>
        </w:rPr>
        <w:t> </w:t>
      </w:r>
      <w:r>
        <w:rPr>
          <w:rFonts w:ascii="Times New Roman" w:eastAsia="Times New Roman"/>
        </w:rPr>
        <w:t>555</w:t>
      </w:r>
      <w:r>
        <w:rPr>
          <w:rFonts w:ascii="Times New Roman" w:eastAsia="Times New Roman"/>
          <w:spacing w:val="1"/>
        </w:rPr>
        <w:t> </w:t>
      </w:r>
      <w:r>
        <w:rPr>
          <w:spacing w:val="-4"/>
        </w:rPr>
        <w:t>通道检测内标。设置 </w:t>
      </w:r>
      <w:r>
        <w:rPr>
          <w:rFonts w:ascii="Times New Roman" w:eastAsia="Times New Roman"/>
        </w:rPr>
        <w:t>Reaction</w:t>
      </w:r>
    </w:p>
    <w:p>
      <w:pPr>
        <w:spacing w:after="0" w:line="203" w:lineRule="exact"/>
        <w:jc w:val="right"/>
        <w:rPr>
          <w:rFonts w:ascii="Times New Roman" w:eastAsia="Times New Roman"/>
        </w:rPr>
        <w:sectPr>
          <w:type w:val="continuous"/>
          <w:pgSz w:w="11910" w:h="16840"/>
          <w:pgMar w:top="660" w:bottom="660" w:left="780" w:right="760"/>
        </w:sectPr>
      </w:pPr>
    </w:p>
    <w:p>
      <w:pPr>
        <w:pStyle w:val="BodyText"/>
        <w:spacing w:before="9"/>
        <w:ind w:left="0"/>
        <w:rPr>
          <w:rFonts w:ascii="Times New Roman"/>
          <w:sz w:val="3"/>
        </w:rPr>
      </w:pPr>
    </w:p>
    <w:p>
      <w:pPr>
        <w:pStyle w:val="BodyText"/>
        <w:spacing w:line="20" w:lineRule="exact"/>
        <w:ind w:left="119"/>
        <w:rPr>
          <w:rFonts w:ascii="Times New Roman"/>
          <w:sz w:val="2"/>
        </w:rPr>
      </w:pPr>
      <w:r>
        <w:rPr>
          <w:rFonts w:ascii="Times New Roman"/>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rFonts w:ascii="Times New Roman"/>
          <w:sz w:val="2"/>
        </w:rPr>
      </w:r>
    </w:p>
    <w:p>
      <w:pPr>
        <w:pStyle w:val="BodyText"/>
        <w:spacing w:line="159" w:lineRule="exact"/>
      </w:pPr>
      <w:r>
        <w:rPr>
          <w:rFonts w:ascii="Times New Roman" w:eastAsia="Times New Roman"/>
        </w:rPr>
        <w:t>Volume </w:t>
      </w:r>
      <w:r>
        <w:rPr/>
        <w:t>为 </w:t>
      </w:r>
      <w:r>
        <w:rPr>
          <w:rFonts w:ascii="Times New Roman" w:eastAsia="Times New Roman"/>
        </w:rPr>
        <w:t>50</w:t>
      </w:r>
      <w:r>
        <w:rPr/>
        <w:t>。</w:t>
      </w:r>
    </w:p>
    <w:p>
      <w:pPr>
        <w:pStyle w:val="ListParagraph"/>
        <w:numPr>
          <w:ilvl w:val="1"/>
          <w:numId w:val="3"/>
        </w:numPr>
        <w:tabs>
          <w:tab w:pos="389" w:val="left" w:leader="none"/>
        </w:tabs>
        <w:spacing w:line="176" w:lineRule="exact" w:before="0" w:after="0"/>
        <w:ind w:left="388" w:right="0" w:hanging="262"/>
        <w:jc w:val="left"/>
        <w:rPr>
          <w:sz w:val="18"/>
        </w:rPr>
      </w:pPr>
      <w:r>
        <w:rPr>
          <w:spacing w:val="-3"/>
          <w:sz w:val="18"/>
        </w:rPr>
        <w:t>循环参数设定：</w:t>
      </w:r>
    </w:p>
    <w:p>
      <w:pPr>
        <w:pStyle w:val="ListParagraph"/>
        <w:numPr>
          <w:ilvl w:val="2"/>
          <w:numId w:val="3"/>
        </w:numPr>
        <w:tabs>
          <w:tab w:pos="567" w:val="left" w:leader="none"/>
        </w:tabs>
        <w:spacing w:line="204" w:lineRule="exact" w:before="0" w:after="0"/>
        <w:ind w:left="566" w:right="0" w:hanging="440"/>
        <w:jc w:val="left"/>
        <w:rPr>
          <w:sz w:val="18"/>
        </w:rPr>
      </w:pPr>
      <w:r>
        <w:rPr>
          <w:rFonts w:ascii="Times New Roman" w:eastAsia="Times New Roman"/>
          <w:sz w:val="18"/>
        </w:rPr>
        <w:t>ABI</w:t>
      </w:r>
      <w:r>
        <w:rPr>
          <w:sz w:val="18"/>
        </w:rPr>
        <w:t>、</w:t>
      </w:r>
      <w:r>
        <w:rPr>
          <w:rFonts w:ascii="Times New Roman" w:eastAsia="Times New Roman"/>
          <w:sz w:val="18"/>
        </w:rPr>
        <w:t>Stratagene</w:t>
      </w:r>
      <w:r>
        <w:rPr>
          <w:rFonts w:ascii="Times New Roman" w:eastAsia="Times New Roman"/>
          <w:spacing w:val="-9"/>
          <w:sz w:val="18"/>
        </w:rPr>
        <w:t> </w:t>
      </w:r>
      <w:r>
        <w:rPr>
          <w:sz w:val="18"/>
        </w:rPr>
        <w:t>仪器参数设定</w:t>
      </w:r>
    </w:p>
    <w:tbl>
      <w:tblPr>
        <w:tblW w:w="0" w:type="auto"/>
        <w:jc w:val="left"/>
        <w:tblInd w:w="1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833"/>
        <w:gridCol w:w="898"/>
        <w:gridCol w:w="1116"/>
        <w:gridCol w:w="1440"/>
      </w:tblGrid>
      <w:tr>
        <w:trPr>
          <w:trHeight w:val="197" w:hRule="atLeast"/>
        </w:trPr>
        <w:tc>
          <w:tcPr>
            <w:tcW w:w="3372" w:type="dxa"/>
            <w:gridSpan w:val="2"/>
          </w:tcPr>
          <w:p>
            <w:pPr>
              <w:pStyle w:val="TableParagraph"/>
              <w:spacing w:line="175" w:lineRule="exact"/>
              <w:ind w:left="1487" w:right="1475"/>
              <w:rPr>
                <w:sz w:val="18"/>
              </w:rPr>
            </w:pPr>
            <w:r>
              <w:rPr>
                <w:sz w:val="18"/>
              </w:rPr>
              <w:t>步骤</w:t>
            </w:r>
          </w:p>
        </w:tc>
        <w:tc>
          <w:tcPr>
            <w:tcW w:w="898" w:type="dxa"/>
          </w:tcPr>
          <w:p>
            <w:pPr>
              <w:pStyle w:val="TableParagraph"/>
              <w:spacing w:line="178" w:lineRule="exact"/>
              <w:ind w:left="247" w:right="238"/>
              <w:rPr>
                <w:sz w:val="18"/>
              </w:rPr>
            </w:pPr>
            <w:r>
              <w:rPr>
                <w:sz w:val="18"/>
              </w:rPr>
              <w:t>温度</w:t>
            </w:r>
          </w:p>
        </w:tc>
        <w:tc>
          <w:tcPr>
            <w:tcW w:w="1116" w:type="dxa"/>
          </w:tcPr>
          <w:p>
            <w:pPr>
              <w:pStyle w:val="TableParagraph"/>
              <w:spacing w:line="178" w:lineRule="exact"/>
              <w:ind w:left="246" w:right="235"/>
              <w:rPr>
                <w:sz w:val="18"/>
              </w:rPr>
            </w:pPr>
            <w:r>
              <w:rPr>
                <w:sz w:val="18"/>
              </w:rPr>
              <w:t>时间</w:t>
            </w:r>
          </w:p>
        </w:tc>
        <w:tc>
          <w:tcPr>
            <w:tcW w:w="1440" w:type="dxa"/>
          </w:tcPr>
          <w:p>
            <w:pPr>
              <w:pStyle w:val="TableParagraph"/>
              <w:spacing w:line="178" w:lineRule="exact"/>
              <w:ind w:left="429" w:right="420"/>
              <w:rPr>
                <w:sz w:val="18"/>
              </w:rPr>
            </w:pPr>
            <w:r>
              <w:rPr>
                <w:sz w:val="18"/>
              </w:rPr>
              <w:t>循环数</w:t>
            </w:r>
          </w:p>
        </w:tc>
      </w:tr>
      <w:tr>
        <w:trPr>
          <w:trHeight w:val="197" w:hRule="atLeast"/>
        </w:trPr>
        <w:tc>
          <w:tcPr>
            <w:tcW w:w="539" w:type="dxa"/>
          </w:tcPr>
          <w:p>
            <w:pPr>
              <w:pStyle w:val="TableParagraph"/>
              <w:spacing w:line="174" w:lineRule="exact"/>
              <w:ind w:right="212"/>
              <w:jc w:val="right"/>
              <w:rPr>
                <w:rFonts w:ascii="Times New Roman"/>
                <w:sz w:val="18"/>
              </w:rPr>
            </w:pPr>
            <w:r>
              <w:rPr>
                <w:rFonts w:ascii="Times New Roman"/>
                <w:sz w:val="18"/>
              </w:rPr>
              <w:t>1</w:t>
            </w:r>
          </w:p>
        </w:tc>
        <w:tc>
          <w:tcPr>
            <w:tcW w:w="2833" w:type="dxa"/>
          </w:tcPr>
          <w:p>
            <w:pPr>
              <w:pStyle w:val="TableParagraph"/>
              <w:spacing w:line="178" w:lineRule="exact"/>
              <w:ind w:left="107"/>
              <w:jc w:val="left"/>
              <w:rPr>
                <w:sz w:val="18"/>
              </w:rPr>
            </w:pPr>
            <w:r>
              <w:rPr>
                <w:sz w:val="18"/>
              </w:rPr>
              <w:t>预变性和酶激活</w:t>
            </w:r>
          </w:p>
        </w:tc>
        <w:tc>
          <w:tcPr>
            <w:tcW w:w="898" w:type="dxa"/>
          </w:tcPr>
          <w:p>
            <w:pPr>
              <w:pStyle w:val="TableParagraph"/>
              <w:spacing w:line="178" w:lineRule="exact"/>
              <w:ind w:left="248" w:right="236"/>
              <w:rPr>
                <w:sz w:val="18"/>
              </w:rPr>
            </w:pPr>
            <w:r>
              <w:rPr>
                <w:rFonts w:ascii="Times New Roman" w:hAnsi="Times New Roman"/>
                <w:sz w:val="18"/>
              </w:rPr>
              <w:t>95</w:t>
            </w:r>
            <w:r>
              <w:rPr>
                <w:sz w:val="18"/>
              </w:rPr>
              <w:t>℃</w:t>
            </w:r>
          </w:p>
        </w:tc>
        <w:tc>
          <w:tcPr>
            <w:tcW w:w="1116" w:type="dxa"/>
          </w:tcPr>
          <w:p>
            <w:pPr>
              <w:pStyle w:val="TableParagraph"/>
              <w:spacing w:line="178" w:lineRule="exact"/>
              <w:ind w:left="244" w:right="235"/>
              <w:rPr>
                <w:sz w:val="18"/>
              </w:rPr>
            </w:pPr>
            <w:r>
              <w:rPr>
                <w:rFonts w:ascii="Times New Roman" w:eastAsia="Times New Roman"/>
                <w:sz w:val="18"/>
              </w:rPr>
              <w:t>1 </w:t>
            </w:r>
            <w:r>
              <w:rPr>
                <w:sz w:val="18"/>
              </w:rPr>
              <w:t>分钟</w:t>
            </w:r>
          </w:p>
        </w:tc>
        <w:tc>
          <w:tcPr>
            <w:tcW w:w="1440" w:type="dxa"/>
          </w:tcPr>
          <w:p>
            <w:pPr>
              <w:pStyle w:val="TableParagraph"/>
              <w:spacing w:line="174" w:lineRule="exact"/>
              <w:ind w:left="10"/>
              <w:rPr>
                <w:rFonts w:ascii="Times New Roman"/>
                <w:sz w:val="18"/>
              </w:rPr>
            </w:pPr>
            <w:r>
              <w:rPr>
                <w:rFonts w:ascii="Times New Roman"/>
                <w:sz w:val="18"/>
              </w:rPr>
              <w:t>1</w:t>
            </w:r>
          </w:p>
        </w:tc>
      </w:tr>
      <w:tr>
        <w:trPr>
          <w:trHeight w:val="197" w:hRule="atLeast"/>
        </w:trPr>
        <w:tc>
          <w:tcPr>
            <w:tcW w:w="539" w:type="dxa"/>
          </w:tcPr>
          <w:p>
            <w:pPr>
              <w:pStyle w:val="TableParagraph"/>
              <w:spacing w:line="175" w:lineRule="exact"/>
              <w:ind w:right="212"/>
              <w:jc w:val="right"/>
              <w:rPr>
                <w:rFonts w:ascii="Times New Roman"/>
                <w:sz w:val="18"/>
              </w:rPr>
            </w:pPr>
            <w:r>
              <w:rPr>
                <w:rFonts w:ascii="Times New Roman"/>
                <w:sz w:val="18"/>
              </w:rPr>
              <w:t>2</w:t>
            </w:r>
          </w:p>
        </w:tc>
        <w:tc>
          <w:tcPr>
            <w:tcW w:w="2833" w:type="dxa"/>
          </w:tcPr>
          <w:p>
            <w:pPr>
              <w:pStyle w:val="TableParagraph"/>
              <w:spacing w:line="178" w:lineRule="exact"/>
              <w:ind w:left="107"/>
              <w:jc w:val="left"/>
              <w:rPr>
                <w:sz w:val="18"/>
              </w:rPr>
            </w:pPr>
            <w:r>
              <w:rPr>
                <w:sz w:val="18"/>
              </w:rPr>
              <w:t>逆转录</w:t>
            </w:r>
          </w:p>
        </w:tc>
        <w:tc>
          <w:tcPr>
            <w:tcW w:w="898" w:type="dxa"/>
          </w:tcPr>
          <w:p>
            <w:pPr>
              <w:pStyle w:val="TableParagraph"/>
              <w:spacing w:line="178" w:lineRule="exact"/>
              <w:ind w:left="248" w:right="236"/>
              <w:rPr>
                <w:sz w:val="18"/>
              </w:rPr>
            </w:pPr>
            <w:r>
              <w:rPr>
                <w:rFonts w:ascii="Times New Roman" w:hAnsi="Times New Roman"/>
                <w:sz w:val="18"/>
              </w:rPr>
              <w:t>60</w:t>
            </w:r>
            <w:r>
              <w:rPr>
                <w:sz w:val="18"/>
              </w:rPr>
              <w:t>℃</w:t>
            </w:r>
          </w:p>
        </w:tc>
        <w:tc>
          <w:tcPr>
            <w:tcW w:w="1116" w:type="dxa"/>
          </w:tcPr>
          <w:p>
            <w:pPr>
              <w:pStyle w:val="TableParagraph"/>
              <w:spacing w:line="178" w:lineRule="exact"/>
              <w:ind w:left="246" w:right="235"/>
              <w:rPr>
                <w:sz w:val="18"/>
              </w:rPr>
            </w:pPr>
            <w:r>
              <w:rPr>
                <w:rFonts w:ascii="Times New Roman" w:eastAsia="Times New Roman"/>
                <w:sz w:val="18"/>
              </w:rPr>
              <w:t>30 </w:t>
            </w:r>
            <w:r>
              <w:rPr>
                <w:sz w:val="18"/>
              </w:rPr>
              <w:t>分钟</w:t>
            </w:r>
          </w:p>
        </w:tc>
        <w:tc>
          <w:tcPr>
            <w:tcW w:w="1440" w:type="dxa"/>
          </w:tcPr>
          <w:p>
            <w:pPr>
              <w:pStyle w:val="TableParagraph"/>
              <w:spacing w:line="175" w:lineRule="exact"/>
              <w:ind w:left="10"/>
              <w:rPr>
                <w:rFonts w:ascii="Times New Roman"/>
                <w:sz w:val="18"/>
              </w:rPr>
            </w:pPr>
            <w:r>
              <w:rPr>
                <w:rFonts w:ascii="Times New Roman"/>
                <w:sz w:val="18"/>
              </w:rPr>
              <w:t>1</w:t>
            </w:r>
          </w:p>
        </w:tc>
      </w:tr>
      <w:tr>
        <w:trPr>
          <w:trHeight w:val="198" w:hRule="atLeast"/>
        </w:trPr>
        <w:tc>
          <w:tcPr>
            <w:tcW w:w="539" w:type="dxa"/>
          </w:tcPr>
          <w:p>
            <w:pPr>
              <w:pStyle w:val="TableParagraph"/>
              <w:spacing w:line="173" w:lineRule="exact"/>
              <w:ind w:right="212"/>
              <w:jc w:val="right"/>
              <w:rPr>
                <w:rFonts w:ascii="Times New Roman"/>
                <w:sz w:val="18"/>
              </w:rPr>
            </w:pPr>
            <w:r>
              <w:rPr>
                <w:rFonts w:ascii="Times New Roman"/>
                <w:sz w:val="18"/>
              </w:rPr>
              <w:t>3</w:t>
            </w:r>
          </w:p>
        </w:tc>
        <w:tc>
          <w:tcPr>
            <w:tcW w:w="2833" w:type="dxa"/>
          </w:tcPr>
          <w:p>
            <w:pPr>
              <w:pStyle w:val="TableParagraph"/>
              <w:spacing w:line="178" w:lineRule="exact"/>
              <w:ind w:left="107"/>
              <w:jc w:val="left"/>
              <w:rPr>
                <w:sz w:val="18"/>
              </w:rPr>
            </w:pPr>
            <w:r>
              <w:rPr>
                <w:rFonts w:ascii="Times New Roman" w:eastAsia="Times New Roman"/>
                <w:sz w:val="18"/>
              </w:rPr>
              <w:t>cDNA </w:t>
            </w:r>
            <w:r>
              <w:rPr>
                <w:sz w:val="18"/>
              </w:rPr>
              <w:t>预变性</w:t>
            </w:r>
          </w:p>
        </w:tc>
        <w:tc>
          <w:tcPr>
            <w:tcW w:w="898" w:type="dxa"/>
          </w:tcPr>
          <w:p>
            <w:pPr>
              <w:pStyle w:val="TableParagraph"/>
              <w:spacing w:line="178" w:lineRule="exact"/>
              <w:ind w:left="248" w:right="236"/>
              <w:rPr>
                <w:sz w:val="18"/>
              </w:rPr>
            </w:pPr>
            <w:r>
              <w:rPr>
                <w:rFonts w:ascii="Times New Roman" w:hAnsi="Times New Roman"/>
                <w:sz w:val="18"/>
              </w:rPr>
              <w:t>95</w:t>
            </w:r>
            <w:r>
              <w:rPr>
                <w:sz w:val="18"/>
              </w:rPr>
              <w:t>℃</w:t>
            </w:r>
          </w:p>
        </w:tc>
        <w:tc>
          <w:tcPr>
            <w:tcW w:w="1116" w:type="dxa"/>
          </w:tcPr>
          <w:p>
            <w:pPr>
              <w:pStyle w:val="TableParagraph"/>
              <w:spacing w:line="178" w:lineRule="exact"/>
              <w:ind w:left="244" w:right="235"/>
              <w:rPr>
                <w:sz w:val="18"/>
              </w:rPr>
            </w:pPr>
            <w:r>
              <w:rPr>
                <w:rFonts w:ascii="Times New Roman" w:eastAsia="Times New Roman"/>
                <w:sz w:val="18"/>
              </w:rPr>
              <w:t>1 </w:t>
            </w:r>
            <w:r>
              <w:rPr>
                <w:sz w:val="18"/>
              </w:rPr>
              <w:t>分钟</w:t>
            </w:r>
          </w:p>
        </w:tc>
        <w:tc>
          <w:tcPr>
            <w:tcW w:w="1440" w:type="dxa"/>
          </w:tcPr>
          <w:p>
            <w:pPr>
              <w:pStyle w:val="TableParagraph"/>
              <w:spacing w:line="173" w:lineRule="exact"/>
              <w:ind w:left="10"/>
              <w:rPr>
                <w:rFonts w:ascii="Times New Roman"/>
                <w:sz w:val="18"/>
              </w:rPr>
            </w:pPr>
            <w:r>
              <w:rPr>
                <w:rFonts w:ascii="Times New Roman"/>
                <w:sz w:val="18"/>
              </w:rPr>
              <w:t>1</w:t>
            </w:r>
          </w:p>
        </w:tc>
      </w:tr>
      <w:tr>
        <w:trPr>
          <w:trHeight w:val="197" w:hRule="atLeast"/>
        </w:trPr>
        <w:tc>
          <w:tcPr>
            <w:tcW w:w="539" w:type="dxa"/>
            <w:vMerge w:val="restart"/>
          </w:tcPr>
          <w:p>
            <w:pPr>
              <w:pStyle w:val="TableParagraph"/>
              <w:spacing w:line="240" w:lineRule="auto" w:before="60"/>
              <w:ind w:left="10"/>
              <w:rPr>
                <w:rFonts w:ascii="Times New Roman"/>
                <w:sz w:val="18"/>
              </w:rPr>
            </w:pPr>
            <w:r>
              <w:rPr>
                <w:rFonts w:ascii="Times New Roman"/>
                <w:sz w:val="18"/>
              </w:rPr>
              <w:t>4</w:t>
            </w:r>
          </w:p>
        </w:tc>
        <w:tc>
          <w:tcPr>
            <w:tcW w:w="2833" w:type="dxa"/>
          </w:tcPr>
          <w:p>
            <w:pPr>
              <w:pStyle w:val="TableParagraph"/>
              <w:spacing w:line="178" w:lineRule="exact"/>
              <w:ind w:left="107"/>
              <w:jc w:val="left"/>
              <w:rPr>
                <w:sz w:val="18"/>
              </w:rPr>
            </w:pPr>
            <w:r>
              <w:rPr>
                <w:sz w:val="18"/>
              </w:rPr>
              <w:t>变性</w:t>
            </w:r>
          </w:p>
        </w:tc>
        <w:tc>
          <w:tcPr>
            <w:tcW w:w="898" w:type="dxa"/>
          </w:tcPr>
          <w:p>
            <w:pPr>
              <w:pStyle w:val="TableParagraph"/>
              <w:spacing w:line="178" w:lineRule="exact"/>
              <w:ind w:left="248" w:right="236"/>
              <w:rPr>
                <w:sz w:val="18"/>
              </w:rPr>
            </w:pPr>
            <w:r>
              <w:rPr>
                <w:rFonts w:ascii="Times New Roman" w:hAnsi="Times New Roman"/>
                <w:sz w:val="18"/>
              </w:rPr>
              <w:t>95</w:t>
            </w:r>
            <w:r>
              <w:rPr>
                <w:sz w:val="18"/>
              </w:rPr>
              <w:t>℃</w:t>
            </w:r>
          </w:p>
        </w:tc>
        <w:tc>
          <w:tcPr>
            <w:tcW w:w="1116" w:type="dxa"/>
          </w:tcPr>
          <w:p>
            <w:pPr>
              <w:pStyle w:val="TableParagraph"/>
              <w:spacing w:line="178" w:lineRule="exact"/>
              <w:ind w:left="244" w:right="235"/>
              <w:rPr>
                <w:sz w:val="18"/>
              </w:rPr>
            </w:pPr>
            <w:r>
              <w:rPr>
                <w:rFonts w:ascii="Times New Roman" w:eastAsia="Times New Roman"/>
                <w:sz w:val="18"/>
              </w:rPr>
              <w:t>15 </w:t>
            </w:r>
            <w:r>
              <w:rPr>
                <w:sz w:val="18"/>
              </w:rPr>
              <w:t>秒</w:t>
            </w:r>
          </w:p>
        </w:tc>
        <w:tc>
          <w:tcPr>
            <w:tcW w:w="1440" w:type="dxa"/>
            <w:vMerge w:val="restart"/>
          </w:tcPr>
          <w:p>
            <w:pPr>
              <w:pStyle w:val="TableParagraph"/>
              <w:spacing w:line="240" w:lineRule="auto" w:before="60"/>
              <w:ind w:left="429" w:right="416"/>
              <w:rPr>
                <w:rFonts w:ascii="Times New Roman"/>
                <w:sz w:val="18"/>
              </w:rPr>
            </w:pPr>
            <w:r>
              <w:rPr>
                <w:rFonts w:ascii="Times New Roman"/>
                <w:sz w:val="18"/>
              </w:rPr>
              <w:t>45</w:t>
            </w:r>
          </w:p>
        </w:tc>
      </w:tr>
      <w:tr>
        <w:trPr>
          <w:trHeight w:val="175" w:hRule="atLeast"/>
        </w:trPr>
        <w:tc>
          <w:tcPr>
            <w:tcW w:w="539" w:type="dxa"/>
            <w:vMerge/>
            <w:tcBorders>
              <w:top w:val="nil"/>
            </w:tcBorders>
          </w:tcPr>
          <w:p>
            <w:pPr>
              <w:rPr>
                <w:sz w:val="2"/>
                <w:szCs w:val="2"/>
              </w:rPr>
            </w:pPr>
          </w:p>
        </w:tc>
        <w:tc>
          <w:tcPr>
            <w:tcW w:w="2833" w:type="dxa"/>
          </w:tcPr>
          <w:p>
            <w:pPr>
              <w:pStyle w:val="TableParagraph"/>
              <w:ind w:left="107"/>
              <w:jc w:val="left"/>
              <w:rPr>
                <w:sz w:val="18"/>
              </w:rPr>
            </w:pPr>
            <w:r>
              <w:rPr>
                <w:sz w:val="18"/>
              </w:rPr>
              <w:t>退火，延伸及荧光采集</w:t>
            </w:r>
          </w:p>
        </w:tc>
        <w:tc>
          <w:tcPr>
            <w:tcW w:w="898" w:type="dxa"/>
          </w:tcPr>
          <w:p>
            <w:pPr>
              <w:pStyle w:val="TableParagraph"/>
              <w:ind w:left="248" w:right="236"/>
              <w:rPr>
                <w:sz w:val="18"/>
              </w:rPr>
            </w:pPr>
            <w:r>
              <w:rPr>
                <w:rFonts w:ascii="Times New Roman" w:hAnsi="Times New Roman"/>
                <w:sz w:val="18"/>
              </w:rPr>
              <w:t>60</w:t>
            </w:r>
            <w:r>
              <w:rPr>
                <w:sz w:val="18"/>
              </w:rPr>
              <w:t>℃</w:t>
            </w:r>
          </w:p>
        </w:tc>
        <w:tc>
          <w:tcPr>
            <w:tcW w:w="1116" w:type="dxa"/>
          </w:tcPr>
          <w:p>
            <w:pPr>
              <w:pStyle w:val="TableParagraph"/>
              <w:ind w:left="245" w:right="235"/>
              <w:rPr>
                <w:rFonts w:ascii="Times New Roman" w:eastAsia="Times New Roman"/>
                <w:sz w:val="18"/>
              </w:rPr>
            </w:pPr>
            <w:r>
              <w:rPr>
                <w:rFonts w:ascii="Times New Roman" w:eastAsia="Times New Roman"/>
                <w:sz w:val="18"/>
              </w:rPr>
              <w:t>30 </w:t>
            </w:r>
            <w:r>
              <w:rPr>
                <w:sz w:val="18"/>
              </w:rPr>
              <w:t>秒</w:t>
            </w:r>
            <w:r>
              <w:rPr>
                <w:rFonts w:ascii="Times New Roman" w:eastAsia="Times New Roman"/>
                <w:sz w:val="18"/>
              </w:rPr>
              <w:t>*</w:t>
            </w:r>
          </w:p>
        </w:tc>
        <w:tc>
          <w:tcPr>
            <w:tcW w:w="1440" w:type="dxa"/>
            <w:vMerge/>
            <w:tcBorders>
              <w:top w:val="nil"/>
            </w:tcBorders>
          </w:tcPr>
          <w:p>
            <w:pPr>
              <w:rPr>
                <w:sz w:val="2"/>
                <w:szCs w:val="2"/>
              </w:rPr>
            </w:pPr>
          </w:p>
        </w:tc>
      </w:tr>
      <w:tr>
        <w:trPr>
          <w:trHeight w:val="197" w:hRule="atLeast"/>
        </w:trPr>
        <w:tc>
          <w:tcPr>
            <w:tcW w:w="539" w:type="dxa"/>
          </w:tcPr>
          <w:p>
            <w:pPr>
              <w:pStyle w:val="TableParagraph"/>
              <w:spacing w:line="173" w:lineRule="exact"/>
              <w:ind w:right="212"/>
              <w:jc w:val="right"/>
              <w:rPr>
                <w:rFonts w:ascii="Times New Roman"/>
                <w:sz w:val="18"/>
              </w:rPr>
            </w:pPr>
            <w:r>
              <w:rPr>
                <w:rFonts w:ascii="Times New Roman"/>
                <w:sz w:val="18"/>
              </w:rPr>
              <w:t>5</w:t>
            </w:r>
          </w:p>
        </w:tc>
        <w:tc>
          <w:tcPr>
            <w:tcW w:w="2833" w:type="dxa"/>
          </w:tcPr>
          <w:p>
            <w:pPr>
              <w:pStyle w:val="TableParagraph"/>
              <w:spacing w:line="178" w:lineRule="exact"/>
              <w:ind w:left="107"/>
              <w:jc w:val="left"/>
              <w:rPr>
                <w:sz w:val="18"/>
              </w:rPr>
            </w:pPr>
            <w:r>
              <w:rPr>
                <w:sz w:val="18"/>
              </w:rPr>
              <w:t>仪器冷却</w:t>
            </w:r>
          </w:p>
        </w:tc>
        <w:tc>
          <w:tcPr>
            <w:tcW w:w="898" w:type="dxa"/>
          </w:tcPr>
          <w:p>
            <w:pPr>
              <w:pStyle w:val="TableParagraph"/>
              <w:spacing w:line="178" w:lineRule="exact"/>
              <w:ind w:left="248" w:right="236"/>
              <w:rPr>
                <w:sz w:val="18"/>
              </w:rPr>
            </w:pPr>
            <w:r>
              <w:rPr>
                <w:rFonts w:ascii="Times New Roman" w:hAnsi="Times New Roman"/>
                <w:sz w:val="18"/>
              </w:rPr>
              <w:t>25</w:t>
            </w:r>
            <w:r>
              <w:rPr>
                <w:sz w:val="18"/>
              </w:rPr>
              <w:t>℃</w:t>
            </w:r>
          </w:p>
        </w:tc>
        <w:tc>
          <w:tcPr>
            <w:tcW w:w="1116" w:type="dxa"/>
          </w:tcPr>
          <w:p>
            <w:pPr>
              <w:pStyle w:val="TableParagraph"/>
              <w:spacing w:line="178" w:lineRule="exact"/>
              <w:ind w:left="244" w:right="235"/>
              <w:rPr>
                <w:sz w:val="18"/>
              </w:rPr>
            </w:pPr>
            <w:r>
              <w:rPr>
                <w:rFonts w:ascii="Times New Roman" w:eastAsia="Times New Roman"/>
                <w:sz w:val="18"/>
              </w:rPr>
              <w:t>10 </w:t>
            </w:r>
            <w:r>
              <w:rPr>
                <w:sz w:val="18"/>
              </w:rPr>
              <w:t>秒</w:t>
            </w:r>
          </w:p>
        </w:tc>
        <w:tc>
          <w:tcPr>
            <w:tcW w:w="1440" w:type="dxa"/>
          </w:tcPr>
          <w:p>
            <w:pPr>
              <w:pStyle w:val="TableParagraph"/>
              <w:spacing w:line="173" w:lineRule="exact"/>
              <w:ind w:left="10"/>
              <w:rPr>
                <w:rFonts w:ascii="Times New Roman"/>
                <w:sz w:val="18"/>
              </w:rPr>
            </w:pPr>
            <w:r>
              <w:rPr>
                <w:rFonts w:ascii="Times New Roman"/>
                <w:sz w:val="18"/>
              </w:rPr>
              <w:t>1</w:t>
            </w:r>
          </w:p>
        </w:tc>
      </w:tr>
    </w:tbl>
    <w:p>
      <w:pPr>
        <w:pStyle w:val="BodyText"/>
        <w:spacing w:line="148" w:lineRule="exact"/>
        <w:ind w:left="427"/>
        <w:rPr>
          <w:rFonts w:ascii="Times New Roman" w:eastAsia="Times New Roman"/>
        </w:rPr>
      </w:pPr>
      <w:r>
        <w:rPr>
          <w:rFonts w:ascii="Times New Roman" w:eastAsia="Times New Roman"/>
        </w:rPr>
        <w:t>(*</w:t>
      </w:r>
      <w:r>
        <w:rPr/>
        <w:t>注：由于</w:t>
      </w:r>
      <w:r>
        <w:rPr>
          <w:rFonts w:ascii="Times New Roman" w:eastAsia="Times New Roman"/>
        </w:rPr>
        <w:t>ABI7500 </w:t>
      </w:r>
      <w:r>
        <w:rPr/>
        <w:t>仪器原因，不能设置为 </w:t>
      </w:r>
      <w:r>
        <w:rPr>
          <w:rFonts w:ascii="Times New Roman" w:eastAsia="Times New Roman"/>
        </w:rPr>
        <w:t>30 </w:t>
      </w:r>
      <w:r>
        <w:rPr/>
        <w:t>秒，可以设置为 </w:t>
      </w:r>
      <w:r>
        <w:rPr>
          <w:rFonts w:ascii="Times New Roman" w:eastAsia="Times New Roman"/>
        </w:rPr>
        <w:t>31 </w:t>
      </w:r>
      <w:r>
        <w:rPr/>
        <w:t>秒。</w:t>
      </w:r>
      <w:r>
        <w:rPr>
          <w:rFonts w:ascii="Times New Roman" w:eastAsia="Times New Roman"/>
        </w:rPr>
        <w:t>)</w:t>
      </w:r>
    </w:p>
    <w:p>
      <w:pPr>
        <w:pStyle w:val="ListParagraph"/>
        <w:numPr>
          <w:ilvl w:val="2"/>
          <w:numId w:val="3"/>
        </w:numPr>
        <w:tabs>
          <w:tab w:pos="576" w:val="left" w:leader="none"/>
        </w:tabs>
        <w:spacing w:line="203" w:lineRule="exact" w:before="0" w:after="0"/>
        <w:ind w:left="576" w:right="0" w:hanging="449"/>
        <w:jc w:val="left"/>
        <w:rPr>
          <w:rFonts w:ascii="Times New Roman" w:eastAsia="Times New Roman"/>
          <w:sz w:val="18"/>
        </w:rPr>
      </w:pPr>
      <w:r>
        <w:rPr>
          <w:rFonts w:ascii="Times New Roman" w:eastAsia="Times New Roman"/>
          <w:sz w:val="18"/>
        </w:rPr>
        <w:t>LightCycler</w:t>
      </w:r>
      <w:r>
        <w:rPr>
          <w:rFonts w:ascii="Times New Roman" w:eastAsia="Times New Roman"/>
          <w:spacing w:val="-1"/>
          <w:sz w:val="18"/>
        </w:rPr>
        <w:t> </w:t>
      </w:r>
      <w:r>
        <w:rPr>
          <w:rFonts w:ascii="Times New Roman" w:eastAsia="Times New Roman"/>
          <w:sz w:val="18"/>
        </w:rPr>
        <w:t>480</w:t>
      </w:r>
      <w:r>
        <w:rPr>
          <w:rFonts w:ascii="Times New Roman" w:eastAsia="Times New Roman"/>
          <w:spacing w:val="-8"/>
          <w:sz w:val="18"/>
        </w:rPr>
        <w:t> </w:t>
      </w:r>
      <w:r>
        <w:rPr>
          <w:sz w:val="18"/>
        </w:rPr>
        <w:t>仪器参数设定</w:t>
      </w:r>
      <w:r>
        <w:rPr>
          <w:rFonts w:ascii="Times New Roman" w:eastAsia="Times New Roman"/>
          <w:sz w:val="18"/>
        </w:rPr>
        <w:t>(</w:t>
      </w:r>
      <w:r>
        <w:rPr>
          <w:sz w:val="18"/>
        </w:rPr>
        <w:t>没有列出的参数，选仪器默认值</w:t>
      </w:r>
      <w:r>
        <w:rPr>
          <w:rFonts w:ascii="Times New Roman" w:eastAsia="Times New Roman"/>
          <w:sz w:val="18"/>
        </w:rPr>
        <w:t>)</w:t>
      </w:r>
    </w:p>
    <w:tbl>
      <w:tblPr>
        <w:tblW w:w="0" w:type="auto"/>
        <w:jc w:val="left"/>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6"/>
        <w:gridCol w:w="1328"/>
        <w:gridCol w:w="1919"/>
        <w:gridCol w:w="1593"/>
        <w:gridCol w:w="992"/>
        <w:gridCol w:w="1701"/>
      </w:tblGrid>
      <w:tr>
        <w:trPr>
          <w:trHeight w:val="176" w:hRule="atLeast"/>
        </w:trPr>
        <w:tc>
          <w:tcPr>
            <w:tcW w:w="1446" w:type="dxa"/>
          </w:tcPr>
          <w:p>
            <w:pPr>
              <w:pStyle w:val="TableParagraph"/>
              <w:ind w:left="274" w:right="263"/>
              <w:rPr>
                <w:rFonts w:ascii="Times New Roman"/>
                <w:sz w:val="18"/>
              </w:rPr>
            </w:pPr>
            <w:r>
              <w:rPr>
                <w:rFonts w:ascii="Times New Roman"/>
                <w:sz w:val="18"/>
              </w:rPr>
              <w:t>Program</w:t>
            </w:r>
          </w:p>
        </w:tc>
        <w:tc>
          <w:tcPr>
            <w:tcW w:w="1328" w:type="dxa"/>
          </w:tcPr>
          <w:p>
            <w:pPr>
              <w:pStyle w:val="TableParagraph"/>
              <w:ind w:left="238" w:right="225"/>
              <w:rPr>
                <w:rFonts w:ascii="Times New Roman" w:hAnsi="Times New Roman"/>
                <w:sz w:val="18"/>
              </w:rPr>
            </w:pPr>
            <w:r>
              <w:rPr>
                <w:rFonts w:ascii="Times New Roman" w:hAnsi="Times New Roman"/>
                <w:sz w:val="18"/>
              </w:rPr>
              <w:t>Target (</w:t>
            </w:r>
            <w:r>
              <w:rPr>
                <w:sz w:val="18"/>
              </w:rPr>
              <w:t>℃</w:t>
            </w:r>
            <w:r>
              <w:rPr>
                <w:rFonts w:ascii="Times New Roman" w:hAnsi="Times New Roman"/>
                <w:sz w:val="18"/>
              </w:rPr>
              <w:t>)</w:t>
            </w:r>
          </w:p>
        </w:tc>
        <w:tc>
          <w:tcPr>
            <w:tcW w:w="1919" w:type="dxa"/>
          </w:tcPr>
          <w:p>
            <w:pPr>
              <w:pStyle w:val="TableParagraph"/>
              <w:ind w:left="287" w:right="276"/>
              <w:rPr>
                <w:rFonts w:ascii="Times New Roman"/>
                <w:sz w:val="18"/>
              </w:rPr>
            </w:pPr>
            <w:r>
              <w:rPr>
                <w:rFonts w:ascii="Times New Roman"/>
                <w:sz w:val="18"/>
              </w:rPr>
              <w:t>Acquisition Mode</w:t>
            </w:r>
          </w:p>
        </w:tc>
        <w:tc>
          <w:tcPr>
            <w:tcW w:w="1593" w:type="dxa"/>
          </w:tcPr>
          <w:p>
            <w:pPr>
              <w:pStyle w:val="TableParagraph"/>
              <w:ind w:left="187" w:right="175"/>
              <w:rPr>
                <w:rFonts w:ascii="Times New Roman"/>
                <w:sz w:val="18"/>
              </w:rPr>
            </w:pPr>
            <w:r>
              <w:rPr>
                <w:rFonts w:ascii="Times New Roman"/>
                <w:sz w:val="18"/>
              </w:rPr>
              <w:t>Hold(hh:mm:ss)</w:t>
            </w:r>
          </w:p>
        </w:tc>
        <w:tc>
          <w:tcPr>
            <w:tcW w:w="992" w:type="dxa"/>
          </w:tcPr>
          <w:p>
            <w:pPr>
              <w:pStyle w:val="TableParagraph"/>
              <w:ind w:left="231" w:right="221"/>
              <w:rPr>
                <w:rFonts w:ascii="Times New Roman"/>
                <w:sz w:val="18"/>
              </w:rPr>
            </w:pPr>
            <w:r>
              <w:rPr>
                <w:rFonts w:ascii="Times New Roman"/>
                <w:sz w:val="18"/>
              </w:rPr>
              <w:t>Cycles</w:t>
            </w:r>
          </w:p>
        </w:tc>
        <w:tc>
          <w:tcPr>
            <w:tcW w:w="1701" w:type="dxa"/>
          </w:tcPr>
          <w:p>
            <w:pPr>
              <w:pStyle w:val="TableParagraph"/>
              <w:ind w:left="284" w:right="272"/>
              <w:rPr>
                <w:rFonts w:ascii="Times New Roman"/>
                <w:sz w:val="18"/>
              </w:rPr>
            </w:pPr>
            <w:r>
              <w:rPr>
                <w:rFonts w:ascii="Times New Roman"/>
                <w:sz w:val="18"/>
              </w:rPr>
              <w:t>Analysis Mode</w:t>
            </w:r>
          </w:p>
        </w:tc>
      </w:tr>
      <w:tr>
        <w:trPr>
          <w:trHeight w:val="175" w:hRule="atLeast"/>
        </w:trPr>
        <w:tc>
          <w:tcPr>
            <w:tcW w:w="1446" w:type="dxa"/>
          </w:tcPr>
          <w:p>
            <w:pPr>
              <w:pStyle w:val="TableParagraph"/>
              <w:ind w:left="9"/>
              <w:rPr>
                <w:rFonts w:ascii="Times New Roman"/>
                <w:sz w:val="18"/>
              </w:rPr>
            </w:pPr>
            <w:r>
              <w:rPr>
                <w:rFonts w:ascii="Times New Roman"/>
                <w:sz w:val="18"/>
              </w:rPr>
              <w:t>1</w:t>
            </w:r>
          </w:p>
        </w:tc>
        <w:tc>
          <w:tcPr>
            <w:tcW w:w="1328" w:type="dxa"/>
          </w:tcPr>
          <w:p>
            <w:pPr>
              <w:pStyle w:val="TableParagraph"/>
              <w:ind w:left="234" w:right="225"/>
              <w:rPr>
                <w:rFonts w:ascii="Times New Roman"/>
                <w:sz w:val="18"/>
              </w:rPr>
            </w:pPr>
            <w:r>
              <w:rPr>
                <w:rFonts w:ascii="Times New Roman"/>
                <w:sz w:val="18"/>
              </w:rPr>
              <w:t>95</w:t>
            </w:r>
          </w:p>
        </w:tc>
        <w:tc>
          <w:tcPr>
            <w:tcW w:w="1919" w:type="dxa"/>
          </w:tcPr>
          <w:p>
            <w:pPr>
              <w:pStyle w:val="TableParagraph"/>
              <w:ind w:left="287" w:right="276"/>
              <w:rPr>
                <w:rFonts w:ascii="Times New Roman"/>
                <w:sz w:val="18"/>
              </w:rPr>
            </w:pPr>
            <w:r>
              <w:rPr>
                <w:rFonts w:ascii="Times New Roman"/>
                <w:sz w:val="18"/>
              </w:rPr>
              <w:t>None</w:t>
            </w:r>
          </w:p>
        </w:tc>
        <w:tc>
          <w:tcPr>
            <w:tcW w:w="1593" w:type="dxa"/>
          </w:tcPr>
          <w:p>
            <w:pPr>
              <w:pStyle w:val="TableParagraph"/>
              <w:ind w:left="183" w:right="175"/>
              <w:rPr>
                <w:rFonts w:ascii="Times New Roman"/>
                <w:sz w:val="18"/>
              </w:rPr>
            </w:pPr>
            <w:r>
              <w:rPr>
                <w:rFonts w:ascii="Times New Roman"/>
                <w:sz w:val="18"/>
              </w:rPr>
              <w:t>00:01:00</w:t>
            </w:r>
          </w:p>
        </w:tc>
        <w:tc>
          <w:tcPr>
            <w:tcW w:w="992" w:type="dxa"/>
          </w:tcPr>
          <w:p>
            <w:pPr>
              <w:pStyle w:val="TableParagraph"/>
              <w:ind w:left="11"/>
              <w:rPr>
                <w:rFonts w:ascii="Times New Roman"/>
                <w:sz w:val="18"/>
              </w:rPr>
            </w:pPr>
            <w:r>
              <w:rPr>
                <w:rFonts w:ascii="Times New Roman"/>
                <w:sz w:val="18"/>
              </w:rPr>
              <w:t>1</w:t>
            </w:r>
          </w:p>
        </w:tc>
        <w:tc>
          <w:tcPr>
            <w:tcW w:w="1701" w:type="dxa"/>
          </w:tcPr>
          <w:p>
            <w:pPr>
              <w:pStyle w:val="TableParagraph"/>
              <w:ind w:left="282" w:right="272"/>
              <w:rPr>
                <w:rFonts w:ascii="Times New Roman"/>
                <w:sz w:val="18"/>
              </w:rPr>
            </w:pPr>
            <w:r>
              <w:rPr>
                <w:rFonts w:ascii="Times New Roman"/>
                <w:sz w:val="18"/>
              </w:rPr>
              <w:t>None</w:t>
            </w:r>
          </w:p>
        </w:tc>
      </w:tr>
      <w:tr>
        <w:trPr>
          <w:trHeight w:val="175" w:hRule="atLeast"/>
        </w:trPr>
        <w:tc>
          <w:tcPr>
            <w:tcW w:w="1446" w:type="dxa"/>
          </w:tcPr>
          <w:p>
            <w:pPr>
              <w:pStyle w:val="TableParagraph"/>
              <w:ind w:left="9"/>
              <w:rPr>
                <w:rFonts w:ascii="Times New Roman"/>
                <w:sz w:val="18"/>
              </w:rPr>
            </w:pPr>
            <w:r>
              <w:rPr>
                <w:rFonts w:ascii="Times New Roman"/>
                <w:sz w:val="18"/>
              </w:rPr>
              <w:t>2</w:t>
            </w:r>
          </w:p>
        </w:tc>
        <w:tc>
          <w:tcPr>
            <w:tcW w:w="1328" w:type="dxa"/>
          </w:tcPr>
          <w:p>
            <w:pPr>
              <w:pStyle w:val="TableParagraph"/>
              <w:ind w:left="234" w:right="225"/>
              <w:rPr>
                <w:rFonts w:ascii="Times New Roman"/>
                <w:sz w:val="18"/>
              </w:rPr>
            </w:pPr>
            <w:r>
              <w:rPr>
                <w:rFonts w:ascii="Times New Roman"/>
                <w:sz w:val="18"/>
              </w:rPr>
              <w:t>60</w:t>
            </w:r>
          </w:p>
        </w:tc>
        <w:tc>
          <w:tcPr>
            <w:tcW w:w="1919" w:type="dxa"/>
          </w:tcPr>
          <w:p>
            <w:pPr>
              <w:pStyle w:val="TableParagraph"/>
              <w:ind w:left="287" w:right="276"/>
              <w:rPr>
                <w:rFonts w:ascii="Times New Roman"/>
                <w:sz w:val="18"/>
              </w:rPr>
            </w:pPr>
            <w:r>
              <w:rPr>
                <w:rFonts w:ascii="Times New Roman"/>
                <w:sz w:val="18"/>
              </w:rPr>
              <w:t>None</w:t>
            </w:r>
          </w:p>
        </w:tc>
        <w:tc>
          <w:tcPr>
            <w:tcW w:w="1593" w:type="dxa"/>
          </w:tcPr>
          <w:p>
            <w:pPr>
              <w:pStyle w:val="TableParagraph"/>
              <w:ind w:left="183" w:right="175"/>
              <w:rPr>
                <w:rFonts w:ascii="Times New Roman"/>
                <w:sz w:val="18"/>
              </w:rPr>
            </w:pPr>
            <w:r>
              <w:rPr>
                <w:rFonts w:ascii="Times New Roman"/>
                <w:sz w:val="18"/>
              </w:rPr>
              <w:t>00:30:00</w:t>
            </w:r>
          </w:p>
        </w:tc>
        <w:tc>
          <w:tcPr>
            <w:tcW w:w="992" w:type="dxa"/>
          </w:tcPr>
          <w:p>
            <w:pPr>
              <w:pStyle w:val="TableParagraph"/>
              <w:ind w:left="11"/>
              <w:rPr>
                <w:rFonts w:ascii="Times New Roman"/>
                <w:sz w:val="18"/>
              </w:rPr>
            </w:pPr>
            <w:r>
              <w:rPr>
                <w:rFonts w:ascii="Times New Roman"/>
                <w:sz w:val="18"/>
              </w:rPr>
              <w:t>1</w:t>
            </w:r>
          </w:p>
        </w:tc>
        <w:tc>
          <w:tcPr>
            <w:tcW w:w="1701" w:type="dxa"/>
          </w:tcPr>
          <w:p>
            <w:pPr>
              <w:pStyle w:val="TableParagraph"/>
              <w:ind w:left="282" w:right="272"/>
              <w:rPr>
                <w:rFonts w:ascii="Times New Roman"/>
                <w:sz w:val="18"/>
              </w:rPr>
            </w:pPr>
            <w:r>
              <w:rPr>
                <w:rFonts w:ascii="Times New Roman"/>
                <w:sz w:val="18"/>
              </w:rPr>
              <w:t>None</w:t>
            </w:r>
          </w:p>
        </w:tc>
      </w:tr>
      <w:tr>
        <w:trPr>
          <w:trHeight w:val="176" w:hRule="atLeast"/>
        </w:trPr>
        <w:tc>
          <w:tcPr>
            <w:tcW w:w="1446" w:type="dxa"/>
          </w:tcPr>
          <w:p>
            <w:pPr>
              <w:pStyle w:val="TableParagraph"/>
              <w:ind w:left="9"/>
              <w:rPr>
                <w:rFonts w:ascii="Times New Roman"/>
                <w:sz w:val="18"/>
              </w:rPr>
            </w:pPr>
            <w:r>
              <w:rPr>
                <w:rFonts w:ascii="Times New Roman"/>
                <w:sz w:val="18"/>
              </w:rPr>
              <w:t>3</w:t>
            </w:r>
          </w:p>
        </w:tc>
        <w:tc>
          <w:tcPr>
            <w:tcW w:w="1328" w:type="dxa"/>
          </w:tcPr>
          <w:p>
            <w:pPr>
              <w:pStyle w:val="TableParagraph"/>
              <w:ind w:left="234" w:right="225"/>
              <w:rPr>
                <w:rFonts w:ascii="Times New Roman"/>
                <w:sz w:val="18"/>
              </w:rPr>
            </w:pPr>
            <w:r>
              <w:rPr>
                <w:rFonts w:ascii="Times New Roman"/>
                <w:sz w:val="18"/>
              </w:rPr>
              <w:t>95</w:t>
            </w:r>
          </w:p>
        </w:tc>
        <w:tc>
          <w:tcPr>
            <w:tcW w:w="1919" w:type="dxa"/>
          </w:tcPr>
          <w:p>
            <w:pPr>
              <w:pStyle w:val="TableParagraph"/>
              <w:ind w:left="287" w:right="276"/>
              <w:rPr>
                <w:rFonts w:ascii="Times New Roman"/>
                <w:sz w:val="18"/>
              </w:rPr>
            </w:pPr>
            <w:r>
              <w:rPr>
                <w:rFonts w:ascii="Times New Roman"/>
                <w:sz w:val="18"/>
              </w:rPr>
              <w:t>None</w:t>
            </w:r>
          </w:p>
        </w:tc>
        <w:tc>
          <w:tcPr>
            <w:tcW w:w="1593" w:type="dxa"/>
          </w:tcPr>
          <w:p>
            <w:pPr>
              <w:pStyle w:val="TableParagraph"/>
              <w:ind w:left="181" w:right="175"/>
              <w:rPr>
                <w:rFonts w:ascii="Times New Roman"/>
                <w:sz w:val="18"/>
              </w:rPr>
            </w:pPr>
            <w:r>
              <w:rPr>
                <w:rFonts w:ascii="Times New Roman"/>
                <w:sz w:val="18"/>
              </w:rPr>
              <w:t>00:01:00</w:t>
            </w:r>
          </w:p>
        </w:tc>
        <w:tc>
          <w:tcPr>
            <w:tcW w:w="992" w:type="dxa"/>
          </w:tcPr>
          <w:p>
            <w:pPr>
              <w:pStyle w:val="TableParagraph"/>
              <w:ind w:left="11"/>
              <w:rPr>
                <w:rFonts w:ascii="Times New Roman"/>
                <w:sz w:val="18"/>
              </w:rPr>
            </w:pPr>
            <w:r>
              <w:rPr>
                <w:rFonts w:ascii="Times New Roman"/>
                <w:sz w:val="18"/>
              </w:rPr>
              <w:t>1</w:t>
            </w:r>
          </w:p>
        </w:tc>
        <w:tc>
          <w:tcPr>
            <w:tcW w:w="1701" w:type="dxa"/>
          </w:tcPr>
          <w:p>
            <w:pPr>
              <w:pStyle w:val="TableParagraph"/>
              <w:ind w:left="282" w:right="272"/>
              <w:rPr>
                <w:rFonts w:ascii="Times New Roman"/>
                <w:sz w:val="18"/>
              </w:rPr>
            </w:pPr>
            <w:r>
              <w:rPr>
                <w:rFonts w:ascii="Times New Roman"/>
                <w:sz w:val="18"/>
              </w:rPr>
              <w:t>None</w:t>
            </w:r>
          </w:p>
        </w:tc>
      </w:tr>
      <w:tr>
        <w:trPr>
          <w:trHeight w:val="175" w:hRule="atLeast"/>
        </w:trPr>
        <w:tc>
          <w:tcPr>
            <w:tcW w:w="1446" w:type="dxa"/>
            <w:vMerge w:val="restart"/>
          </w:tcPr>
          <w:p>
            <w:pPr>
              <w:pStyle w:val="TableParagraph"/>
              <w:spacing w:line="240" w:lineRule="auto" w:before="50"/>
              <w:ind w:left="9"/>
              <w:rPr>
                <w:rFonts w:ascii="Times New Roman"/>
                <w:sz w:val="18"/>
              </w:rPr>
            </w:pPr>
            <w:r>
              <w:rPr>
                <w:rFonts w:ascii="Times New Roman"/>
                <w:sz w:val="18"/>
              </w:rPr>
              <w:t>4</w:t>
            </w:r>
          </w:p>
        </w:tc>
        <w:tc>
          <w:tcPr>
            <w:tcW w:w="1328" w:type="dxa"/>
          </w:tcPr>
          <w:p>
            <w:pPr>
              <w:pStyle w:val="TableParagraph"/>
              <w:ind w:left="234" w:right="225"/>
              <w:rPr>
                <w:rFonts w:ascii="Times New Roman"/>
                <w:sz w:val="18"/>
              </w:rPr>
            </w:pPr>
            <w:r>
              <w:rPr>
                <w:rFonts w:ascii="Times New Roman"/>
                <w:sz w:val="18"/>
              </w:rPr>
              <w:t>95</w:t>
            </w:r>
          </w:p>
        </w:tc>
        <w:tc>
          <w:tcPr>
            <w:tcW w:w="1919" w:type="dxa"/>
          </w:tcPr>
          <w:p>
            <w:pPr>
              <w:pStyle w:val="TableParagraph"/>
              <w:ind w:left="287" w:right="276"/>
              <w:rPr>
                <w:rFonts w:ascii="Times New Roman"/>
                <w:sz w:val="18"/>
              </w:rPr>
            </w:pPr>
            <w:r>
              <w:rPr>
                <w:rFonts w:ascii="Times New Roman"/>
                <w:sz w:val="18"/>
              </w:rPr>
              <w:t>None</w:t>
            </w:r>
          </w:p>
        </w:tc>
        <w:tc>
          <w:tcPr>
            <w:tcW w:w="1593" w:type="dxa"/>
          </w:tcPr>
          <w:p>
            <w:pPr>
              <w:pStyle w:val="TableParagraph"/>
              <w:ind w:left="183" w:right="175"/>
              <w:rPr>
                <w:rFonts w:ascii="Times New Roman"/>
                <w:sz w:val="18"/>
              </w:rPr>
            </w:pPr>
            <w:r>
              <w:rPr>
                <w:rFonts w:ascii="Times New Roman"/>
                <w:sz w:val="18"/>
              </w:rPr>
              <w:t>00:00:15</w:t>
            </w:r>
          </w:p>
        </w:tc>
        <w:tc>
          <w:tcPr>
            <w:tcW w:w="992" w:type="dxa"/>
            <w:vMerge w:val="restart"/>
          </w:tcPr>
          <w:p>
            <w:pPr>
              <w:pStyle w:val="TableParagraph"/>
              <w:spacing w:line="240" w:lineRule="auto" w:before="50"/>
              <w:ind w:left="231" w:right="220"/>
              <w:rPr>
                <w:rFonts w:ascii="Times New Roman"/>
                <w:sz w:val="18"/>
              </w:rPr>
            </w:pPr>
            <w:r>
              <w:rPr>
                <w:rFonts w:ascii="Times New Roman"/>
                <w:sz w:val="18"/>
              </w:rPr>
              <w:t>45</w:t>
            </w:r>
          </w:p>
        </w:tc>
        <w:tc>
          <w:tcPr>
            <w:tcW w:w="1701" w:type="dxa"/>
            <w:vMerge w:val="restart"/>
          </w:tcPr>
          <w:p>
            <w:pPr>
              <w:pStyle w:val="TableParagraph"/>
              <w:spacing w:line="240" w:lineRule="auto" w:before="50"/>
              <w:ind w:left="333"/>
              <w:jc w:val="left"/>
              <w:rPr>
                <w:rFonts w:ascii="Times New Roman"/>
                <w:sz w:val="18"/>
              </w:rPr>
            </w:pPr>
            <w:r>
              <w:rPr>
                <w:rFonts w:ascii="Times New Roman"/>
                <w:sz w:val="18"/>
              </w:rPr>
              <w:t>Quantification</w:t>
            </w:r>
          </w:p>
        </w:tc>
      </w:tr>
      <w:tr>
        <w:trPr>
          <w:trHeight w:val="176" w:hRule="atLeast"/>
        </w:trPr>
        <w:tc>
          <w:tcPr>
            <w:tcW w:w="1446" w:type="dxa"/>
            <w:vMerge/>
            <w:tcBorders>
              <w:top w:val="nil"/>
            </w:tcBorders>
          </w:tcPr>
          <w:p>
            <w:pPr>
              <w:rPr>
                <w:sz w:val="2"/>
                <w:szCs w:val="2"/>
              </w:rPr>
            </w:pPr>
          </w:p>
        </w:tc>
        <w:tc>
          <w:tcPr>
            <w:tcW w:w="1328" w:type="dxa"/>
          </w:tcPr>
          <w:p>
            <w:pPr>
              <w:pStyle w:val="TableParagraph"/>
              <w:ind w:left="234" w:right="225"/>
              <w:rPr>
                <w:rFonts w:ascii="Times New Roman"/>
                <w:sz w:val="18"/>
              </w:rPr>
            </w:pPr>
            <w:r>
              <w:rPr>
                <w:rFonts w:ascii="Times New Roman"/>
                <w:sz w:val="18"/>
              </w:rPr>
              <w:t>60</w:t>
            </w:r>
          </w:p>
        </w:tc>
        <w:tc>
          <w:tcPr>
            <w:tcW w:w="1919" w:type="dxa"/>
          </w:tcPr>
          <w:p>
            <w:pPr>
              <w:pStyle w:val="TableParagraph"/>
              <w:ind w:left="287" w:right="276"/>
              <w:rPr>
                <w:rFonts w:ascii="Times New Roman"/>
                <w:sz w:val="18"/>
              </w:rPr>
            </w:pPr>
            <w:r>
              <w:rPr>
                <w:rFonts w:ascii="Times New Roman"/>
                <w:sz w:val="18"/>
              </w:rPr>
              <w:t>Single</w:t>
            </w:r>
          </w:p>
        </w:tc>
        <w:tc>
          <w:tcPr>
            <w:tcW w:w="1593" w:type="dxa"/>
          </w:tcPr>
          <w:p>
            <w:pPr>
              <w:pStyle w:val="TableParagraph"/>
              <w:ind w:left="183" w:right="175"/>
              <w:rPr>
                <w:rFonts w:ascii="Times New Roman"/>
                <w:sz w:val="18"/>
              </w:rPr>
            </w:pPr>
            <w:r>
              <w:rPr>
                <w:rFonts w:ascii="Times New Roman"/>
                <w:sz w:val="18"/>
              </w:rPr>
              <w:t>00:00:30</w:t>
            </w:r>
          </w:p>
        </w:tc>
        <w:tc>
          <w:tcPr>
            <w:tcW w:w="992" w:type="dxa"/>
            <w:vMerge/>
            <w:tcBorders>
              <w:top w:val="nil"/>
            </w:tcBorders>
          </w:tcPr>
          <w:p>
            <w:pPr>
              <w:rPr>
                <w:sz w:val="2"/>
                <w:szCs w:val="2"/>
              </w:rPr>
            </w:pPr>
          </w:p>
        </w:tc>
        <w:tc>
          <w:tcPr>
            <w:tcW w:w="1701" w:type="dxa"/>
            <w:vMerge/>
            <w:tcBorders>
              <w:top w:val="nil"/>
            </w:tcBorders>
          </w:tcPr>
          <w:p>
            <w:pPr>
              <w:rPr>
                <w:sz w:val="2"/>
                <w:szCs w:val="2"/>
              </w:rPr>
            </w:pPr>
          </w:p>
        </w:tc>
      </w:tr>
      <w:tr>
        <w:trPr>
          <w:trHeight w:val="175" w:hRule="atLeast"/>
        </w:trPr>
        <w:tc>
          <w:tcPr>
            <w:tcW w:w="1446" w:type="dxa"/>
          </w:tcPr>
          <w:p>
            <w:pPr>
              <w:pStyle w:val="TableParagraph"/>
              <w:ind w:left="274" w:right="266"/>
              <w:rPr>
                <w:sz w:val="18"/>
              </w:rPr>
            </w:pPr>
            <w:r>
              <w:rPr>
                <w:rFonts w:ascii="Times New Roman" w:eastAsia="Times New Roman"/>
                <w:sz w:val="18"/>
              </w:rPr>
              <w:t>5 </w:t>
            </w:r>
            <w:r>
              <w:rPr>
                <w:sz w:val="18"/>
              </w:rPr>
              <w:t>（可选）</w:t>
            </w:r>
          </w:p>
        </w:tc>
        <w:tc>
          <w:tcPr>
            <w:tcW w:w="1328" w:type="dxa"/>
          </w:tcPr>
          <w:p>
            <w:pPr>
              <w:pStyle w:val="TableParagraph"/>
              <w:ind w:left="234" w:right="225"/>
              <w:rPr>
                <w:rFonts w:ascii="Times New Roman"/>
                <w:sz w:val="18"/>
              </w:rPr>
            </w:pPr>
            <w:r>
              <w:rPr>
                <w:rFonts w:ascii="Times New Roman"/>
                <w:sz w:val="18"/>
              </w:rPr>
              <w:t>25</w:t>
            </w:r>
          </w:p>
        </w:tc>
        <w:tc>
          <w:tcPr>
            <w:tcW w:w="1919" w:type="dxa"/>
          </w:tcPr>
          <w:p>
            <w:pPr>
              <w:pStyle w:val="TableParagraph"/>
              <w:ind w:left="287" w:right="276"/>
              <w:rPr>
                <w:rFonts w:ascii="Times New Roman"/>
                <w:sz w:val="18"/>
              </w:rPr>
            </w:pPr>
            <w:r>
              <w:rPr>
                <w:rFonts w:ascii="Times New Roman"/>
                <w:sz w:val="18"/>
              </w:rPr>
              <w:t>None</w:t>
            </w:r>
          </w:p>
        </w:tc>
        <w:tc>
          <w:tcPr>
            <w:tcW w:w="1593" w:type="dxa"/>
          </w:tcPr>
          <w:p>
            <w:pPr>
              <w:pStyle w:val="TableParagraph"/>
              <w:ind w:left="183" w:right="175"/>
              <w:rPr>
                <w:rFonts w:ascii="Times New Roman"/>
                <w:sz w:val="18"/>
              </w:rPr>
            </w:pPr>
            <w:r>
              <w:rPr>
                <w:rFonts w:ascii="Times New Roman"/>
                <w:sz w:val="18"/>
              </w:rPr>
              <w:t>00:00:10</w:t>
            </w:r>
          </w:p>
        </w:tc>
        <w:tc>
          <w:tcPr>
            <w:tcW w:w="992" w:type="dxa"/>
          </w:tcPr>
          <w:p>
            <w:pPr>
              <w:pStyle w:val="TableParagraph"/>
              <w:ind w:left="11"/>
              <w:rPr>
                <w:rFonts w:ascii="Times New Roman"/>
                <w:sz w:val="18"/>
              </w:rPr>
            </w:pPr>
            <w:r>
              <w:rPr>
                <w:rFonts w:ascii="Times New Roman"/>
                <w:sz w:val="18"/>
              </w:rPr>
              <w:t>1</w:t>
            </w:r>
          </w:p>
        </w:tc>
        <w:tc>
          <w:tcPr>
            <w:tcW w:w="1701" w:type="dxa"/>
          </w:tcPr>
          <w:p>
            <w:pPr>
              <w:pStyle w:val="TableParagraph"/>
              <w:ind w:left="282" w:right="272"/>
              <w:rPr>
                <w:rFonts w:ascii="Times New Roman"/>
                <w:sz w:val="18"/>
              </w:rPr>
            </w:pPr>
            <w:r>
              <w:rPr>
                <w:rFonts w:ascii="Times New Roman"/>
                <w:sz w:val="18"/>
              </w:rPr>
              <w:t>None</w:t>
            </w:r>
          </w:p>
        </w:tc>
      </w:tr>
    </w:tbl>
    <w:p>
      <w:pPr>
        <w:pStyle w:val="BodyText"/>
        <w:spacing w:line="148" w:lineRule="exact"/>
        <w:ind w:left="384"/>
      </w:pPr>
      <w:r>
        <w:rPr/>
        <w:t>设置完毕，保存文件，运行反应程序。</w:t>
      </w:r>
    </w:p>
    <w:p>
      <w:pPr>
        <w:pStyle w:val="ListParagraph"/>
        <w:numPr>
          <w:ilvl w:val="0"/>
          <w:numId w:val="3"/>
        </w:numPr>
        <w:tabs>
          <w:tab w:pos="300" w:val="left" w:leader="none"/>
        </w:tabs>
        <w:spacing w:line="176" w:lineRule="exact" w:before="0" w:after="0"/>
        <w:ind w:left="300" w:right="0" w:hanging="173"/>
        <w:jc w:val="left"/>
        <w:rPr>
          <w:sz w:val="18"/>
        </w:rPr>
      </w:pPr>
      <w:r>
        <w:rPr>
          <w:b/>
          <w:spacing w:val="-3"/>
          <w:sz w:val="18"/>
        </w:rPr>
        <w:t>结果分析</w:t>
      </w:r>
      <w:r>
        <w:rPr>
          <w:spacing w:val="-3"/>
          <w:sz w:val="18"/>
        </w:rPr>
        <w:t>（</w:t>
      </w:r>
      <w:r>
        <w:rPr>
          <w:spacing w:val="-1"/>
          <w:sz w:val="18"/>
        </w:rPr>
        <w:t>请参照各仪器使用说明书进行设置，以下分析以</w:t>
      </w:r>
      <w:r>
        <w:rPr>
          <w:rFonts w:ascii="Times New Roman" w:eastAsia="Times New Roman"/>
          <w:sz w:val="18"/>
        </w:rPr>
        <w:t>ABI</w:t>
      </w:r>
      <w:r>
        <w:rPr>
          <w:rFonts w:ascii="Times New Roman" w:eastAsia="Times New Roman"/>
          <w:spacing w:val="-10"/>
          <w:sz w:val="18"/>
        </w:rPr>
        <w:t> </w:t>
      </w:r>
      <w:r>
        <w:rPr>
          <w:sz w:val="18"/>
        </w:rPr>
        <w:t>系列仪器为例）</w:t>
      </w:r>
    </w:p>
    <w:p>
      <w:pPr>
        <w:pStyle w:val="BodyText"/>
        <w:spacing w:line="182" w:lineRule="auto" w:before="16"/>
        <w:ind w:right="132" w:firstLine="357"/>
        <w:jc w:val="both"/>
      </w:pPr>
      <w:r>
        <w:rPr>
          <w:spacing w:val="-2"/>
        </w:rPr>
        <w:t>反应结束后自动保存结果，对丙型肝炎病毒</w:t>
      </w:r>
      <w:r>
        <w:rPr/>
        <w:t>（</w:t>
      </w:r>
      <w:r>
        <w:rPr>
          <w:rFonts w:ascii="Times New Roman" w:hAnsi="Times New Roman" w:eastAsia="Times New Roman"/>
        </w:rPr>
        <w:t>HCV</w:t>
      </w:r>
      <w:r>
        <w:rPr/>
        <w:t>）</w:t>
      </w:r>
      <w:r>
        <w:rPr>
          <w:spacing w:val="-1"/>
        </w:rPr>
        <w:t>的曲线和相应丙型肝炎病毒</w:t>
      </w:r>
      <w:r>
        <w:rPr/>
        <w:t>（</w:t>
      </w:r>
      <w:r>
        <w:rPr>
          <w:rFonts w:ascii="Times New Roman" w:hAnsi="Times New Roman" w:eastAsia="Times New Roman"/>
        </w:rPr>
        <w:t>HCV</w:t>
      </w:r>
      <w:r>
        <w:rPr/>
        <w:t>）</w:t>
      </w:r>
      <w:r>
        <w:rPr>
          <w:spacing w:val="-2"/>
        </w:rPr>
        <w:t>内标的曲线分别进行分析。根据分</w:t>
      </w:r>
      <w:r>
        <w:rPr>
          <w:spacing w:val="5"/>
        </w:rPr>
        <w:t>析后图像调节</w:t>
      </w:r>
      <w:r>
        <w:rPr>
          <w:rFonts w:ascii="Times New Roman" w:hAnsi="Times New Roman" w:eastAsia="Times New Roman"/>
        </w:rPr>
        <w:t>Baseline</w:t>
      </w:r>
      <w:r>
        <w:rPr>
          <w:rFonts w:ascii="Times New Roman" w:hAnsi="Times New Roman" w:eastAsia="Times New Roman"/>
          <w:spacing w:val="-13"/>
        </w:rPr>
        <w:t> </w:t>
      </w:r>
      <w:r>
        <w:rPr>
          <w:spacing w:val="43"/>
        </w:rPr>
        <w:t>的</w:t>
      </w:r>
      <w:r>
        <w:rPr>
          <w:rFonts w:ascii="Times New Roman" w:hAnsi="Times New Roman" w:eastAsia="Times New Roman"/>
        </w:rPr>
        <w:t>Start</w:t>
      </w:r>
      <w:r>
        <w:rPr>
          <w:rFonts w:ascii="Times New Roman" w:hAnsi="Times New Roman" w:eastAsia="Times New Roman"/>
          <w:spacing w:val="-12"/>
        </w:rPr>
        <w:t> </w:t>
      </w:r>
      <w:r>
        <w:rPr/>
        <w:t>值、</w:t>
      </w:r>
      <w:r>
        <w:rPr>
          <w:rFonts w:ascii="Times New Roman" w:hAnsi="Times New Roman" w:eastAsia="Times New Roman"/>
        </w:rPr>
        <w:t>End</w:t>
      </w:r>
      <w:r>
        <w:rPr>
          <w:rFonts w:ascii="Times New Roman" w:hAnsi="Times New Roman" w:eastAsia="Times New Roman"/>
          <w:spacing w:val="-13"/>
        </w:rPr>
        <w:t> </w:t>
      </w:r>
      <w:r>
        <w:rPr>
          <w:spacing w:val="-13"/>
        </w:rPr>
        <w:t>值以及 </w:t>
      </w:r>
      <w:r>
        <w:rPr>
          <w:rFonts w:ascii="Times New Roman" w:hAnsi="Times New Roman" w:eastAsia="Times New Roman"/>
        </w:rPr>
        <w:t>Threshold</w:t>
      </w:r>
      <w:r>
        <w:rPr>
          <w:rFonts w:ascii="Times New Roman" w:hAnsi="Times New Roman" w:eastAsia="Times New Roman"/>
          <w:spacing w:val="-13"/>
        </w:rPr>
        <w:t> </w:t>
      </w:r>
      <w:r>
        <w:rPr/>
        <w:t>值（用户可根据实际情况自行调整，</w:t>
      </w:r>
      <w:r>
        <w:rPr>
          <w:rFonts w:ascii="Times New Roman" w:hAnsi="Times New Roman" w:eastAsia="Times New Roman"/>
        </w:rPr>
        <w:t>Start</w:t>
      </w:r>
      <w:r>
        <w:rPr>
          <w:rFonts w:ascii="Times New Roman" w:hAnsi="Times New Roman" w:eastAsia="Times New Roman"/>
          <w:spacing w:val="-14"/>
        </w:rPr>
        <w:t> </w:t>
      </w:r>
      <w:r>
        <w:rPr>
          <w:spacing w:val="-10"/>
        </w:rPr>
        <w:t>值可以在 </w:t>
      </w:r>
      <w:r>
        <w:rPr>
          <w:rFonts w:ascii="Times New Roman" w:hAnsi="Times New Roman" w:eastAsia="Times New Roman"/>
        </w:rPr>
        <w:t>3</w:t>
      </w:r>
      <w:r>
        <w:rPr/>
        <w:t>～</w:t>
      </w:r>
      <w:r>
        <w:rPr>
          <w:rFonts w:ascii="Times New Roman" w:hAnsi="Times New Roman" w:eastAsia="Times New Roman"/>
        </w:rPr>
        <w:t>15</w:t>
      </w:r>
      <w:r>
        <w:rPr/>
        <w:t>、</w:t>
      </w:r>
      <w:r>
        <w:rPr>
          <w:rFonts w:ascii="Times New Roman" w:hAnsi="Times New Roman" w:eastAsia="Times New Roman"/>
        </w:rPr>
        <w:t>End</w:t>
      </w:r>
      <w:r>
        <w:rPr>
          <w:rFonts w:ascii="Times New Roman" w:hAnsi="Times New Roman" w:eastAsia="Times New Roman"/>
          <w:spacing w:val="-11"/>
        </w:rPr>
        <w:t> </w:t>
      </w:r>
      <w:r>
        <w:rPr/>
        <w:t>值可设在</w:t>
      </w:r>
      <w:r>
        <w:rPr>
          <w:rFonts w:ascii="Times New Roman" w:hAnsi="Times New Roman" w:eastAsia="Times New Roman"/>
        </w:rPr>
        <w:t>5</w:t>
      </w:r>
      <w:r>
        <w:rPr/>
        <w:t>～</w:t>
      </w:r>
      <w:r>
        <w:rPr>
          <w:rFonts w:ascii="Times New Roman" w:hAnsi="Times New Roman" w:eastAsia="Times New Roman"/>
        </w:rPr>
        <w:t>20</w:t>
      </w:r>
      <w:r>
        <w:rPr/>
        <w:t>，调整阴性对照的扩增曲线使其平直或低于阈值线</w:t>
      </w:r>
      <w:r>
        <w:rPr>
          <w:spacing w:val="3"/>
        </w:rPr>
        <w:t>）</w:t>
      </w:r>
      <w:r>
        <w:rPr>
          <w:spacing w:val="-8"/>
        </w:rPr>
        <w:t>，点击 </w:t>
      </w:r>
      <w:r>
        <w:rPr>
          <w:rFonts w:ascii="Times New Roman" w:hAnsi="Times New Roman" w:eastAsia="Times New Roman"/>
        </w:rPr>
        <w:t>Analyze </w:t>
      </w:r>
      <w:r>
        <w:rPr/>
        <w:t>进行分析，使各项参数符合下述</w:t>
      </w:r>
      <w:r>
        <w:rPr>
          <w:rFonts w:ascii="Times New Roman" w:hAnsi="Times New Roman" w:eastAsia="Times New Roman"/>
          <w:spacing w:val="-2"/>
        </w:rPr>
        <w:t>“5</w:t>
      </w:r>
      <w:r>
        <w:rPr>
          <w:rFonts w:ascii="Times New Roman" w:hAnsi="Times New Roman" w:eastAsia="Times New Roman"/>
          <w:spacing w:val="4"/>
        </w:rPr>
        <w:t>. </w:t>
      </w:r>
      <w:r>
        <w:rPr>
          <w:spacing w:val="1"/>
        </w:rPr>
        <w:t>质量控制</w:t>
      </w:r>
      <w:r>
        <w:rPr>
          <w:rFonts w:ascii="Times New Roman" w:hAnsi="Times New Roman" w:eastAsia="Times New Roman"/>
          <w:spacing w:val="4"/>
        </w:rPr>
        <w:t>”</w:t>
      </w:r>
      <w:r>
        <w:rPr>
          <w:spacing w:val="1"/>
        </w:rPr>
        <w:t>中的要</w:t>
      </w:r>
      <w:r>
        <w:rPr>
          <w:spacing w:val="6"/>
        </w:rPr>
        <w:t>求，然后到</w:t>
      </w:r>
      <w:r>
        <w:rPr>
          <w:rFonts w:ascii="Times New Roman" w:hAnsi="Times New Roman" w:eastAsia="Times New Roman"/>
        </w:rPr>
        <w:t>Plate</w:t>
      </w:r>
      <w:r>
        <w:rPr>
          <w:rFonts w:ascii="Times New Roman" w:hAnsi="Times New Roman" w:eastAsia="Times New Roman"/>
          <w:spacing w:val="-16"/>
        </w:rPr>
        <w:t> </w:t>
      </w:r>
      <w:r>
        <w:rPr>
          <w:spacing w:val="-3"/>
        </w:rPr>
        <w:t>窗口下记录定量结果。</w:t>
      </w:r>
    </w:p>
    <w:p>
      <w:pPr>
        <w:pStyle w:val="Heading1"/>
        <w:numPr>
          <w:ilvl w:val="0"/>
          <w:numId w:val="3"/>
        </w:numPr>
        <w:tabs>
          <w:tab w:pos="300" w:val="left" w:leader="none"/>
        </w:tabs>
        <w:spacing w:line="162" w:lineRule="exact" w:before="0" w:after="0"/>
        <w:ind w:left="300" w:right="0" w:hanging="173"/>
        <w:jc w:val="left"/>
      </w:pPr>
      <w:r>
        <w:rPr>
          <w:spacing w:val="-3"/>
        </w:rPr>
        <w:t>质量控制</w:t>
      </w:r>
    </w:p>
    <w:p>
      <w:pPr>
        <w:pStyle w:val="ListParagraph"/>
        <w:numPr>
          <w:ilvl w:val="1"/>
          <w:numId w:val="3"/>
        </w:numPr>
        <w:tabs>
          <w:tab w:pos="432" w:val="left" w:leader="none"/>
        </w:tabs>
        <w:spacing w:line="176" w:lineRule="exact" w:before="0" w:after="0"/>
        <w:ind w:left="432" w:right="0" w:hanging="305"/>
        <w:jc w:val="left"/>
        <w:rPr>
          <w:sz w:val="18"/>
        </w:rPr>
      </w:pPr>
      <w:r>
        <w:rPr>
          <w:spacing w:val="-3"/>
          <w:sz w:val="18"/>
        </w:rPr>
        <w:t>四个丙型肝炎病毒（</w:t>
      </w:r>
      <w:r>
        <w:rPr>
          <w:rFonts w:ascii="Times New Roman" w:hAnsi="Times New Roman" w:eastAsia="Times New Roman"/>
          <w:spacing w:val="-3"/>
          <w:sz w:val="18"/>
        </w:rPr>
        <w:t>HCV</w:t>
      </w:r>
      <w:r>
        <w:rPr>
          <w:spacing w:val="-3"/>
          <w:sz w:val="18"/>
        </w:rPr>
        <w:t>）定量参考品：均检测为阳性，且标准曲线相关系数</w:t>
      </w:r>
      <w:r>
        <w:rPr>
          <w:rFonts w:ascii="Times New Roman" w:hAnsi="Times New Roman" w:eastAsia="Times New Roman"/>
          <w:sz w:val="18"/>
        </w:rPr>
        <w:t>R</w:t>
      </w:r>
      <w:r>
        <w:rPr>
          <w:rFonts w:ascii="Times New Roman" w:hAnsi="Times New Roman" w:eastAsia="Times New Roman"/>
          <w:position w:val="6"/>
          <w:sz w:val="11"/>
        </w:rPr>
        <w:t>2</w:t>
      </w:r>
      <w:r>
        <w:rPr>
          <w:rFonts w:ascii="Times New Roman" w:hAnsi="Times New Roman" w:eastAsia="Times New Roman"/>
          <w:sz w:val="18"/>
        </w:rPr>
        <w:t>≥0.98</w:t>
      </w:r>
      <w:r>
        <w:rPr>
          <w:sz w:val="18"/>
        </w:rPr>
        <w:t>；</w:t>
      </w:r>
    </w:p>
    <w:p>
      <w:pPr>
        <w:pStyle w:val="ListParagraph"/>
        <w:numPr>
          <w:ilvl w:val="1"/>
          <w:numId w:val="3"/>
        </w:numPr>
        <w:tabs>
          <w:tab w:pos="432" w:val="left" w:leader="none"/>
        </w:tabs>
        <w:spacing w:line="176" w:lineRule="exact" w:before="0" w:after="0"/>
        <w:ind w:left="432" w:right="0" w:hanging="305"/>
        <w:jc w:val="left"/>
        <w:rPr>
          <w:sz w:val="18"/>
        </w:rPr>
      </w:pPr>
      <w:r>
        <w:rPr>
          <w:spacing w:val="-3"/>
          <w:sz w:val="18"/>
        </w:rPr>
        <w:t>丙型肝炎病毒（</w:t>
      </w:r>
      <w:r>
        <w:rPr>
          <w:rFonts w:ascii="Times New Roman" w:hAnsi="Times New Roman" w:eastAsia="Times New Roman"/>
          <w:spacing w:val="-3"/>
          <w:sz w:val="18"/>
        </w:rPr>
        <w:t>HCV</w:t>
      </w:r>
      <w:r>
        <w:rPr>
          <w:spacing w:val="-3"/>
          <w:sz w:val="18"/>
        </w:rPr>
        <w:t>）阴性对照：无</w:t>
      </w:r>
      <w:r>
        <w:rPr>
          <w:rFonts w:ascii="Times New Roman" w:hAnsi="Times New Roman" w:eastAsia="Times New Roman"/>
          <w:spacing w:val="-3"/>
          <w:sz w:val="18"/>
        </w:rPr>
        <w:t>Ct</w:t>
      </w:r>
      <w:r>
        <w:rPr>
          <w:spacing w:val="-3"/>
          <w:sz w:val="18"/>
        </w:rPr>
        <w:t>值显示；丙型肝炎病毒（</w:t>
      </w:r>
      <w:r>
        <w:rPr>
          <w:rFonts w:ascii="Times New Roman" w:hAnsi="Times New Roman" w:eastAsia="Times New Roman"/>
          <w:spacing w:val="-3"/>
          <w:sz w:val="18"/>
        </w:rPr>
        <w:t>HCV</w:t>
      </w:r>
      <w:r>
        <w:rPr>
          <w:spacing w:val="-3"/>
          <w:sz w:val="18"/>
        </w:rPr>
        <w:t>）内标检测为阳性，且</w:t>
      </w:r>
      <w:r>
        <w:rPr>
          <w:rFonts w:ascii="Times New Roman" w:hAnsi="Times New Roman" w:eastAsia="Times New Roman"/>
          <w:sz w:val="18"/>
        </w:rPr>
        <w:t>Ct≤38</w:t>
      </w:r>
      <w:r>
        <w:rPr>
          <w:sz w:val="18"/>
        </w:rPr>
        <w:t>；</w:t>
      </w:r>
    </w:p>
    <w:p>
      <w:pPr>
        <w:pStyle w:val="ListParagraph"/>
        <w:numPr>
          <w:ilvl w:val="1"/>
          <w:numId w:val="3"/>
        </w:numPr>
        <w:tabs>
          <w:tab w:pos="432" w:val="left" w:leader="none"/>
        </w:tabs>
        <w:spacing w:line="175" w:lineRule="exact" w:before="0" w:after="0"/>
        <w:ind w:left="432" w:right="0" w:hanging="305"/>
        <w:jc w:val="left"/>
        <w:rPr>
          <w:sz w:val="18"/>
        </w:rPr>
      </w:pPr>
      <w:r>
        <w:rPr>
          <w:spacing w:val="-3"/>
          <w:sz w:val="18"/>
        </w:rPr>
        <w:t>丙型肝炎病毒（</w:t>
      </w:r>
      <w:r>
        <w:rPr>
          <w:rFonts w:ascii="Times New Roman" w:hAnsi="Times New Roman" w:eastAsia="Times New Roman"/>
          <w:spacing w:val="-3"/>
          <w:sz w:val="18"/>
        </w:rPr>
        <w:t>HCV</w:t>
      </w:r>
      <w:r>
        <w:rPr>
          <w:spacing w:val="-3"/>
          <w:sz w:val="18"/>
        </w:rPr>
        <w:t>）阳性对照：检测浓度值的浓度范围</w:t>
      </w:r>
      <w:r>
        <w:rPr>
          <w:rFonts w:ascii="Times New Roman" w:hAnsi="Times New Roman" w:eastAsia="Times New Roman"/>
          <w:spacing w:val="-3"/>
          <w:sz w:val="18"/>
        </w:rPr>
        <w:t>1.58×10</w:t>
      </w:r>
      <w:r>
        <w:rPr>
          <w:rFonts w:ascii="Times New Roman" w:hAnsi="Times New Roman" w:eastAsia="Times New Roman"/>
          <w:spacing w:val="-3"/>
          <w:position w:val="6"/>
          <w:sz w:val="11"/>
        </w:rPr>
        <w:t>2</w:t>
      </w:r>
      <w:r>
        <w:rPr>
          <w:rFonts w:ascii="Times New Roman" w:hAnsi="Times New Roman" w:eastAsia="Times New Roman"/>
          <w:spacing w:val="-3"/>
          <w:sz w:val="18"/>
        </w:rPr>
        <w:t>~1.58×10</w:t>
      </w:r>
      <w:r>
        <w:rPr>
          <w:rFonts w:ascii="Times New Roman" w:hAnsi="Times New Roman" w:eastAsia="Times New Roman"/>
          <w:spacing w:val="-3"/>
          <w:position w:val="6"/>
          <w:sz w:val="11"/>
        </w:rPr>
        <w:t>3</w:t>
      </w:r>
      <w:r>
        <w:rPr>
          <w:rFonts w:ascii="Times New Roman" w:hAnsi="Times New Roman" w:eastAsia="Times New Roman"/>
          <w:spacing w:val="-3"/>
          <w:sz w:val="18"/>
        </w:rPr>
        <w:t>IU/mL</w:t>
      </w:r>
      <w:r>
        <w:rPr>
          <w:spacing w:val="-3"/>
          <w:sz w:val="18"/>
        </w:rPr>
        <w:t>；</w:t>
      </w:r>
    </w:p>
    <w:p>
      <w:pPr>
        <w:pStyle w:val="ListParagraph"/>
        <w:numPr>
          <w:ilvl w:val="1"/>
          <w:numId w:val="3"/>
        </w:numPr>
        <w:tabs>
          <w:tab w:pos="432" w:val="left" w:leader="none"/>
        </w:tabs>
        <w:spacing w:line="176" w:lineRule="exact" w:before="0" w:after="0"/>
        <w:ind w:left="432" w:right="0" w:hanging="305"/>
        <w:jc w:val="left"/>
        <w:rPr>
          <w:sz w:val="18"/>
        </w:rPr>
      </w:pPr>
      <w:r>
        <w:rPr>
          <w:spacing w:val="-3"/>
          <w:sz w:val="18"/>
        </w:rPr>
        <w:t>以上要求需在同一次实验中同时满足，否则，本次实验无效，需重新进行。</w:t>
      </w:r>
    </w:p>
    <w:p>
      <w:pPr>
        <w:pStyle w:val="Heading1"/>
      </w:pPr>
      <w:r>
        <w:rPr/>
        <w:t>【参考区间】</w:t>
      </w:r>
    </w:p>
    <w:p>
      <w:pPr>
        <w:pStyle w:val="BodyText"/>
        <w:spacing w:line="175" w:lineRule="exact"/>
        <w:ind w:left="484"/>
      </w:pPr>
      <w:r>
        <w:rPr/>
        <w:t>通过参考值的研究试验确定本试剂盒的检测下限为 </w:t>
      </w:r>
      <w:r>
        <w:rPr>
          <w:rFonts w:ascii="Times New Roman" w:eastAsia="Times New Roman"/>
        </w:rPr>
        <w:t>25 IU/mL</w:t>
      </w:r>
      <w:r>
        <w:rPr/>
        <w:t>；内标</w:t>
      </w:r>
      <w:r>
        <w:rPr>
          <w:rFonts w:ascii="Times New Roman" w:eastAsia="Times New Roman"/>
        </w:rPr>
        <w:t>Ct </w:t>
      </w:r>
      <w:r>
        <w:rPr/>
        <w:t>的参考值为 </w:t>
      </w:r>
      <w:r>
        <w:rPr>
          <w:rFonts w:ascii="Times New Roman" w:eastAsia="Times New Roman"/>
        </w:rPr>
        <w:t>38</w:t>
      </w:r>
      <w:r>
        <w:rPr/>
        <w:t>。</w:t>
      </w:r>
    </w:p>
    <w:p>
      <w:pPr>
        <w:pStyle w:val="Heading1"/>
      </w:pPr>
      <w:r>
        <w:rPr/>
        <w:t>【检验结果的解释】</w:t>
      </w:r>
    </w:p>
    <w:p>
      <w:pPr>
        <w:pStyle w:val="ListParagraph"/>
        <w:numPr>
          <w:ilvl w:val="0"/>
          <w:numId w:val="4"/>
        </w:numPr>
        <w:tabs>
          <w:tab w:pos="303" w:val="left" w:leader="none"/>
        </w:tabs>
        <w:spacing w:line="176" w:lineRule="exact" w:before="0" w:after="0"/>
        <w:ind w:left="302" w:right="0" w:hanging="174"/>
        <w:jc w:val="both"/>
        <w:rPr>
          <w:sz w:val="18"/>
        </w:rPr>
      </w:pPr>
      <w:r>
        <w:rPr>
          <w:spacing w:val="-10"/>
          <w:sz w:val="18"/>
        </w:rPr>
        <w:t>对于测定值在 </w:t>
      </w:r>
      <w:r>
        <w:rPr>
          <w:rFonts w:ascii="Times New Roman" w:eastAsia="Times New Roman"/>
          <w:sz w:val="18"/>
        </w:rPr>
        <w:t>5.0E+01</w:t>
      </w:r>
      <w:r>
        <w:rPr>
          <w:rFonts w:ascii="Times New Roman" w:eastAsia="Times New Roman"/>
          <w:spacing w:val="-8"/>
          <w:sz w:val="18"/>
        </w:rPr>
        <w:t> </w:t>
      </w:r>
      <w:r>
        <w:rPr>
          <w:rFonts w:ascii="Times New Roman" w:eastAsia="Times New Roman"/>
          <w:spacing w:val="-3"/>
          <w:sz w:val="18"/>
        </w:rPr>
        <w:t>IU/mL</w:t>
      </w:r>
      <w:r>
        <w:rPr>
          <w:spacing w:val="-3"/>
          <w:sz w:val="18"/>
        </w:rPr>
        <w:t>～</w:t>
      </w:r>
      <w:r>
        <w:rPr>
          <w:rFonts w:ascii="Times New Roman" w:eastAsia="Times New Roman"/>
          <w:spacing w:val="-3"/>
          <w:sz w:val="18"/>
        </w:rPr>
        <w:t>1.0E+08</w:t>
      </w:r>
      <w:r>
        <w:rPr>
          <w:rFonts w:ascii="Times New Roman" w:eastAsia="Times New Roman"/>
          <w:spacing w:val="-6"/>
          <w:sz w:val="18"/>
        </w:rPr>
        <w:t> </w:t>
      </w:r>
      <w:r>
        <w:rPr>
          <w:rFonts w:ascii="Times New Roman" w:eastAsia="Times New Roman"/>
          <w:sz w:val="18"/>
        </w:rPr>
        <w:t>IU/mL</w:t>
      </w:r>
      <w:r>
        <w:rPr>
          <w:rFonts w:ascii="Times New Roman" w:eastAsia="Times New Roman"/>
          <w:spacing w:val="-11"/>
          <w:sz w:val="18"/>
        </w:rPr>
        <w:t> </w:t>
      </w:r>
      <w:r>
        <w:rPr>
          <w:sz w:val="18"/>
        </w:rPr>
        <w:t>之间的样本，且扩增曲线成明显</w:t>
      </w:r>
      <w:r>
        <w:rPr>
          <w:rFonts w:ascii="Times New Roman" w:eastAsia="Times New Roman"/>
          <w:sz w:val="18"/>
        </w:rPr>
        <w:t>S</w:t>
      </w:r>
      <w:r>
        <w:rPr>
          <w:rFonts w:ascii="Times New Roman" w:eastAsia="Times New Roman"/>
          <w:spacing w:val="-12"/>
          <w:sz w:val="18"/>
        </w:rPr>
        <w:t> </w:t>
      </w:r>
      <w:r>
        <w:rPr>
          <w:spacing w:val="-3"/>
          <w:sz w:val="18"/>
        </w:rPr>
        <w:t>型，报告相应的测定结果；</w:t>
      </w:r>
    </w:p>
    <w:p>
      <w:pPr>
        <w:pStyle w:val="ListParagraph"/>
        <w:numPr>
          <w:ilvl w:val="0"/>
          <w:numId w:val="4"/>
        </w:numPr>
        <w:tabs>
          <w:tab w:pos="305" w:val="left" w:leader="none"/>
        </w:tabs>
        <w:spacing w:line="182" w:lineRule="auto" w:before="16" w:after="0"/>
        <w:ind w:left="307" w:right="132" w:hanging="178"/>
        <w:jc w:val="both"/>
        <w:rPr>
          <w:sz w:val="18"/>
        </w:rPr>
      </w:pPr>
      <w:r>
        <w:rPr>
          <w:sz w:val="18"/>
        </w:rPr>
        <w:t>对于测定值</w:t>
      </w:r>
      <w:r>
        <w:rPr>
          <w:rFonts w:ascii="Times New Roman" w:eastAsia="Times New Roman"/>
          <w:sz w:val="18"/>
        </w:rPr>
        <w:t>&gt;1.0E+08</w:t>
      </w:r>
      <w:r>
        <w:rPr>
          <w:rFonts w:ascii="Times New Roman" w:eastAsia="Times New Roman"/>
          <w:spacing w:val="-3"/>
          <w:sz w:val="18"/>
        </w:rPr>
        <w:t> IU/mL</w:t>
      </w:r>
      <w:r>
        <w:rPr>
          <w:rFonts w:ascii="Times New Roman" w:eastAsia="Times New Roman"/>
          <w:spacing w:val="-6"/>
          <w:sz w:val="18"/>
        </w:rPr>
        <w:t> </w:t>
      </w:r>
      <w:r>
        <w:rPr>
          <w:spacing w:val="-4"/>
          <w:sz w:val="18"/>
        </w:rPr>
        <w:t>的样本，且扩增曲线成明显 </w:t>
      </w:r>
      <w:r>
        <w:rPr>
          <w:rFonts w:ascii="Times New Roman" w:eastAsia="Times New Roman"/>
          <w:sz w:val="18"/>
        </w:rPr>
        <w:t>S</w:t>
      </w:r>
      <w:r>
        <w:rPr>
          <w:rFonts w:ascii="Times New Roman" w:eastAsia="Times New Roman"/>
          <w:spacing w:val="-8"/>
          <w:sz w:val="18"/>
        </w:rPr>
        <w:t> </w:t>
      </w:r>
      <w:r>
        <w:rPr>
          <w:sz w:val="18"/>
        </w:rPr>
        <w:t>型，报告注明</w:t>
      </w:r>
      <w:r>
        <w:rPr>
          <w:rFonts w:ascii="Times New Roman" w:eastAsia="Times New Roman"/>
          <w:sz w:val="18"/>
        </w:rPr>
        <w:t>&gt;1.0E+08</w:t>
      </w:r>
      <w:r>
        <w:rPr>
          <w:rFonts w:ascii="Times New Roman" w:eastAsia="Times New Roman"/>
          <w:spacing w:val="-6"/>
          <w:sz w:val="18"/>
        </w:rPr>
        <w:t> </w:t>
      </w:r>
      <w:r>
        <w:rPr>
          <w:rFonts w:ascii="Times New Roman" w:eastAsia="Times New Roman"/>
          <w:sz w:val="18"/>
        </w:rPr>
        <w:t>IU/mL</w:t>
      </w:r>
      <w:r>
        <w:rPr>
          <w:sz w:val="18"/>
        </w:rPr>
        <w:t>。若需精确定量可根据结果，将样本稀</w:t>
      </w:r>
      <w:r>
        <w:rPr>
          <w:spacing w:val="-18"/>
          <w:sz w:val="18"/>
        </w:rPr>
        <w:t>释至 </w:t>
      </w:r>
      <w:r>
        <w:rPr>
          <w:rFonts w:ascii="Times New Roman" w:eastAsia="Times New Roman"/>
          <w:sz w:val="18"/>
        </w:rPr>
        <w:t>1.0E+08</w:t>
      </w:r>
      <w:r>
        <w:rPr>
          <w:rFonts w:ascii="Times New Roman" w:eastAsia="Times New Roman"/>
          <w:spacing w:val="-8"/>
          <w:sz w:val="18"/>
        </w:rPr>
        <w:t> </w:t>
      </w:r>
      <w:r>
        <w:rPr>
          <w:rFonts w:ascii="Times New Roman" w:eastAsia="Times New Roman"/>
          <w:sz w:val="18"/>
        </w:rPr>
        <w:t>IU/mL</w:t>
      </w:r>
      <w:r>
        <w:rPr>
          <w:rFonts w:ascii="Times New Roman" w:eastAsia="Times New Roman"/>
          <w:spacing w:val="-11"/>
          <w:sz w:val="18"/>
        </w:rPr>
        <w:t> </w:t>
      </w:r>
      <w:r>
        <w:rPr>
          <w:spacing w:val="-3"/>
          <w:sz w:val="18"/>
        </w:rPr>
        <w:t>以下再复测；</w:t>
      </w:r>
    </w:p>
    <w:p>
      <w:pPr>
        <w:pStyle w:val="ListParagraph"/>
        <w:numPr>
          <w:ilvl w:val="0"/>
          <w:numId w:val="4"/>
        </w:numPr>
        <w:tabs>
          <w:tab w:pos="308" w:val="left" w:leader="none"/>
        </w:tabs>
        <w:spacing w:line="182" w:lineRule="auto" w:before="2" w:after="0"/>
        <w:ind w:left="307" w:right="135" w:hanging="178"/>
        <w:jc w:val="both"/>
        <w:rPr>
          <w:sz w:val="18"/>
        </w:rPr>
      </w:pPr>
      <w:r>
        <w:rPr>
          <w:spacing w:val="2"/>
          <w:sz w:val="18"/>
        </w:rPr>
        <w:t>对于测定值</w:t>
      </w:r>
      <w:r>
        <w:rPr>
          <w:rFonts w:ascii="Times New Roman" w:hAnsi="Times New Roman" w:eastAsia="Times New Roman"/>
          <w:sz w:val="18"/>
        </w:rPr>
        <w:t>≥25</w:t>
      </w:r>
      <w:r>
        <w:rPr>
          <w:rFonts w:ascii="Times New Roman" w:hAnsi="Times New Roman" w:eastAsia="Times New Roman"/>
          <w:spacing w:val="-2"/>
          <w:sz w:val="18"/>
        </w:rPr>
        <w:t> </w:t>
      </w:r>
      <w:r>
        <w:rPr>
          <w:rFonts w:ascii="Times New Roman" w:hAnsi="Times New Roman" w:eastAsia="Times New Roman"/>
          <w:sz w:val="18"/>
        </w:rPr>
        <w:t>IU/mL</w:t>
      </w:r>
      <w:r>
        <w:rPr>
          <w:spacing w:val="2"/>
          <w:sz w:val="18"/>
        </w:rPr>
        <w:t>，而</w:t>
      </w:r>
      <w:r>
        <w:rPr>
          <w:rFonts w:ascii="Times New Roman" w:hAnsi="Times New Roman" w:eastAsia="Times New Roman"/>
          <w:sz w:val="18"/>
        </w:rPr>
        <w:t>&lt;5.0E+01</w:t>
      </w:r>
      <w:r>
        <w:rPr>
          <w:rFonts w:ascii="Times New Roman" w:hAnsi="Times New Roman" w:eastAsia="Times New Roman"/>
          <w:spacing w:val="-5"/>
          <w:sz w:val="18"/>
        </w:rPr>
        <w:t> </w:t>
      </w:r>
      <w:r>
        <w:rPr>
          <w:rFonts w:ascii="Times New Roman" w:hAnsi="Times New Roman" w:eastAsia="Times New Roman"/>
          <w:sz w:val="18"/>
        </w:rPr>
        <w:t>IU/mL</w:t>
      </w:r>
      <w:r>
        <w:rPr>
          <w:rFonts w:ascii="Times New Roman" w:hAnsi="Times New Roman" w:eastAsia="Times New Roman"/>
          <w:spacing w:val="-9"/>
          <w:sz w:val="18"/>
        </w:rPr>
        <w:t> </w:t>
      </w:r>
      <w:r>
        <w:rPr>
          <w:spacing w:val="-4"/>
          <w:sz w:val="18"/>
        </w:rPr>
        <w:t>的样本，且扩增曲线成明显 </w:t>
      </w:r>
      <w:r>
        <w:rPr>
          <w:rFonts w:ascii="Times New Roman" w:hAnsi="Times New Roman" w:eastAsia="Times New Roman"/>
          <w:sz w:val="18"/>
        </w:rPr>
        <w:t>S</w:t>
      </w:r>
      <w:r>
        <w:rPr>
          <w:rFonts w:ascii="Times New Roman" w:hAnsi="Times New Roman" w:eastAsia="Times New Roman"/>
          <w:spacing w:val="-11"/>
          <w:sz w:val="18"/>
        </w:rPr>
        <w:t> </w:t>
      </w:r>
      <w:r>
        <w:rPr>
          <w:spacing w:val="-4"/>
          <w:sz w:val="18"/>
        </w:rPr>
        <w:t>型，同时，内标检测为阳性且 </w:t>
      </w:r>
      <w:r>
        <w:rPr>
          <w:rFonts w:ascii="Times New Roman" w:hAnsi="Times New Roman" w:eastAsia="Times New Roman"/>
          <w:sz w:val="18"/>
        </w:rPr>
        <w:t>Ct≤38</w:t>
      </w:r>
      <w:r>
        <w:rPr>
          <w:sz w:val="18"/>
        </w:rPr>
        <w:t>，表明病毒载量</w:t>
      </w:r>
      <w:r>
        <w:rPr>
          <w:spacing w:val="-3"/>
          <w:sz w:val="18"/>
        </w:rPr>
        <w:t>低，可直接报告测定值，但注明：所测定量结果仅供参考。</w:t>
      </w:r>
    </w:p>
    <w:p>
      <w:pPr>
        <w:pStyle w:val="ListParagraph"/>
        <w:numPr>
          <w:ilvl w:val="0"/>
          <w:numId w:val="4"/>
        </w:numPr>
        <w:tabs>
          <w:tab w:pos="310" w:val="left" w:leader="none"/>
        </w:tabs>
        <w:spacing w:line="182" w:lineRule="auto" w:before="0" w:after="0"/>
        <w:ind w:left="307" w:right="137" w:hanging="178"/>
        <w:jc w:val="both"/>
        <w:rPr>
          <w:sz w:val="18"/>
        </w:rPr>
      </w:pPr>
      <w:r>
        <w:rPr>
          <w:spacing w:val="4"/>
          <w:sz w:val="18"/>
        </w:rPr>
        <w:t>对于测定值</w:t>
      </w:r>
      <w:r>
        <w:rPr>
          <w:rFonts w:ascii="Times New Roman" w:hAnsi="Times New Roman" w:eastAsia="Times New Roman"/>
          <w:spacing w:val="-3"/>
          <w:sz w:val="18"/>
        </w:rPr>
        <w:t>&lt;25IU/mL</w:t>
      </w:r>
      <w:r>
        <w:rPr>
          <w:rFonts w:ascii="Times New Roman" w:hAnsi="Times New Roman" w:eastAsia="Times New Roman"/>
          <w:spacing w:val="-2"/>
          <w:sz w:val="18"/>
        </w:rPr>
        <w:t> </w:t>
      </w:r>
      <w:r>
        <w:rPr>
          <w:sz w:val="18"/>
        </w:rPr>
        <w:t>的样本，同时，内标检测为阳性且 </w:t>
      </w:r>
      <w:r>
        <w:rPr>
          <w:rFonts w:ascii="Times New Roman" w:hAnsi="Times New Roman" w:eastAsia="Times New Roman"/>
          <w:sz w:val="18"/>
        </w:rPr>
        <w:t>Ct≤38</w:t>
      </w:r>
      <w:r>
        <w:rPr>
          <w:spacing w:val="3"/>
          <w:sz w:val="18"/>
        </w:rPr>
        <w:t>，则报告丙型肝炎病毒</w:t>
      </w:r>
      <w:r>
        <w:rPr>
          <w:sz w:val="18"/>
        </w:rPr>
        <w:t>（</w:t>
      </w:r>
      <w:r>
        <w:rPr>
          <w:rFonts w:ascii="Times New Roman" w:hAnsi="Times New Roman" w:eastAsia="Times New Roman"/>
          <w:sz w:val="18"/>
        </w:rPr>
        <w:t>HCV</w:t>
      </w:r>
      <w:r>
        <w:rPr>
          <w:sz w:val="18"/>
        </w:rPr>
        <w:t>）</w:t>
      </w:r>
      <w:r>
        <w:rPr>
          <w:spacing w:val="-34"/>
          <w:sz w:val="18"/>
        </w:rPr>
        <w:t> </w:t>
      </w:r>
      <w:r>
        <w:rPr>
          <w:rFonts w:ascii="Times New Roman" w:hAnsi="Times New Roman" w:eastAsia="Times New Roman"/>
          <w:sz w:val="18"/>
        </w:rPr>
        <w:t>RNA</w:t>
      </w:r>
      <w:r>
        <w:rPr>
          <w:rFonts w:ascii="Times New Roman" w:hAnsi="Times New Roman" w:eastAsia="Times New Roman"/>
          <w:spacing w:val="-4"/>
          <w:sz w:val="18"/>
        </w:rPr>
        <w:t> </w:t>
      </w:r>
      <w:r>
        <w:rPr>
          <w:spacing w:val="3"/>
          <w:sz w:val="18"/>
        </w:rPr>
        <w:t>含量低于试剂盒检测下限；若内标不正常（</w:t>
      </w:r>
      <w:r>
        <w:rPr>
          <w:rFonts w:ascii="Times New Roman" w:hAnsi="Times New Roman" w:eastAsia="Times New Roman"/>
          <w:spacing w:val="3"/>
          <w:sz w:val="18"/>
        </w:rPr>
        <w:t>Ct&gt;38</w:t>
      </w:r>
      <w:r>
        <w:rPr>
          <w:rFonts w:ascii="Times New Roman" w:hAnsi="Times New Roman" w:eastAsia="Times New Roman"/>
          <w:spacing w:val="27"/>
          <w:sz w:val="18"/>
        </w:rPr>
        <w:t> </w:t>
      </w:r>
      <w:r>
        <w:rPr>
          <w:sz w:val="18"/>
        </w:rPr>
        <w:t>或无数值），则该样本的检测结果无效，应查找并排除原因，并对此样本进行重复实验（若重复试</w:t>
      </w:r>
      <w:r>
        <w:rPr>
          <w:spacing w:val="-3"/>
          <w:sz w:val="18"/>
        </w:rPr>
        <w:t>验的检测结果仍无效，请与本公司联系）</w:t>
      </w:r>
      <w:r>
        <w:rPr>
          <w:sz w:val="18"/>
        </w:rPr>
        <w:t>。</w:t>
      </w:r>
    </w:p>
    <w:p>
      <w:pPr>
        <w:pStyle w:val="Heading1"/>
        <w:spacing w:line="163" w:lineRule="exact"/>
      </w:pPr>
      <w:r>
        <w:rPr/>
        <w:t>【检验方法的局限性】</w:t>
      </w:r>
    </w:p>
    <w:p>
      <w:pPr>
        <w:pStyle w:val="BodyText"/>
        <w:spacing w:line="182" w:lineRule="auto" w:before="17"/>
        <w:ind w:right="265" w:firstLine="357"/>
      </w:pPr>
      <w:r>
        <w:rPr>
          <w:spacing w:val="-3"/>
        </w:rPr>
        <w:t>样本检测结果与样本收集、处理、运送及保存质量有关，其中任何失误都将会导致结果不准确。如果样本处理时没有控制好交叉污染，可能出现假阳性结果。</w:t>
      </w:r>
    </w:p>
    <w:p>
      <w:pPr>
        <w:pStyle w:val="Heading1"/>
        <w:spacing w:line="161" w:lineRule="exact"/>
      </w:pPr>
      <w:r>
        <w:rPr/>
        <w:t>【产品性能指标】</w:t>
      </w:r>
    </w:p>
    <w:p>
      <w:pPr>
        <w:pStyle w:val="BodyText"/>
        <w:spacing w:line="182" w:lineRule="auto" w:before="16"/>
        <w:ind w:right="142" w:firstLine="357"/>
      </w:pPr>
      <w:r>
        <w:rPr>
          <w:spacing w:val="-5"/>
        </w:rPr>
        <w:t>本试剂盒检测中国食品药品检定研究院的丙型肝炎病毒核酸国家参考品，阴、阳性参考品符合率为 </w:t>
      </w:r>
      <w:r>
        <w:rPr>
          <w:rFonts w:ascii="Times New Roman" w:eastAsia="Times New Roman"/>
          <w:spacing w:val="-3"/>
        </w:rPr>
        <w:t>100%</w:t>
      </w:r>
      <w:r>
        <w:rPr>
          <w:spacing w:val="-3"/>
        </w:rPr>
        <w:t>，最低检出量定量标</w:t>
      </w:r>
      <w:r>
        <w:rPr>
          <w:spacing w:val="-7"/>
        </w:rPr>
        <w:t>准品及其梯度稀释的标准品 </w:t>
      </w:r>
      <w:r>
        <w:rPr>
          <w:rFonts w:ascii="Times New Roman" w:eastAsia="Times New Roman"/>
        </w:rPr>
        <w:t>1E2-1E6 </w:t>
      </w:r>
      <w:r>
        <w:rPr>
          <w:rFonts w:ascii="Times New Roman" w:eastAsia="Times New Roman"/>
          <w:spacing w:val="-3"/>
        </w:rPr>
        <w:t>IU/mL </w:t>
      </w:r>
      <w:r>
        <w:rPr>
          <w:spacing w:val="-3"/>
        </w:rPr>
        <w:t>全部检测为阳性，定量范围符合质量标准。</w:t>
      </w:r>
    </w:p>
    <w:p>
      <w:pPr>
        <w:pStyle w:val="BodyText"/>
        <w:spacing w:line="161" w:lineRule="exact"/>
        <w:ind w:left="484"/>
      </w:pPr>
      <w:r>
        <w:rPr/>
        <w:t>本试剂盒与甲型肝炎病毒（</w:t>
      </w:r>
      <w:r>
        <w:rPr>
          <w:rFonts w:ascii="Times New Roman" w:eastAsia="Times New Roman"/>
        </w:rPr>
        <w:t>HAV</w:t>
      </w:r>
      <w:r>
        <w:rPr/>
        <w:t>）、乙型肝炎病毒（</w:t>
      </w:r>
      <w:r>
        <w:rPr>
          <w:rFonts w:ascii="Times New Roman" w:eastAsia="Times New Roman"/>
        </w:rPr>
        <w:t>HBV</w:t>
      </w:r>
      <w:r>
        <w:rPr/>
        <w:t>）、人类免疫缺陷病毒（</w:t>
      </w:r>
      <w:r>
        <w:rPr>
          <w:rFonts w:ascii="Times New Roman" w:eastAsia="Times New Roman"/>
        </w:rPr>
        <w:t>HIV</w:t>
      </w:r>
      <w:r>
        <w:rPr/>
        <w:t>）、</w:t>
      </w:r>
      <w:r>
        <w:rPr>
          <w:color w:val="333333"/>
        </w:rPr>
        <w:t>梅毒螺旋体</w:t>
      </w:r>
      <w:r>
        <w:rPr/>
        <w:t>（</w:t>
      </w:r>
      <w:r>
        <w:rPr>
          <w:rFonts w:ascii="Times New Roman" w:eastAsia="Times New Roman"/>
        </w:rPr>
        <w:t>TP</w:t>
      </w:r>
      <w:r>
        <w:rPr/>
        <w:t>）、巨细胞病毒</w:t>
      </w:r>
    </w:p>
    <w:p>
      <w:pPr>
        <w:pStyle w:val="BodyText"/>
        <w:spacing w:line="182" w:lineRule="auto" w:before="17"/>
        <w:ind w:left="484" w:right="2890" w:hanging="358"/>
      </w:pPr>
      <w:r>
        <w:rPr/>
        <w:t>（</w:t>
      </w:r>
      <w:r>
        <w:rPr>
          <w:rFonts w:ascii="Times New Roman" w:hAnsi="Times New Roman" w:eastAsia="Times New Roman"/>
        </w:rPr>
        <w:t>CMV</w:t>
      </w:r>
      <w:r>
        <w:rPr/>
        <w:t>）、</w:t>
      </w:r>
      <w:r>
        <w:rPr>
          <w:rFonts w:ascii="Times New Roman" w:hAnsi="Times New Roman" w:eastAsia="Times New Roman"/>
        </w:rPr>
        <w:t>Epstein-Barr </w:t>
      </w:r>
      <w:r>
        <w:rPr/>
        <w:t>病毒（</w:t>
      </w:r>
      <w:r>
        <w:rPr>
          <w:rFonts w:ascii="Times New Roman" w:hAnsi="Times New Roman" w:eastAsia="Times New Roman"/>
        </w:rPr>
        <w:t>EBV</w:t>
      </w:r>
      <w:r>
        <w:rPr/>
        <w:t>）、单纯疱疹病毒（</w:t>
      </w:r>
      <w:r>
        <w:rPr>
          <w:rFonts w:ascii="Times New Roman" w:hAnsi="Times New Roman" w:eastAsia="Times New Roman"/>
        </w:rPr>
        <w:t>HSV</w:t>
      </w:r>
      <w:r>
        <w:rPr/>
        <w:t>）病原体感染样本无交叉反应。</w:t>
      </w:r>
      <w:r>
        <w:rPr>
          <w:spacing w:val="-7"/>
        </w:rPr>
        <w:t>本试剂盒的最低检出量为 </w:t>
      </w:r>
      <w:r>
        <w:rPr>
          <w:rFonts w:ascii="Times New Roman" w:hAnsi="Times New Roman" w:eastAsia="Times New Roman"/>
        </w:rPr>
        <w:t>25 </w:t>
      </w:r>
      <w:r>
        <w:rPr>
          <w:rFonts w:ascii="Times New Roman" w:hAnsi="Times New Roman" w:eastAsia="Times New Roman"/>
          <w:spacing w:val="-3"/>
        </w:rPr>
        <w:t>IU/mL</w:t>
      </w:r>
      <w:r>
        <w:rPr>
          <w:spacing w:val="-8"/>
        </w:rPr>
        <w:t>，定量线性范围为 </w:t>
      </w:r>
      <w:r>
        <w:rPr>
          <w:rFonts w:ascii="Times New Roman" w:hAnsi="Times New Roman" w:eastAsia="Times New Roman"/>
        </w:rPr>
        <w:t>5.0E+01 </w:t>
      </w:r>
      <w:r>
        <w:rPr>
          <w:rFonts w:ascii="Times New Roman" w:hAnsi="Times New Roman" w:eastAsia="Times New Roman"/>
          <w:spacing w:val="-3"/>
        </w:rPr>
        <w:t>IU/mL</w:t>
      </w:r>
      <w:r>
        <w:rPr>
          <w:spacing w:val="-3"/>
        </w:rPr>
        <w:t>～</w:t>
      </w:r>
      <w:r>
        <w:rPr>
          <w:rFonts w:ascii="Times New Roman" w:hAnsi="Times New Roman" w:eastAsia="Times New Roman"/>
          <w:spacing w:val="-3"/>
        </w:rPr>
        <w:t>1.0E+08 IU/mL</w:t>
      </w:r>
      <w:r>
        <w:rPr>
          <w:spacing w:val="-2"/>
        </w:rPr>
        <w:t>。精</w:t>
      </w:r>
      <w:r>
        <w:rPr>
          <w:spacing w:val="-3"/>
        </w:rPr>
        <w:t>密度试验表明：批内和批间重复性好，检测浓度对数值的变异系数（</w:t>
      </w:r>
      <w:r>
        <w:rPr>
          <w:rFonts w:ascii="Times New Roman" w:hAnsi="Times New Roman" w:eastAsia="Times New Roman"/>
          <w:spacing w:val="-3"/>
        </w:rPr>
        <w:t>CV</w:t>
      </w:r>
      <w:r>
        <w:rPr>
          <w:spacing w:val="-3"/>
        </w:rPr>
        <w:t>，</w:t>
      </w:r>
      <w:r>
        <w:rPr>
          <w:rFonts w:ascii="Times New Roman" w:hAnsi="Times New Roman" w:eastAsia="Times New Roman"/>
          <w:spacing w:val="-3"/>
        </w:rPr>
        <w:t>%</w:t>
      </w:r>
      <w:r>
        <w:rPr>
          <w:spacing w:val="-3"/>
        </w:rPr>
        <w:t>）</w:t>
      </w:r>
      <w:r>
        <w:rPr>
          <w:rFonts w:ascii="Times New Roman" w:hAnsi="Times New Roman" w:eastAsia="Times New Roman"/>
          <w:spacing w:val="-3"/>
        </w:rPr>
        <w:t>≤5%</w:t>
      </w:r>
      <w:r>
        <w:rPr/>
        <w:t>。</w:t>
      </w:r>
    </w:p>
    <w:p>
      <w:pPr>
        <w:pStyle w:val="BodyText"/>
        <w:spacing w:line="162" w:lineRule="exact"/>
        <w:ind w:left="484"/>
      </w:pPr>
      <w:r>
        <w:rPr/>
        <w:t>血红蛋白（</w:t>
      </w:r>
      <w:r>
        <w:rPr>
          <w:rFonts w:ascii="Times New Roman" w:hAnsi="Times New Roman" w:eastAsia="Times New Roman"/>
        </w:rPr>
        <w:t>≤2g/dL</w:t>
      </w:r>
      <w:r>
        <w:rPr/>
        <w:t>）、总胆红素（</w:t>
      </w:r>
      <w:r>
        <w:rPr>
          <w:rFonts w:ascii="Times New Roman" w:hAnsi="Times New Roman" w:eastAsia="Times New Roman"/>
        </w:rPr>
        <w:t>≤28mg/dL</w:t>
      </w:r>
      <w:r>
        <w:rPr/>
        <w:t>）、甘油三酯（</w:t>
      </w:r>
      <w:r>
        <w:rPr>
          <w:rFonts w:ascii="Times New Roman" w:hAnsi="Times New Roman" w:eastAsia="Times New Roman"/>
        </w:rPr>
        <w:t>≤3000mg/dL</w:t>
      </w:r>
      <w:r>
        <w:rPr/>
        <w:t>）、总</w:t>
      </w:r>
      <w:r>
        <w:rPr>
          <w:rFonts w:ascii="Times New Roman" w:hAnsi="Times New Roman" w:eastAsia="Times New Roman"/>
        </w:rPr>
        <w:t>IgG</w:t>
      </w:r>
      <w:r>
        <w:rPr/>
        <w:t>（</w:t>
      </w:r>
      <w:r>
        <w:rPr>
          <w:rFonts w:ascii="Times New Roman" w:hAnsi="Times New Roman" w:eastAsia="Times New Roman"/>
        </w:rPr>
        <w:t>≤40g/L</w:t>
      </w:r>
      <w:r>
        <w:rPr/>
        <w:t>）对检测结果没有影响。</w:t>
      </w:r>
    </w:p>
    <w:p>
      <w:pPr>
        <w:pStyle w:val="Heading1"/>
        <w:spacing w:line="175" w:lineRule="exact"/>
      </w:pPr>
      <w:r>
        <w:rPr/>
        <w:t>【注意事项】</w:t>
      </w:r>
    </w:p>
    <w:p>
      <w:pPr>
        <w:pStyle w:val="ListParagraph"/>
        <w:numPr>
          <w:ilvl w:val="0"/>
          <w:numId w:val="5"/>
        </w:numPr>
        <w:tabs>
          <w:tab w:pos="300" w:val="left" w:leader="none"/>
        </w:tabs>
        <w:spacing w:line="176" w:lineRule="exact" w:before="0" w:after="0"/>
        <w:ind w:left="300" w:right="0" w:hanging="176"/>
        <w:jc w:val="left"/>
        <w:rPr>
          <w:sz w:val="18"/>
        </w:rPr>
      </w:pPr>
      <w:r>
        <w:rPr>
          <w:spacing w:val="-3"/>
          <w:sz w:val="18"/>
        </w:rPr>
        <w:t>本品仅用于体外诊断，使用前请仔细阅读本说明书。</w:t>
      </w:r>
    </w:p>
    <w:p>
      <w:pPr>
        <w:pStyle w:val="ListParagraph"/>
        <w:numPr>
          <w:ilvl w:val="0"/>
          <w:numId w:val="5"/>
        </w:numPr>
        <w:tabs>
          <w:tab w:pos="300" w:val="left" w:leader="none"/>
        </w:tabs>
        <w:spacing w:line="176" w:lineRule="exact" w:before="0" w:after="0"/>
        <w:ind w:left="300" w:right="0" w:hanging="176"/>
        <w:jc w:val="left"/>
        <w:rPr>
          <w:sz w:val="18"/>
        </w:rPr>
      </w:pPr>
      <w:r>
        <w:rPr>
          <w:spacing w:val="-3"/>
          <w:sz w:val="18"/>
        </w:rPr>
        <w:t>实验前请熟悉和掌握需使用的各种仪器的操作方法和注意事项，对每次实验进行质量控制。</w:t>
      </w:r>
    </w:p>
    <w:p>
      <w:pPr>
        <w:pStyle w:val="ListParagraph"/>
        <w:numPr>
          <w:ilvl w:val="0"/>
          <w:numId w:val="5"/>
        </w:numPr>
        <w:tabs>
          <w:tab w:pos="303" w:val="left" w:leader="none"/>
        </w:tabs>
        <w:spacing w:line="182" w:lineRule="auto" w:before="16" w:after="0"/>
        <w:ind w:left="302" w:right="142" w:hanging="176"/>
        <w:jc w:val="both"/>
        <w:rPr>
          <w:sz w:val="18"/>
        </w:rPr>
      </w:pPr>
      <w:r>
        <w:rPr>
          <w:sz w:val="18"/>
        </w:rPr>
        <w:t>实验室管理应严格按照</w:t>
      </w:r>
      <w:r>
        <w:rPr>
          <w:rFonts w:ascii="Times New Roman" w:eastAsia="Times New Roman"/>
          <w:sz w:val="18"/>
        </w:rPr>
        <w:t>PCR</w:t>
      </w:r>
      <w:r>
        <w:rPr>
          <w:sz w:val="18"/>
        </w:rPr>
        <w:t>基因扩增实验室的管理规范，实验人员必须进行专业培训，实验过程严格分区进行，所用消耗品应</w:t>
      </w:r>
      <w:r>
        <w:rPr>
          <w:spacing w:val="-3"/>
          <w:sz w:val="18"/>
        </w:rPr>
        <w:t>灭菌后一次性使用，实验操作的每个阶段使用专用的仪器和设备，各区各阶段用品不能交叉使用。</w:t>
      </w:r>
    </w:p>
    <w:p>
      <w:pPr>
        <w:pStyle w:val="ListParagraph"/>
        <w:numPr>
          <w:ilvl w:val="0"/>
          <w:numId w:val="5"/>
        </w:numPr>
        <w:tabs>
          <w:tab w:pos="303" w:val="left" w:leader="none"/>
        </w:tabs>
        <w:spacing w:line="182" w:lineRule="auto" w:before="2" w:after="0"/>
        <w:ind w:left="302" w:right="144" w:hanging="176"/>
        <w:jc w:val="both"/>
        <w:rPr>
          <w:sz w:val="18"/>
        </w:rPr>
      </w:pPr>
      <w:r>
        <w:rPr>
          <w:sz w:val="18"/>
        </w:rPr>
        <w:t>所有的试剂在使用前，均需在室温下充分融化、混匀后使用。提取样本核酸前，请确保提取试剂</w:t>
      </w:r>
      <w:r>
        <w:rPr>
          <w:rFonts w:ascii="Times New Roman" w:hAnsi="Times New Roman" w:eastAsia="Times New Roman"/>
          <w:sz w:val="18"/>
        </w:rPr>
        <w:t>1</w:t>
      </w:r>
      <w:r>
        <w:rPr>
          <w:sz w:val="18"/>
        </w:rPr>
        <w:t>、</w:t>
      </w:r>
      <w:r>
        <w:rPr>
          <w:rFonts w:ascii="Times New Roman" w:hAnsi="Times New Roman" w:eastAsia="Times New Roman"/>
          <w:sz w:val="18"/>
        </w:rPr>
        <w:t>2</w:t>
      </w:r>
      <w:r>
        <w:rPr>
          <w:sz w:val="18"/>
        </w:rPr>
        <w:t>、</w:t>
      </w:r>
      <w:r>
        <w:rPr>
          <w:rFonts w:ascii="Times New Roman" w:hAnsi="Times New Roman" w:eastAsia="Times New Roman"/>
          <w:sz w:val="18"/>
        </w:rPr>
        <w:t>3</w:t>
      </w:r>
      <w:r>
        <w:rPr>
          <w:sz w:val="18"/>
        </w:rPr>
        <w:t>、</w:t>
      </w:r>
      <w:r>
        <w:rPr>
          <w:rFonts w:ascii="Times New Roman" w:hAnsi="Times New Roman" w:eastAsia="Times New Roman"/>
          <w:sz w:val="18"/>
        </w:rPr>
        <w:t>4</w:t>
      </w:r>
      <w:r>
        <w:rPr>
          <w:sz w:val="18"/>
        </w:rPr>
        <w:t>的温度平衡至室温</w:t>
      </w:r>
      <w:r>
        <w:rPr>
          <w:spacing w:val="-1"/>
          <w:sz w:val="18"/>
        </w:rPr>
        <w:t>或以上，建议室温放置</w:t>
      </w:r>
      <w:r>
        <w:rPr>
          <w:rFonts w:ascii="Times New Roman" w:hAnsi="Times New Roman" w:eastAsia="Times New Roman"/>
          <w:sz w:val="18"/>
        </w:rPr>
        <w:t>1</w:t>
      </w:r>
      <w:r>
        <w:rPr>
          <w:spacing w:val="-1"/>
          <w:sz w:val="18"/>
        </w:rPr>
        <w:t>小时以上或置于</w:t>
      </w:r>
      <w:r>
        <w:rPr>
          <w:rFonts w:ascii="Times New Roman" w:hAnsi="Times New Roman" w:eastAsia="Times New Roman"/>
          <w:spacing w:val="-2"/>
          <w:sz w:val="18"/>
        </w:rPr>
        <w:t>30</w:t>
      </w:r>
      <w:r>
        <w:rPr>
          <w:spacing w:val="-15"/>
          <w:sz w:val="18"/>
        </w:rPr>
        <w:t>℃ 水浴</w:t>
      </w:r>
      <w:r>
        <w:rPr>
          <w:rFonts w:ascii="Times New Roman" w:hAnsi="Times New Roman" w:eastAsia="Times New Roman"/>
          <w:sz w:val="18"/>
        </w:rPr>
        <w:t>30</w:t>
      </w:r>
      <w:r>
        <w:rPr>
          <w:spacing w:val="-2"/>
          <w:sz w:val="18"/>
        </w:rPr>
        <w:t>分钟以上。静置的提取试剂</w:t>
      </w:r>
      <w:r>
        <w:rPr>
          <w:rFonts w:ascii="Times New Roman" w:hAnsi="Times New Roman" w:eastAsia="Times New Roman"/>
          <w:sz w:val="18"/>
        </w:rPr>
        <w:t>1</w:t>
      </w:r>
      <w:r>
        <w:rPr>
          <w:spacing w:val="-3"/>
          <w:sz w:val="18"/>
        </w:rPr>
        <w:t>会形成棕色沉淀，使用前须充分混匀。丙型肝炎病毒</w:t>
      </w:r>
      <w:r>
        <w:rPr>
          <w:sz w:val="18"/>
        </w:rPr>
        <w:t>（</w:t>
      </w:r>
      <w:r>
        <w:rPr>
          <w:rFonts w:ascii="Times New Roman" w:hAnsi="Times New Roman" w:eastAsia="Times New Roman"/>
          <w:sz w:val="18"/>
        </w:rPr>
        <w:t>HCV</w:t>
      </w:r>
      <w:r>
        <w:rPr>
          <w:sz w:val="18"/>
        </w:rPr>
        <w:t>）</w:t>
      </w:r>
      <w:r>
        <w:rPr>
          <w:spacing w:val="-3"/>
          <w:sz w:val="18"/>
        </w:rPr>
        <w:t>增强剂易粘着于管壁，使用前请瞬时离心数秒。</w:t>
      </w:r>
    </w:p>
    <w:p>
      <w:pPr>
        <w:pStyle w:val="ListParagraph"/>
        <w:numPr>
          <w:ilvl w:val="0"/>
          <w:numId w:val="5"/>
        </w:numPr>
        <w:tabs>
          <w:tab w:pos="303" w:val="left" w:leader="none"/>
        </w:tabs>
        <w:spacing w:line="182" w:lineRule="auto" w:before="2" w:after="0"/>
        <w:ind w:left="302" w:right="142" w:hanging="176"/>
        <w:jc w:val="both"/>
        <w:rPr>
          <w:sz w:val="18"/>
        </w:rPr>
      </w:pPr>
      <w:r>
        <w:rPr>
          <w:sz w:val="18"/>
        </w:rPr>
        <w:t>对于检测为阴性的样本，应确定丙型肝炎病毒（</w:t>
      </w:r>
      <w:r>
        <w:rPr>
          <w:rFonts w:ascii="Times New Roman" w:eastAsia="Times New Roman"/>
          <w:sz w:val="18"/>
        </w:rPr>
        <w:t>HCV</w:t>
      </w:r>
      <w:r>
        <w:rPr>
          <w:sz w:val="18"/>
        </w:rPr>
        <w:t>）</w:t>
      </w:r>
      <w:r>
        <w:rPr>
          <w:spacing w:val="-1"/>
          <w:sz w:val="18"/>
        </w:rPr>
        <w:t>内标的扩增信号是否正常，以保证实验操作和检测试剂的正常使用以及</w:t>
      </w:r>
      <w:r>
        <w:rPr>
          <w:spacing w:val="-3"/>
          <w:sz w:val="18"/>
        </w:rPr>
        <w:t>抑制样本的出现，避免假阴性结果；对于阳性检测样本，丙型肝炎病毒（</w:t>
      </w:r>
      <w:r>
        <w:rPr>
          <w:rFonts w:ascii="Times New Roman" w:eastAsia="Times New Roman"/>
          <w:spacing w:val="-3"/>
          <w:sz w:val="18"/>
        </w:rPr>
        <w:t>HCV</w:t>
      </w:r>
      <w:r>
        <w:rPr>
          <w:spacing w:val="-3"/>
          <w:sz w:val="18"/>
        </w:rPr>
        <w:t>）内标的扩增信号可不予考虑。</w:t>
      </w:r>
    </w:p>
    <w:p>
      <w:pPr>
        <w:pStyle w:val="ListParagraph"/>
        <w:numPr>
          <w:ilvl w:val="0"/>
          <w:numId w:val="5"/>
        </w:numPr>
        <w:tabs>
          <w:tab w:pos="303" w:val="left" w:leader="none"/>
        </w:tabs>
        <w:spacing w:line="184" w:lineRule="auto" w:before="0" w:after="0"/>
        <w:ind w:left="302" w:right="137" w:hanging="176"/>
        <w:jc w:val="both"/>
        <w:rPr>
          <w:sz w:val="18"/>
        </w:rPr>
      </w:pPr>
      <w:r>
        <w:rPr>
          <w:spacing w:val="-1"/>
          <w:sz w:val="18"/>
        </w:rPr>
        <w:t>由于丙型肝炎病毒</w:t>
      </w:r>
      <w:r>
        <w:rPr>
          <w:sz w:val="18"/>
        </w:rPr>
        <w:t>（</w:t>
      </w:r>
      <w:r>
        <w:rPr>
          <w:rFonts w:ascii="Times New Roman" w:eastAsia="Times New Roman"/>
          <w:sz w:val="18"/>
        </w:rPr>
        <w:t>HCV</w:t>
      </w:r>
      <w:r>
        <w:rPr>
          <w:sz w:val="18"/>
        </w:rPr>
        <w:t>）</w:t>
      </w:r>
      <w:r>
        <w:rPr>
          <w:spacing w:val="43"/>
          <w:sz w:val="18"/>
        </w:rPr>
        <w:t>为</w:t>
      </w:r>
      <w:r>
        <w:rPr>
          <w:rFonts w:ascii="Times New Roman" w:eastAsia="Times New Roman"/>
          <w:sz w:val="18"/>
        </w:rPr>
        <w:t>RNA</w:t>
      </w:r>
      <w:r>
        <w:rPr>
          <w:rFonts w:ascii="Times New Roman" w:eastAsia="Times New Roman"/>
          <w:spacing w:val="-19"/>
          <w:sz w:val="18"/>
        </w:rPr>
        <w:t> </w:t>
      </w:r>
      <w:r>
        <w:rPr>
          <w:spacing w:val="1"/>
          <w:sz w:val="18"/>
        </w:rPr>
        <w:t>病毒，操作过程中应特别注意防止</w:t>
      </w:r>
      <w:r>
        <w:rPr>
          <w:rFonts w:ascii="Times New Roman" w:eastAsia="Times New Roman"/>
          <w:sz w:val="18"/>
        </w:rPr>
        <w:t>RNase</w:t>
      </w:r>
      <w:r>
        <w:rPr>
          <w:rFonts w:ascii="Times New Roman" w:eastAsia="Times New Roman"/>
          <w:spacing w:val="-19"/>
          <w:sz w:val="18"/>
        </w:rPr>
        <w:t> </w:t>
      </w:r>
      <w:r>
        <w:rPr>
          <w:spacing w:val="43"/>
          <w:sz w:val="18"/>
        </w:rPr>
        <w:t>对</w:t>
      </w:r>
      <w:r>
        <w:rPr>
          <w:rFonts w:ascii="Times New Roman" w:eastAsia="Times New Roman"/>
          <w:sz w:val="18"/>
        </w:rPr>
        <w:t>RNA</w:t>
      </w:r>
      <w:r>
        <w:rPr>
          <w:rFonts w:ascii="Times New Roman" w:eastAsia="Times New Roman"/>
          <w:spacing w:val="-18"/>
          <w:sz w:val="18"/>
        </w:rPr>
        <w:t> </w:t>
      </w:r>
      <w:r>
        <w:rPr>
          <w:spacing w:val="-2"/>
          <w:sz w:val="18"/>
        </w:rPr>
        <w:t>的降解作用，所有使用的器皿、加样枪等</w:t>
      </w:r>
      <w:r>
        <w:rPr>
          <w:spacing w:val="-3"/>
          <w:sz w:val="18"/>
        </w:rPr>
        <w:t>均为专用，离心管、</w:t>
      </w:r>
      <w:r>
        <w:rPr>
          <w:rFonts w:ascii="Times New Roman" w:eastAsia="Times New Roman"/>
          <w:sz w:val="18"/>
        </w:rPr>
        <w:t>PCR</w:t>
      </w:r>
      <w:r>
        <w:rPr>
          <w:rFonts w:ascii="Times New Roman" w:eastAsia="Times New Roman"/>
          <w:spacing w:val="-18"/>
          <w:sz w:val="18"/>
        </w:rPr>
        <w:t> </w:t>
      </w:r>
      <w:r>
        <w:rPr>
          <w:spacing w:val="-2"/>
          <w:sz w:val="18"/>
        </w:rPr>
        <w:t>管、吸嘴一次性耗材等在试验前应全部高压灭菌，确保无</w:t>
      </w:r>
      <w:r>
        <w:rPr>
          <w:rFonts w:ascii="Times New Roman" w:eastAsia="Times New Roman"/>
          <w:sz w:val="18"/>
        </w:rPr>
        <w:t>RNA</w:t>
      </w:r>
      <w:r>
        <w:rPr>
          <w:rFonts w:ascii="Times New Roman" w:eastAsia="Times New Roman"/>
          <w:spacing w:val="-15"/>
          <w:sz w:val="18"/>
        </w:rPr>
        <w:t> </w:t>
      </w:r>
      <w:r>
        <w:rPr>
          <w:spacing w:val="-3"/>
          <w:sz w:val="18"/>
        </w:rPr>
        <w:t>酶污染。</w:t>
      </w:r>
    </w:p>
    <w:p>
      <w:pPr>
        <w:pStyle w:val="Heading1"/>
        <w:spacing w:line="165" w:lineRule="exact"/>
      </w:pPr>
      <w:r>
        <w:rPr/>
        <w:t>【参考文献】</w:t>
      </w:r>
    </w:p>
    <w:p>
      <w:pPr>
        <w:pStyle w:val="ListParagraph"/>
        <w:numPr>
          <w:ilvl w:val="0"/>
          <w:numId w:val="6"/>
        </w:numPr>
        <w:tabs>
          <w:tab w:pos="372" w:val="left" w:leader="none"/>
        </w:tabs>
        <w:spacing w:line="204" w:lineRule="auto" w:before="1" w:after="0"/>
        <w:ind w:left="127" w:right="647" w:firstLine="0"/>
        <w:jc w:val="left"/>
        <w:rPr>
          <w:rFonts w:ascii="Times New Roman"/>
          <w:sz w:val="18"/>
        </w:rPr>
      </w:pPr>
      <w:r>
        <w:rPr>
          <w:rFonts w:ascii="Times New Roman"/>
          <w:sz w:val="18"/>
        </w:rPr>
        <w:t>Armstrong GL, </w:t>
      </w:r>
      <w:r>
        <w:rPr>
          <w:rFonts w:ascii="Times New Roman"/>
          <w:spacing w:val="-3"/>
          <w:sz w:val="18"/>
        </w:rPr>
        <w:t>Wasley </w:t>
      </w:r>
      <w:r>
        <w:rPr>
          <w:rFonts w:ascii="Times New Roman"/>
          <w:sz w:val="18"/>
        </w:rPr>
        <w:t>A, Simard </w:t>
      </w:r>
      <w:r>
        <w:rPr>
          <w:rFonts w:ascii="Times New Roman"/>
          <w:spacing w:val="-6"/>
          <w:sz w:val="18"/>
        </w:rPr>
        <w:t>EP, </w:t>
      </w:r>
      <w:r>
        <w:rPr>
          <w:rFonts w:ascii="Times New Roman"/>
          <w:sz w:val="18"/>
        </w:rPr>
        <w:t>et al. The prevalence of hepatitis C virus infection in the United States, 1999 through 2002. Ann Intern Med.</w:t>
      </w:r>
      <w:r>
        <w:rPr>
          <w:rFonts w:ascii="Times New Roman"/>
          <w:spacing w:val="-7"/>
          <w:sz w:val="18"/>
        </w:rPr>
        <w:t> </w:t>
      </w:r>
      <w:r>
        <w:rPr>
          <w:rFonts w:ascii="Times New Roman"/>
          <w:sz w:val="18"/>
        </w:rPr>
        <w:t>2006;144:705-714.</w:t>
      </w:r>
    </w:p>
    <w:p>
      <w:pPr>
        <w:pStyle w:val="ListParagraph"/>
        <w:numPr>
          <w:ilvl w:val="0"/>
          <w:numId w:val="6"/>
        </w:numPr>
        <w:tabs>
          <w:tab w:pos="375" w:val="left" w:leader="none"/>
        </w:tabs>
        <w:spacing w:line="167" w:lineRule="exact" w:before="0" w:after="0"/>
        <w:ind w:left="374" w:right="0" w:hanging="248"/>
        <w:jc w:val="left"/>
        <w:rPr>
          <w:rFonts w:ascii="Times New Roman"/>
          <w:sz w:val="18"/>
        </w:rPr>
      </w:pPr>
      <w:r>
        <w:rPr>
          <w:rFonts w:ascii="Times New Roman"/>
          <w:sz w:val="18"/>
        </w:rPr>
        <w:t>Everson, </w:t>
      </w:r>
      <w:r>
        <w:rPr>
          <w:rFonts w:ascii="Times New Roman"/>
          <w:spacing w:val="-5"/>
          <w:sz w:val="18"/>
        </w:rPr>
        <w:t>GT. </w:t>
      </w:r>
      <w:r>
        <w:rPr>
          <w:rFonts w:ascii="Times New Roman"/>
          <w:sz w:val="18"/>
        </w:rPr>
        <w:t>Treatment of hepatitis C in patients who have decompensated cirrhosis. Clin Liver Dis.</w:t>
      </w:r>
      <w:r>
        <w:rPr>
          <w:rFonts w:ascii="Times New Roman"/>
          <w:spacing w:val="-15"/>
          <w:sz w:val="18"/>
        </w:rPr>
        <w:t> </w:t>
      </w:r>
      <w:r>
        <w:rPr>
          <w:rFonts w:ascii="Times New Roman"/>
          <w:sz w:val="18"/>
        </w:rPr>
        <w:t>2005;9:473-486.</w:t>
      </w:r>
    </w:p>
    <w:p>
      <w:pPr>
        <w:pStyle w:val="ListParagraph"/>
        <w:numPr>
          <w:ilvl w:val="0"/>
          <w:numId w:val="6"/>
        </w:numPr>
        <w:tabs>
          <w:tab w:pos="375" w:val="left" w:leader="none"/>
        </w:tabs>
        <w:spacing w:line="204" w:lineRule="auto" w:before="10" w:after="0"/>
        <w:ind w:left="127" w:right="321" w:firstLine="0"/>
        <w:jc w:val="left"/>
        <w:rPr>
          <w:rFonts w:ascii="Times New Roman"/>
          <w:sz w:val="18"/>
        </w:rPr>
      </w:pPr>
      <w:r>
        <w:rPr>
          <w:rFonts w:ascii="Times New Roman"/>
          <w:sz w:val="18"/>
        </w:rPr>
        <w:t>Ferenci</w:t>
      </w:r>
      <w:r>
        <w:rPr>
          <w:rFonts w:ascii="Times New Roman"/>
          <w:spacing w:val="-10"/>
          <w:sz w:val="18"/>
        </w:rPr>
        <w:t> </w:t>
      </w:r>
      <w:r>
        <w:rPr>
          <w:rFonts w:ascii="Times New Roman"/>
          <w:sz w:val="18"/>
        </w:rPr>
        <w:t>P,Fried</w:t>
      </w:r>
      <w:r>
        <w:rPr>
          <w:rFonts w:ascii="Times New Roman"/>
          <w:spacing w:val="-8"/>
          <w:sz w:val="18"/>
        </w:rPr>
        <w:t> </w:t>
      </w:r>
      <w:r>
        <w:rPr>
          <w:rFonts w:ascii="Times New Roman"/>
          <w:spacing w:val="-3"/>
          <w:sz w:val="18"/>
        </w:rPr>
        <w:t>M,Shiffman</w:t>
      </w:r>
      <w:r>
        <w:rPr>
          <w:rFonts w:ascii="Times New Roman"/>
          <w:spacing w:val="-8"/>
          <w:sz w:val="18"/>
        </w:rPr>
        <w:t> </w:t>
      </w:r>
      <w:r>
        <w:rPr>
          <w:rFonts w:ascii="Times New Roman"/>
          <w:sz w:val="18"/>
        </w:rPr>
        <w:t>M,</w:t>
      </w:r>
      <w:r>
        <w:rPr>
          <w:rFonts w:ascii="Times New Roman"/>
          <w:spacing w:val="-4"/>
          <w:sz w:val="18"/>
        </w:rPr>
        <w:t> </w:t>
      </w:r>
      <w:r>
        <w:rPr>
          <w:rFonts w:ascii="Times New Roman"/>
          <w:sz w:val="18"/>
        </w:rPr>
        <w:t>et</w:t>
      </w:r>
      <w:r>
        <w:rPr>
          <w:rFonts w:ascii="Times New Roman"/>
          <w:spacing w:val="-1"/>
          <w:sz w:val="18"/>
        </w:rPr>
        <w:t> </w:t>
      </w:r>
      <w:r>
        <w:rPr>
          <w:rFonts w:ascii="Times New Roman"/>
          <w:sz w:val="18"/>
        </w:rPr>
        <w:t>al.</w:t>
      </w:r>
      <w:r>
        <w:rPr>
          <w:rFonts w:ascii="Times New Roman"/>
          <w:spacing w:val="-2"/>
          <w:sz w:val="18"/>
        </w:rPr>
        <w:t> </w:t>
      </w:r>
      <w:r>
        <w:rPr>
          <w:rFonts w:ascii="Times New Roman"/>
          <w:sz w:val="18"/>
        </w:rPr>
        <w:t>Predicting</w:t>
      </w:r>
      <w:r>
        <w:rPr>
          <w:rFonts w:ascii="Times New Roman"/>
          <w:spacing w:val="-3"/>
          <w:sz w:val="18"/>
        </w:rPr>
        <w:t> </w:t>
      </w:r>
      <w:r>
        <w:rPr>
          <w:rFonts w:ascii="Times New Roman"/>
          <w:sz w:val="18"/>
        </w:rPr>
        <w:t>sustained</w:t>
      </w:r>
      <w:r>
        <w:rPr>
          <w:rFonts w:ascii="Times New Roman"/>
          <w:spacing w:val="-4"/>
          <w:sz w:val="18"/>
        </w:rPr>
        <w:t> </w:t>
      </w:r>
      <w:r>
        <w:rPr>
          <w:rFonts w:ascii="Times New Roman"/>
          <w:sz w:val="18"/>
        </w:rPr>
        <w:t>virologic</w:t>
      </w:r>
      <w:r>
        <w:rPr>
          <w:rFonts w:ascii="Times New Roman"/>
          <w:spacing w:val="-3"/>
          <w:sz w:val="18"/>
        </w:rPr>
        <w:t> </w:t>
      </w:r>
      <w:r>
        <w:rPr>
          <w:rFonts w:ascii="Times New Roman"/>
          <w:sz w:val="18"/>
        </w:rPr>
        <w:t>responses</w:t>
      </w:r>
      <w:r>
        <w:rPr>
          <w:rFonts w:ascii="Times New Roman"/>
          <w:spacing w:val="-2"/>
          <w:sz w:val="18"/>
        </w:rPr>
        <w:t> </w:t>
      </w:r>
      <w:r>
        <w:rPr>
          <w:rFonts w:ascii="Times New Roman"/>
          <w:sz w:val="18"/>
        </w:rPr>
        <w:t>in</w:t>
      </w:r>
      <w:r>
        <w:rPr>
          <w:rFonts w:ascii="Times New Roman"/>
          <w:spacing w:val="-4"/>
          <w:sz w:val="18"/>
        </w:rPr>
        <w:t> </w:t>
      </w:r>
      <w:r>
        <w:rPr>
          <w:rFonts w:ascii="Times New Roman"/>
          <w:sz w:val="18"/>
        </w:rPr>
        <w:t>chronic</w:t>
      </w:r>
      <w:r>
        <w:rPr>
          <w:rFonts w:ascii="Times New Roman"/>
          <w:spacing w:val="-5"/>
          <w:sz w:val="18"/>
        </w:rPr>
        <w:t> </w:t>
      </w:r>
      <w:r>
        <w:rPr>
          <w:rFonts w:ascii="Times New Roman"/>
          <w:sz w:val="18"/>
        </w:rPr>
        <w:t>hepatitis</w:t>
      </w:r>
      <w:r>
        <w:rPr>
          <w:rFonts w:ascii="Times New Roman"/>
          <w:spacing w:val="-2"/>
          <w:sz w:val="18"/>
        </w:rPr>
        <w:t> </w:t>
      </w:r>
      <w:r>
        <w:rPr>
          <w:rFonts w:ascii="Times New Roman"/>
          <w:sz w:val="18"/>
        </w:rPr>
        <w:t>C</w:t>
      </w:r>
      <w:r>
        <w:rPr>
          <w:rFonts w:ascii="Times New Roman"/>
          <w:spacing w:val="-3"/>
          <w:sz w:val="18"/>
        </w:rPr>
        <w:t> </w:t>
      </w:r>
      <w:r>
        <w:rPr>
          <w:rFonts w:ascii="Times New Roman"/>
          <w:sz w:val="18"/>
        </w:rPr>
        <w:t>patients</w:t>
      </w:r>
      <w:r>
        <w:rPr>
          <w:rFonts w:ascii="Times New Roman"/>
          <w:spacing w:val="-5"/>
          <w:sz w:val="18"/>
        </w:rPr>
        <w:t> </w:t>
      </w:r>
      <w:r>
        <w:rPr>
          <w:rFonts w:ascii="Times New Roman"/>
          <w:sz w:val="18"/>
        </w:rPr>
        <w:t>treated</w:t>
      </w:r>
      <w:r>
        <w:rPr>
          <w:rFonts w:ascii="Times New Roman"/>
          <w:spacing w:val="-1"/>
          <w:sz w:val="18"/>
        </w:rPr>
        <w:t> </w:t>
      </w:r>
      <w:r>
        <w:rPr>
          <w:rFonts w:ascii="Times New Roman"/>
          <w:sz w:val="18"/>
        </w:rPr>
        <w:t>with</w:t>
      </w:r>
      <w:r>
        <w:rPr>
          <w:rFonts w:ascii="Times New Roman"/>
          <w:spacing w:val="-4"/>
          <w:sz w:val="18"/>
        </w:rPr>
        <w:t> </w:t>
      </w:r>
      <w:r>
        <w:rPr>
          <w:rFonts w:ascii="Times New Roman"/>
          <w:sz w:val="18"/>
        </w:rPr>
        <w:t>peginterferon alfa-2alribavirin.J</w:t>
      </w:r>
      <w:r>
        <w:rPr>
          <w:rFonts w:ascii="Times New Roman"/>
          <w:spacing w:val="-1"/>
          <w:sz w:val="18"/>
        </w:rPr>
        <w:t> </w:t>
      </w:r>
      <w:r>
        <w:rPr>
          <w:rFonts w:ascii="Times New Roman"/>
          <w:sz w:val="18"/>
        </w:rPr>
        <w:t>Hepatol.2005;43:425-433.</w:t>
      </w:r>
    </w:p>
    <w:p>
      <w:pPr>
        <w:pStyle w:val="ListParagraph"/>
        <w:numPr>
          <w:ilvl w:val="0"/>
          <w:numId w:val="6"/>
        </w:numPr>
        <w:tabs>
          <w:tab w:pos="375" w:val="left" w:leader="none"/>
        </w:tabs>
        <w:spacing w:line="204" w:lineRule="auto" w:before="1" w:after="0"/>
        <w:ind w:left="127" w:right="246" w:firstLine="0"/>
        <w:jc w:val="left"/>
        <w:rPr>
          <w:rFonts w:ascii="Times New Roman"/>
          <w:sz w:val="18"/>
        </w:rPr>
      </w:pPr>
      <w:r>
        <w:rPr>
          <w:rFonts w:ascii="Times New Roman"/>
          <w:sz w:val="18"/>
        </w:rPr>
        <w:t>Longo</w:t>
      </w:r>
      <w:r>
        <w:rPr>
          <w:rFonts w:ascii="Times New Roman"/>
          <w:spacing w:val="-2"/>
          <w:sz w:val="18"/>
        </w:rPr>
        <w:t> </w:t>
      </w:r>
      <w:r>
        <w:rPr>
          <w:rFonts w:ascii="Times New Roman"/>
          <w:sz w:val="18"/>
        </w:rPr>
        <w:t>MC,Berninger</w:t>
      </w:r>
      <w:r>
        <w:rPr>
          <w:rFonts w:ascii="Times New Roman"/>
          <w:spacing w:val="-3"/>
          <w:sz w:val="18"/>
        </w:rPr>
        <w:t> </w:t>
      </w:r>
      <w:r>
        <w:rPr>
          <w:rFonts w:ascii="Times New Roman"/>
          <w:sz w:val="18"/>
        </w:rPr>
        <w:t>MS,Hartley</w:t>
      </w:r>
      <w:r>
        <w:rPr>
          <w:rFonts w:ascii="Times New Roman"/>
          <w:spacing w:val="-3"/>
          <w:sz w:val="18"/>
        </w:rPr>
        <w:t> </w:t>
      </w:r>
      <w:r>
        <w:rPr>
          <w:rFonts w:ascii="Times New Roman"/>
          <w:sz w:val="18"/>
        </w:rPr>
        <w:t>JL.Use</w:t>
      </w:r>
      <w:r>
        <w:rPr>
          <w:rFonts w:ascii="Times New Roman"/>
          <w:spacing w:val="-1"/>
          <w:sz w:val="18"/>
        </w:rPr>
        <w:t> </w:t>
      </w:r>
      <w:r>
        <w:rPr>
          <w:rFonts w:ascii="Times New Roman"/>
          <w:sz w:val="18"/>
        </w:rPr>
        <w:t>of</w:t>
      </w:r>
      <w:r>
        <w:rPr>
          <w:rFonts w:ascii="Times New Roman"/>
          <w:spacing w:val="-4"/>
          <w:sz w:val="18"/>
        </w:rPr>
        <w:t> </w:t>
      </w:r>
      <w:r>
        <w:rPr>
          <w:rFonts w:ascii="Times New Roman"/>
          <w:sz w:val="18"/>
        </w:rPr>
        <w:t>uracil</w:t>
      </w:r>
      <w:r>
        <w:rPr>
          <w:rFonts w:ascii="Times New Roman"/>
          <w:spacing w:val="-2"/>
          <w:sz w:val="18"/>
        </w:rPr>
        <w:t> </w:t>
      </w:r>
      <w:r>
        <w:rPr>
          <w:rFonts w:ascii="Times New Roman"/>
          <w:sz w:val="18"/>
        </w:rPr>
        <w:t>DNA</w:t>
      </w:r>
      <w:r>
        <w:rPr>
          <w:rFonts w:ascii="Times New Roman"/>
          <w:spacing w:val="-12"/>
          <w:sz w:val="18"/>
        </w:rPr>
        <w:t> </w:t>
      </w:r>
      <w:r>
        <w:rPr>
          <w:rFonts w:ascii="Times New Roman"/>
          <w:sz w:val="18"/>
        </w:rPr>
        <w:t>glycosylase</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control</w:t>
      </w:r>
      <w:r>
        <w:rPr>
          <w:rFonts w:ascii="Times New Roman"/>
          <w:spacing w:val="-5"/>
          <w:sz w:val="18"/>
        </w:rPr>
        <w:t> </w:t>
      </w:r>
      <w:r>
        <w:rPr>
          <w:rFonts w:ascii="Times New Roman"/>
          <w:sz w:val="18"/>
        </w:rPr>
        <w:t>carryover contamination</w:t>
      </w:r>
      <w:r>
        <w:rPr>
          <w:rFonts w:ascii="Times New Roman"/>
          <w:spacing w:val="-3"/>
          <w:sz w:val="18"/>
        </w:rPr>
        <w:t> </w:t>
      </w:r>
      <w:r>
        <w:rPr>
          <w:rFonts w:ascii="Times New Roman"/>
          <w:sz w:val="18"/>
        </w:rPr>
        <w:t>in</w:t>
      </w:r>
      <w:r>
        <w:rPr>
          <w:rFonts w:ascii="Times New Roman"/>
          <w:spacing w:val="-4"/>
          <w:sz w:val="18"/>
        </w:rPr>
        <w:t> </w:t>
      </w:r>
      <w:r>
        <w:rPr>
          <w:rFonts w:ascii="Times New Roman"/>
          <w:sz w:val="18"/>
        </w:rPr>
        <w:t>polymerase</w:t>
      </w:r>
      <w:r>
        <w:rPr>
          <w:rFonts w:ascii="Times New Roman"/>
          <w:spacing w:val="-3"/>
          <w:sz w:val="18"/>
        </w:rPr>
        <w:t> </w:t>
      </w:r>
      <w:r>
        <w:rPr>
          <w:rFonts w:ascii="Times New Roman"/>
          <w:sz w:val="18"/>
        </w:rPr>
        <w:t>chain</w:t>
      </w:r>
      <w:r>
        <w:rPr>
          <w:rFonts w:ascii="Times New Roman"/>
          <w:spacing w:val="-4"/>
          <w:sz w:val="18"/>
        </w:rPr>
        <w:t> </w:t>
      </w:r>
      <w:r>
        <w:rPr>
          <w:rFonts w:ascii="Times New Roman"/>
          <w:sz w:val="18"/>
        </w:rPr>
        <w:t>reactions. Gene.1990;125-128.</w:t>
      </w:r>
    </w:p>
    <w:p>
      <w:pPr>
        <w:pStyle w:val="ListParagraph"/>
        <w:numPr>
          <w:ilvl w:val="0"/>
          <w:numId w:val="6"/>
        </w:numPr>
        <w:tabs>
          <w:tab w:pos="375" w:val="left" w:leader="none"/>
        </w:tabs>
        <w:spacing w:line="206" w:lineRule="auto" w:before="0" w:after="0"/>
        <w:ind w:left="127" w:right="171" w:firstLine="0"/>
        <w:jc w:val="left"/>
        <w:rPr>
          <w:rFonts w:ascii="Times New Roman"/>
          <w:sz w:val="18"/>
        </w:rPr>
      </w:pPr>
      <w:r>
        <w:rPr>
          <w:rFonts w:ascii="Times New Roman"/>
          <w:sz w:val="18"/>
        </w:rPr>
        <w:t>Clinical</w:t>
      </w:r>
      <w:r>
        <w:rPr>
          <w:rFonts w:ascii="Times New Roman"/>
          <w:spacing w:val="-5"/>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4"/>
          <w:sz w:val="18"/>
        </w:rPr>
        <w:t> </w:t>
      </w:r>
      <w:r>
        <w:rPr>
          <w:rFonts w:ascii="Times New Roman"/>
          <w:sz w:val="18"/>
        </w:rPr>
        <w:t>Standards</w:t>
      </w:r>
      <w:r>
        <w:rPr>
          <w:rFonts w:ascii="Times New Roman"/>
          <w:spacing w:val="-5"/>
          <w:sz w:val="18"/>
        </w:rPr>
        <w:t> </w:t>
      </w:r>
      <w:r>
        <w:rPr>
          <w:rFonts w:ascii="Times New Roman"/>
          <w:sz w:val="18"/>
        </w:rPr>
        <w:t>Institute.Evaluation</w:t>
      </w:r>
      <w:r>
        <w:rPr>
          <w:rFonts w:ascii="Times New Roman"/>
          <w:spacing w:val="-3"/>
          <w:sz w:val="18"/>
        </w:rPr>
        <w:t> </w:t>
      </w:r>
      <w:r>
        <w:rPr>
          <w:rFonts w:ascii="Times New Roman"/>
          <w:sz w:val="18"/>
        </w:rPr>
        <w:t>of</w:t>
      </w:r>
      <w:r>
        <w:rPr>
          <w:rFonts w:ascii="Times New Roman"/>
          <w:spacing w:val="-4"/>
          <w:sz w:val="18"/>
        </w:rPr>
        <w:t> </w:t>
      </w:r>
      <w:r>
        <w:rPr>
          <w:rFonts w:ascii="Times New Roman"/>
          <w:sz w:val="18"/>
        </w:rPr>
        <w:t>the</w:t>
      </w:r>
      <w:r>
        <w:rPr>
          <w:rFonts w:ascii="Times New Roman"/>
          <w:spacing w:val="-4"/>
          <w:sz w:val="18"/>
        </w:rPr>
        <w:t> </w:t>
      </w:r>
      <w:r>
        <w:rPr>
          <w:rFonts w:ascii="Times New Roman"/>
          <w:sz w:val="18"/>
        </w:rPr>
        <w:t>Linearity</w:t>
      </w:r>
      <w:r>
        <w:rPr>
          <w:rFonts w:ascii="Times New Roman"/>
          <w:spacing w:val="-1"/>
          <w:sz w:val="18"/>
        </w:rPr>
        <w:t> </w:t>
      </w:r>
      <w:r>
        <w:rPr>
          <w:rFonts w:ascii="Times New Roman"/>
          <w:sz w:val="18"/>
        </w:rPr>
        <w:t>of</w:t>
      </w:r>
      <w:r>
        <w:rPr>
          <w:rFonts w:ascii="Times New Roman"/>
          <w:spacing w:val="-4"/>
          <w:sz w:val="18"/>
        </w:rPr>
        <w:t> </w:t>
      </w:r>
      <w:r>
        <w:rPr>
          <w:rFonts w:ascii="Times New Roman"/>
          <w:sz w:val="18"/>
        </w:rPr>
        <w:t>Quantitative</w:t>
      </w:r>
      <w:r>
        <w:rPr>
          <w:rFonts w:ascii="Times New Roman"/>
          <w:spacing w:val="-3"/>
          <w:sz w:val="18"/>
        </w:rPr>
        <w:t> </w:t>
      </w:r>
      <w:r>
        <w:rPr>
          <w:rFonts w:ascii="Times New Roman"/>
          <w:sz w:val="18"/>
        </w:rPr>
        <w:t>Measurement</w:t>
      </w:r>
      <w:r>
        <w:rPr>
          <w:rFonts w:ascii="Times New Roman"/>
          <w:spacing w:val="-1"/>
          <w:sz w:val="18"/>
        </w:rPr>
        <w:t> </w:t>
      </w:r>
      <w:r>
        <w:rPr>
          <w:rFonts w:ascii="Times New Roman"/>
          <w:sz w:val="18"/>
        </w:rPr>
        <w:t>Procedures:A</w:t>
      </w:r>
      <w:r>
        <w:rPr>
          <w:rFonts w:ascii="Times New Roman"/>
          <w:spacing w:val="-12"/>
          <w:sz w:val="18"/>
        </w:rPr>
        <w:t> </w:t>
      </w:r>
      <w:r>
        <w:rPr>
          <w:rFonts w:ascii="Times New Roman"/>
          <w:sz w:val="18"/>
        </w:rPr>
        <w:t>Statistical</w:t>
      </w:r>
      <w:r>
        <w:rPr>
          <w:rFonts w:ascii="Times New Roman"/>
          <w:spacing w:val="-13"/>
          <w:sz w:val="18"/>
        </w:rPr>
        <w:t> </w:t>
      </w:r>
      <w:r>
        <w:rPr>
          <w:rFonts w:ascii="Times New Roman"/>
          <w:sz w:val="18"/>
        </w:rPr>
        <w:t>Approach; Approved Guideline.NCCLS,EP6-A,Volume 23,Number</w:t>
      </w:r>
      <w:r>
        <w:rPr>
          <w:rFonts w:ascii="Times New Roman"/>
          <w:spacing w:val="-1"/>
          <w:sz w:val="18"/>
        </w:rPr>
        <w:t> </w:t>
      </w:r>
      <w:r>
        <w:rPr>
          <w:rFonts w:ascii="Times New Roman"/>
          <w:sz w:val="18"/>
        </w:rPr>
        <w:t>16.</w:t>
      </w:r>
    </w:p>
    <w:p>
      <w:pPr>
        <w:spacing w:line="165" w:lineRule="exact" w:before="0"/>
        <w:ind w:left="127" w:right="0" w:firstLine="0"/>
        <w:jc w:val="left"/>
        <w:rPr>
          <w:sz w:val="18"/>
        </w:rPr>
      </w:pPr>
      <w:r>
        <w:rPr>
          <w:sz w:val="18"/>
        </w:rPr>
        <w:t>【</w:t>
      </w:r>
      <w:r>
        <w:rPr>
          <w:b/>
          <w:sz w:val="18"/>
        </w:rPr>
        <w:t>基本信息</w:t>
      </w:r>
      <w:r>
        <w:rPr>
          <w:sz w:val="18"/>
        </w:rPr>
        <w:t>】</w:t>
      </w:r>
    </w:p>
    <w:p>
      <w:pPr>
        <w:pStyle w:val="BodyText"/>
        <w:spacing w:line="182" w:lineRule="auto" w:before="13"/>
        <w:ind w:right="6211"/>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spacing w:line="164" w:lineRule="exact"/>
        <w:ind w:left="129"/>
        <w:rPr>
          <w:rFonts w:ascii="Times New Roman" w:eastAsia="Times New Roman"/>
        </w:rPr>
      </w:pPr>
      <w:r>
        <w:rPr/>
        <w:t>联系方式：</w:t>
      </w:r>
      <w:r>
        <w:rPr>
          <w:rFonts w:ascii="Times New Roman" w:eastAsia="Times New Roman"/>
        </w:rPr>
        <w:t>0731-88883176 </w:t>
      </w:r>
      <w:r>
        <w:rPr/>
        <w:t>传真号码：</w:t>
      </w:r>
      <w:r>
        <w:rPr>
          <w:rFonts w:ascii="Times New Roman" w:eastAsia="Times New Roman"/>
        </w:rPr>
        <w:t>0731-88884876</w:t>
      </w:r>
    </w:p>
    <w:p>
      <w:pPr>
        <w:pStyle w:val="BodyText"/>
        <w:spacing w:line="178" w:lineRule="exact"/>
      </w:pPr>
      <w:r>
        <w:rPr/>
        <w:t>售后服务单位名称： 圣湘生物科技股份有限公司</w:t>
      </w:r>
    </w:p>
    <w:p>
      <w:pPr>
        <w:pStyle w:val="BodyText"/>
        <w:spacing w:line="179" w:lineRule="exact"/>
        <w:ind w:left="129"/>
        <w:rPr>
          <w:rFonts w:ascii="Times New Roman" w:eastAsia="Times New Roman"/>
        </w:rPr>
      </w:pPr>
      <w:r>
        <w:rPr/>
        <w:t>联系方式：</w:t>
      </w:r>
      <w:r>
        <w:rPr>
          <w:rFonts w:ascii="Times New Roman" w:eastAsia="Times New Roman"/>
        </w:rPr>
        <w:t>0731-88883176 </w:t>
      </w:r>
      <w:r>
        <w:rPr/>
        <w:t>传真号码：</w:t>
      </w:r>
      <w:r>
        <w:rPr>
          <w:rFonts w:ascii="Times New Roman" w:eastAsia="Times New Roman"/>
        </w:rPr>
        <w:t>0731-88884876</w:t>
      </w:r>
    </w:p>
    <w:p>
      <w:pPr>
        <w:pStyle w:val="BodyText"/>
        <w:spacing w:line="182" w:lineRule="auto" w:before="17"/>
        <w:ind w:right="6333"/>
      </w:pPr>
      <w:r>
        <w:rPr>
          <w:spacing w:val="-6"/>
        </w:rPr>
        <w:t>生产地址：长沙高新技术产业开发区麓松路 </w:t>
      </w:r>
      <w:r>
        <w:rPr>
          <w:rFonts w:ascii="Times New Roman" w:eastAsia="Times New Roman"/>
        </w:rPr>
        <w:t>680 </w:t>
      </w:r>
      <w:r>
        <w:rPr/>
        <w:t>号</w:t>
      </w:r>
      <w:r>
        <w:rPr>
          <w:spacing w:val="-12"/>
        </w:rPr>
        <w:t>生产许可证编号： 湘食药监械生产许 </w:t>
      </w:r>
      <w:r>
        <w:rPr>
          <w:rFonts w:ascii="Times New Roman" w:eastAsia="Times New Roman"/>
        </w:rPr>
        <w:t>20150036 </w:t>
      </w:r>
      <w:r>
        <w:rPr/>
        <w:t>号</w:t>
      </w:r>
    </w:p>
    <w:p>
      <w:pPr>
        <w:pStyle w:val="Heading1"/>
        <w:spacing w:line="161" w:lineRule="exact"/>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20153400085</w:t>
      </w:r>
    </w:p>
    <w:p>
      <w:pPr>
        <w:spacing w:line="204" w:lineRule="exact" w:before="0"/>
        <w:ind w:left="12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11 </w:t>
      </w:r>
      <w:r>
        <w:rPr>
          <w:b/>
          <w:sz w:val="18"/>
        </w:rPr>
        <w:t>月 </w:t>
      </w:r>
      <w:r>
        <w:rPr>
          <w:rFonts w:ascii="Times New Roman" w:eastAsia="Times New Roman"/>
          <w:b/>
          <w:sz w:val="18"/>
        </w:rPr>
        <w:t>07 </w:t>
      </w:r>
      <w:r>
        <w:rPr>
          <w:b/>
          <w:sz w:val="18"/>
        </w:rPr>
        <w:t>日</w:t>
      </w:r>
    </w:p>
    <w:sectPr>
      <w:pgSz w:w="11910" w:h="16840"/>
      <w:pgMar w:header="462" w:footer="465" w:top="660" w:bottom="660" w:left="780" w:right="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28.679993pt;margin-top:807.630005pt;width:138pt;height:12pt;mso-position-horizontal-relative:page;mso-position-vertical-relative:page;z-index:-252266496" type="#_x0000_t202" filled="false" stroked="false">
          <v:textbox inset="0,0,0,0">
            <w:txbxContent>
              <w:p>
                <w:pPr>
                  <w:pStyle w:val="BodyText"/>
                  <w:ind w:left="20"/>
                </w:pPr>
                <w:r>
                  <w:rPr/>
                  <w:t>丙型肝炎病毒（</w:t>
                </w:r>
                <w:r>
                  <w:rPr>
                    <w:rFonts w:ascii="Times New Roman" w:eastAsia="Times New Roman"/>
                  </w:rPr>
                  <w:t>HCV</w:t>
                </w:r>
                <w:r>
                  <w:rPr/>
                  <w:t>）产品说明书</w:t>
                </w:r>
              </w:p>
            </w:txbxContent>
          </v:textbox>
          <w10:wrap type="none"/>
        </v:shape>
      </w:pict>
    </w:r>
    <w:r>
      <w:rPr/>
      <w:pict>
        <v:shape style="position:absolute;margin-left:538.23999pt;margin-top:810.030029pt;width:8.5pt;height:12pt;mso-position-horizontal-relative:page;mso-position-vertical-relative:page;z-index:-252265472" type="#_x0000_t202" filled="false" stroked="false">
          <v:textbox inset="0,0,0,0">
            <w:txbxContent>
              <w:p>
                <w:pPr>
                  <w:pStyle w:val="BodyText"/>
                  <w:spacing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5pt;width:110pt;height:11pt;mso-position-horizontal-relative:page;mso-position-vertical-relative:page;z-index:-252267520"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127" w:hanging="245"/>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144" w:hanging="245"/>
      </w:pPr>
      <w:rPr>
        <w:rFonts w:hint="default"/>
        <w:lang w:val="zh-CN" w:eastAsia="zh-CN" w:bidi="zh-CN"/>
      </w:rPr>
    </w:lvl>
    <w:lvl w:ilvl="2">
      <w:start w:val="0"/>
      <w:numFmt w:val="bullet"/>
      <w:lvlText w:val="•"/>
      <w:lvlJc w:val="left"/>
      <w:pPr>
        <w:ind w:left="2169" w:hanging="245"/>
      </w:pPr>
      <w:rPr>
        <w:rFonts w:hint="default"/>
        <w:lang w:val="zh-CN" w:eastAsia="zh-CN" w:bidi="zh-CN"/>
      </w:rPr>
    </w:lvl>
    <w:lvl w:ilvl="3">
      <w:start w:val="0"/>
      <w:numFmt w:val="bullet"/>
      <w:lvlText w:val="•"/>
      <w:lvlJc w:val="left"/>
      <w:pPr>
        <w:ind w:left="3193" w:hanging="245"/>
      </w:pPr>
      <w:rPr>
        <w:rFonts w:hint="default"/>
        <w:lang w:val="zh-CN" w:eastAsia="zh-CN" w:bidi="zh-CN"/>
      </w:rPr>
    </w:lvl>
    <w:lvl w:ilvl="4">
      <w:start w:val="0"/>
      <w:numFmt w:val="bullet"/>
      <w:lvlText w:val="•"/>
      <w:lvlJc w:val="left"/>
      <w:pPr>
        <w:ind w:left="4218" w:hanging="245"/>
      </w:pPr>
      <w:rPr>
        <w:rFonts w:hint="default"/>
        <w:lang w:val="zh-CN" w:eastAsia="zh-CN" w:bidi="zh-CN"/>
      </w:rPr>
    </w:lvl>
    <w:lvl w:ilvl="5">
      <w:start w:val="0"/>
      <w:numFmt w:val="bullet"/>
      <w:lvlText w:val="•"/>
      <w:lvlJc w:val="left"/>
      <w:pPr>
        <w:ind w:left="5243" w:hanging="245"/>
      </w:pPr>
      <w:rPr>
        <w:rFonts w:hint="default"/>
        <w:lang w:val="zh-CN" w:eastAsia="zh-CN" w:bidi="zh-CN"/>
      </w:rPr>
    </w:lvl>
    <w:lvl w:ilvl="6">
      <w:start w:val="0"/>
      <w:numFmt w:val="bullet"/>
      <w:lvlText w:val="•"/>
      <w:lvlJc w:val="left"/>
      <w:pPr>
        <w:ind w:left="6267" w:hanging="245"/>
      </w:pPr>
      <w:rPr>
        <w:rFonts w:hint="default"/>
        <w:lang w:val="zh-CN" w:eastAsia="zh-CN" w:bidi="zh-CN"/>
      </w:rPr>
    </w:lvl>
    <w:lvl w:ilvl="7">
      <w:start w:val="0"/>
      <w:numFmt w:val="bullet"/>
      <w:lvlText w:val="•"/>
      <w:lvlJc w:val="left"/>
      <w:pPr>
        <w:ind w:left="7292" w:hanging="245"/>
      </w:pPr>
      <w:rPr>
        <w:rFonts w:hint="default"/>
        <w:lang w:val="zh-CN" w:eastAsia="zh-CN" w:bidi="zh-CN"/>
      </w:rPr>
    </w:lvl>
    <w:lvl w:ilvl="8">
      <w:start w:val="0"/>
      <w:numFmt w:val="bullet"/>
      <w:lvlText w:val="•"/>
      <w:lvlJc w:val="left"/>
      <w:pPr>
        <w:ind w:left="8316" w:hanging="245"/>
      </w:pPr>
      <w:rPr>
        <w:rFonts w:hint="default"/>
        <w:lang w:val="zh-CN" w:eastAsia="zh-CN" w:bidi="zh-CN"/>
      </w:rPr>
    </w:lvl>
  </w:abstractNum>
  <w:abstractNum w:abstractNumId="4">
    <w:multiLevelType w:val="hybridMultilevel"/>
    <w:lvl w:ilvl="0">
      <w:start w:val="1"/>
      <w:numFmt w:val="decimal"/>
      <w:lvlText w:val="%1."/>
      <w:lvlJc w:val="left"/>
      <w:pPr>
        <w:ind w:left="300" w:hanging="176"/>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306" w:hanging="176"/>
      </w:pPr>
      <w:rPr>
        <w:rFonts w:hint="default"/>
        <w:lang w:val="zh-CN" w:eastAsia="zh-CN" w:bidi="zh-CN"/>
      </w:rPr>
    </w:lvl>
    <w:lvl w:ilvl="2">
      <w:start w:val="0"/>
      <w:numFmt w:val="bullet"/>
      <w:lvlText w:val="•"/>
      <w:lvlJc w:val="left"/>
      <w:pPr>
        <w:ind w:left="2313" w:hanging="176"/>
      </w:pPr>
      <w:rPr>
        <w:rFonts w:hint="default"/>
        <w:lang w:val="zh-CN" w:eastAsia="zh-CN" w:bidi="zh-CN"/>
      </w:rPr>
    </w:lvl>
    <w:lvl w:ilvl="3">
      <w:start w:val="0"/>
      <w:numFmt w:val="bullet"/>
      <w:lvlText w:val="•"/>
      <w:lvlJc w:val="left"/>
      <w:pPr>
        <w:ind w:left="3319" w:hanging="176"/>
      </w:pPr>
      <w:rPr>
        <w:rFonts w:hint="default"/>
        <w:lang w:val="zh-CN" w:eastAsia="zh-CN" w:bidi="zh-CN"/>
      </w:rPr>
    </w:lvl>
    <w:lvl w:ilvl="4">
      <w:start w:val="0"/>
      <w:numFmt w:val="bullet"/>
      <w:lvlText w:val="•"/>
      <w:lvlJc w:val="left"/>
      <w:pPr>
        <w:ind w:left="4326" w:hanging="176"/>
      </w:pPr>
      <w:rPr>
        <w:rFonts w:hint="default"/>
        <w:lang w:val="zh-CN" w:eastAsia="zh-CN" w:bidi="zh-CN"/>
      </w:rPr>
    </w:lvl>
    <w:lvl w:ilvl="5">
      <w:start w:val="0"/>
      <w:numFmt w:val="bullet"/>
      <w:lvlText w:val="•"/>
      <w:lvlJc w:val="left"/>
      <w:pPr>
        <w:ind w:left="5333" w:hanging="176"/>
      </w:pPr>
      <w:rPr>
        <w:rFonts w:hint="default"/>
        <w:lang w:val="zh-CN" w:eastAsia="zh-CN" w:bidi="zh-CN"/>
      </w:rPr>
    </w:lvl>
    <w:lvl w:ilvl="6">
      <w:start w:val="0"/>
      <w:numFmt w:val="bullet"/>
      <w:lvlText w:val="•"/>
      <w:lvlJc w:val="left"/>
      <w:pPr>
        <w:ind w:left="6339" w:hanging="176"/>
      </w:pPr>
      <w:rPr>
        <w:rFonts w:hint="default"/>
        <w:lang w:val="zh-CN" w:eastAsia="zh-CN" w:bidi="zh-CN"/>
      </w:rPr>
    </w:lvl>
    <w:lvl w:ilvl="7">
      <w:start w:val="0"/>
      <w:numFmt w:val="bullet"/>
      <w:lvlText w:val="•"/>
      <w:lvlJc w:val="left"/>
      <w:pPr>
        <w:ind w:left="7346" w:hanging="176"/>
      </w:pPr>
      <w:rPr>
        <w:rFonts w:hint="default"/>
        <w:lang w:val="zh-CN" w:eastAsia="zh-CN" w:bidi="zh-CN"/>
      </w:rPr>
    </w:lvl>
    <w:lvl w:ilvl="8">
      <w:start w:val="0"/>
      <w:numFmt w:val="bullet"/>
      <w:lvlText w:val="•"/>
      <w:lvlJc w:val="left"/>
      <w:pPr>
        <w:ind w:left="8352" w:hanging="176"/>
      </w:pPr>
      <w:rPr>
        <w:rFonts w:hint="default"/>
        <w:lang w:val="zh-CN" w:eastAsia="zh-CN" w:bidi="zh-CN"/>
      </w:rPr>
    </w:lvl>
  </w:abstractNum>
  <w:abstractNum w:abstractNumId="3">
    <w:multiLevelType w:val="hybridMultilevel"/>
    <w:lvl w:ilvl="0">
      <w:start w:val="1"/>
      <w:numFmt w:val="decimal"/>
      <w:lvlText w:val="%1."/>
      <w:lvlJc w:val="left"/>
      <w:pPr>
        <w:ind w:left="302" w:hanging="173"/>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306" w:hanging="173"/>
      </w:pPr>
      <w:rPr>
        <w:rFonts w:hint="default"/>
        <w:lang w:val="zh-CN" w:eastAsia="zh-CN" w:bidi="zh-CN"/>
      </w:rPr>
    </w:lvl>
    <w:lvl w:ilvl="2">
      <w:start w:val="0"/>
      <w:numFmt w:val="bullet"/>
      <w:lvlText w:val="•"/>
      <w:lvlJc w:val="left"/>
      <w:pPr>
        <w:ind w:left="2313" w:hanging="173"/>
      </w:pPr>
      <w:rPr>
        <w:rFonts w:hint="default"/>
        <w:lang w:val="zh-CN" w:eastAsia="zh-CN" w:bidi="zh-CN"/>
      </w:rPr>
    </w:lvl>
    <w:lvl w:ilvl="3">
      <w:start w:val="0"/>
      <w:numFmt w:val="bullet"/>
      <w:lvlText w:val="•"/>
      <w:lvlJc w:val="left"/>
      <w:pPr>
        <w:ind w:left="3319" w:hanging="173"/>
      </w:pPr>
      <w:rPr>
        <w:rFonts w:hint="default"/>
        <w:lang w:val="zh-CN" w:eastAsia="zh-CN" w:bidi="zh-CN"/>
      </w:rPr>
    </w:lvl>
    <w:lvl w:ilvl="4">
      <w:start w:val="0"/>
      <w:numFmt w:val="bullet"/>
      <w:lvlText w:val="•"/>
      <w:lvlJc w:val="left"/>
      <w:pPr>
        <w:ind w:left="4326" w:hanging="173"/>
      </w:pPr>
      <w:rPr>
        <w:rFonts w:hint="default"/>
        <w:lang w:val="zh-CN" w:eastAsia="zh-CN" w:bidi="zh-CN"/>
      </w:rPr>
    </w:lvl>
    <w:lvl w:ilvl="5">
      <w:start w:val="0"/>
      <w:numFmt w:val="bullet"/>
      <w:lvlText w:val="•"/>
      <w:lvlJc w:val="left"/>
      <w:pPr>
        <w:ind w:left="5333" w:hanging="173"/>
      </w:pPr>
      <w:rPr>
        <w:rFonts w:hint="default"/>
        <w:lang w:val="zh-CN" w:eastAsia="zh-CN" w:bidi="zh-CN"/>
      </w:rPr>
    </w:lvl>
    <w:lvl w:ilvl="6">
      <w:start w:val="0"/>
      <w:numFmt w:val="bullet"/>
      <w:lvlText w:val="•"/>
      <w:lvlJc w:val="left"/>
      <w:pPr>
        <w:ind w:left="6339" w:hanging="173"/>
      </w:pPr>
      <w:rPr>
        <w:rFonts w:hint="default"/>
        <w:lang w:val="zh-CN" w:eastAsia="zh-CN" w:bidi="zh-CN"/>
      </w:rPr>
    </w:lvl>
    <w:lvl w:ilvl="7">
      <w:start w:val="0"/>
      <w:numFmt w:val="bullet"/>
      <w:lvlText w:val="•"/>
      <w:lvlJc w:val="left"/>
      <w:pPr>
        <w:ind w:left="7346" w:hanging="173"/>
      </w:pPr>
      <w:rPr>
        <w:rFonts w:hint="default"/>
        <w:lang w:val="zh-CN" w:eastAsia="zh-CN" w:bidi="zh-CN"/>
      </w:rPr>
    </w:lvl>
    <w:lvl w:ilvl="8">
      <w:start w:val="0"/>
      <w:numFmt w:val="bullet"/>
      <w:lvlText w:val="•"/>
      <w:lvlJc w:val="left"/>
      <w:pPr>
        <w:ind w:left="8352" w:hanging="173"/>
      </w:pPr>
      <w:rPr>
        <w:rFonts w:hint="default"/>
        <w:lang w:val="zh-CN" w:eastAsia="zh-CN" w:bidi="zh-CN"/>
      </w:rPr>
    </w:lvl>
  </w:abstractNum>
  <w:abstractNum w:abstractNumId="2">
    <w:multiLevelType w:val="hybridMultilevel"/>
    <w:lvl w:ilvl="0">
      <w:start w:val="1"/>
      <w:numFmt w:val="decimal"/>
      <w:lvlText w:val="%1."/>
      <w:lvlJc w:val="left"/>
      <w:pPr>
        <w:ind w:left="300" w:hanging="173"/>
        <w:jc w:val="left"/>
      </w:pPr>
      <w:rPr>
        <w:rFonts w:hint="default" w:ascii="Times New Roman" w:hAnsi="Times New Roman" w:eastAsia="Times New Roman" w:cs="Times New Roman"/>
        <w:b/>
        <w:bCs/>
        <w:spacing w:val="-2"/>
        <w:w w:val="100"/>
        <w:sz w:val="18"/>
        <w:szCs w:val="18"/>
        <w:lang w:val="zh-CN" w:eastAsia="zh-CN" w:bidi="zh-CN"/>
      </w:rPr>
    </w:lvl>
    <w:lvl w:ilvl="1">
      <w:start w:val="1"/>
      <w:numFmt w:val="decimal"/>
      <w:lvlText w:val="%1.%2"/>
      <w:lvlJc w:val="left"/>
      <w:pPr>
        <w:ind w:left="388" w:hanging="262"/>
        <w:jc w:val="left"/>
      </w:pPr>
      <w:rPr>
        <w:rFonts w:hint="default" w:ascii="Times New Roman" w:hAnsi="Times New Roman" w:eastAsia="Times New Roman" w:cs="Times New Roman"/>
        <w:spacing w:val="-2"/>
        <w:w w:val="100"/>
        <w:sz w:val="18"/>
        <w:szCs w:val="18"/>
        <w:lang w:val="zh-CN" w:eastAsia="zh-CN" w:bidi="zh-CN"/>
      </w:rPr>
    </w:lvl>
    <w:lvl w:ilvl="2">
      <w:start w:val="1"/>
      <w:numFmt w:val="decimal"/>
      <w:lvlText w:val="%1.%2.%3"/>
      <w:lvlJc w:val="left"/>
      <w:pPr>
        <w:ind w:left="520" w:hanging="394"/>
        <w:jc w:val="left"/>
      </w:pPr>
      <w:rPr>
        <w:rFonts w:hint="default" w:ascii="Times New Roman" w:hAnsi="Times New Roman" w:eastAsia="Times New Roman" w:cs="Times New Roman"/>
        <w:spacing w:val="-2"/>
        <w:w w:val="100"/>
        <w:sz w:val="18"/>
        <w:szCs w:val="18"/>
        <w:lang w:val="zh-CN" w:eastAsia="zh-CN" w:bidi="zh-CN"/>
      </w:rPr>
    </w:lvl>
    <w:lvl w:ilvl="3">
      <w:start w:val="0"/>
      <w:numFmt w:val="bullet"/>
      <w:lvlText w:val="•"/>
      <w:lvlJc w:val="left"/>
      <w:pPr>
        <w:ind w:left="440" w:hanging="394"/>
      </w:pPr>
      <w:rPr>
        <w:rFonts w:hint="default"/>
        <w:lang w:val="zh-CN" w:eastAsia="zh-CN" w:bidi="zh-CN"/>
      </w:rPr>
    </w:lvl>
    <w:lvl w:ilvl="4">
      <w:start w:val="0"/>
      <w:numFmt w:val="bullet"/>
      <w:lvlText w:val="•"/>
      <w:lvlJc w:val="left"/>
      <w:pPr>
        <w:ind w:left="480" w:hanging="394"/>
      </w:pPr>
      <w:rPr>
        <w:rFonts w:hint="default"/>
        <w:lang w:val="zh-CN" w:eastAsia="zh-CN" w:bidi="zh-CN"/>
      </w:rPr>
    </w:lvl>
    <w:lvl w:ilvl="5">
      <w:start w:val="0"/>
      <w:numFmt w:val="bullet"/>
      <w:lvlText w:val="•"/>
      <w:lvlJc w:val="left"/>
      <w:pPr>
        <w:ind w:left="520" w:hanging="394"/>
      </w:pPr>
      <w:rPr>
        <w:rFonts w:hint="default"/>
        <w:lang w:val="zh-CN" w:eastAsia="zh-CN" w:bidi="zh-CN"/>
      </w:rPr>
    </w:lvl>
    <w:lvl w:ilvl="6">
      <w:start w:val="0"/>
      <w:numFmt w:val="bullet"/>
      <w:lvlText w:val="•"/>
      <w:lvlJc w:val="left"/>
      <w:pPr>
        <w:ind w:left="560" w:hanging="394"/>
      </w:pPr>
      <w:rPr>
        <w:rFonts w:hint="default"/>
        <w:lang w:val="zh-CN" w:eastAsia="zh-CN" w:bidi="zh-CN"/>
      </w:rPr>
    </w:lvl>
    <w:lvl w:ilvl="7">
      <w:start w:val="0"/>
      <w:numFmt w:val="bullet"/>
      <w:lvlText w:val="•"/>
      <w:lvlJc w:val="left"/>
      <w:pPr>
        <w:ind w:left="3011" w:hanging="394"/>
      </w:pPr>
      <w:rPr>
        <w:rFonts w:hint="default"/>
        <w:lang w:val="zh-CN" w:eastAsia="zh-CN" w:bidi="zh-CN"/>
      </w:rPr>
    </w:lvl>
    <w:lvl w:ilvl="8">
      <w:start w:val="0"/>
      <w:numFmt w:val="bullet"/>
      <w:lvlText w:val="•"/>
      <w:lvlJc w:val="left"/>
      <w:pPr>
        <w:ind w:left="5463" w:hanging="394"/>
      </w:pPr>
      <w:rPr>
        <w:rFonts w:hint="default"/>
        <w:lang w:val="zh-CN" w:eastAsia="zh-CN" w:bidi="zh-CN"/>
      </w:rPr>
    </w:lvl>
  </w:abstractNum>
  <w:abstractNum w:abstractNumId="1">
    <w:multiLevelType w:val="hybridMultilevel"/>
    <w:lvl w:ilvl="0">
      <w:start w:val="1"/>
      <w:numFmt w:val="decimal"/>
      <w:lvlText w:val="%1"/>
      <w:lvlJc w:val="left"/>
      <w:pPr>
        <w:ind w:left="256" w:hanging="130"/>
        <w:jc w:val="left"/>
      </w:pPr>
      <w:rPr>
        <w:rFonts w:hint="default" w:ascii="Times New Roman" w:hAnsi="Times New Roman" w:eastAsia="Times New Roman" w:cs="Times New Roman"/>
        <w:w w:val="100"/>
        <w:sz w:val="18"/>
        <w:szCs w:val="18"/>
        <w:lang w:val="zh-CN" w:eastAsia="zh-CN" w:bidi="zh-CN"/>
      </w:rPr>
    </w:lvl>
    <w:lvl w:ilvl="1">
      <w:start w:val="1"/>
      <w:numFmt w:val="decimal"/>
      <w:lvlText w:val="%1.%2"/>
      <w:lvlJc w:val="left"/>
      <w:pPr>
        <w:ind w:left="307" w:hanging="255"/>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1418" w:hanging="255"/>
      </w:pPr>
      <w:rPr>
        <w:rFonts w:hint="default"/>
        <w:lang w:val="zh-CN" w:eastAsia="zh-CN" w:bidi="zh-CN"/>
      </w:rPr>
    </w:lvl>
    <w:lvl w:ilvl="3">
      <w:start w:val="0"/>
      <w:numFmt w:val="bullet"/>
      <w:lvlText w:val="•"/>
      <w:lvlJc w:val="left"/>
      <w:pPr>
        <w:ind w:left="2536" w:hanging="255"/>
      </w:pPr>
      <w:rPr>
        <w:rFonts w:hint="default"/>
        <w:lang w:val="zh-CN" w:eastAsia="zh-CN" w:bidi="zh-CN"/>
      </w:rPr>
    </w:lvl>
    <w:lvl w:ilvl="4">
      <w:start w:val="0"/>
      <w:numFmt w:val="bullet"/>
      <w:lvlText w:val="•"/>
      <w:lvlJc w:val="left"/>
      <w:pPr>
        <w:ind w:left="3655" w:hanging="255"/>
      </w:pPr>
      <w:rPr>
        <w:rFonts w:hint="default"/>
        <w:lang w:val="zh-CN" w:eastAsia="zh-CN" w:bidi="zh-CN"/>
      </w:rPr>
    </w:lvl>
    <w:lvl w:ilvl="5">
      <w:start w:val="0"/>
      <w:numFmt w:val="bullet"/>
      <w:lvlText w:val="•"/>
      <w:lvlJc w:val="left"/>
      <w:pPr>
        <w:ind w:left="4773" w:hanging="255"/>
      </w:pPr>
      <w:rPr>
        <w:rFonts w:hint="default"/>
        <w:lang w:val="zh-CN" w:eastAsia="zh-CN" w:bidi="zh-CN"/>
      </w:rPr>
    </w:lvl>
    <w:lvl w:ilvl="6">
      <w:start w:val="0"/>
      <w:numFmt w:val="bullet"/>
      <w:lvlText w:val="•"/>
      <w:lvlJc w:val="left"/>
      <w:pPr>
        <w:ind w:left="5892" w:hanging="255"/>
      </w:pPr>
      <w:rPr>
        <w:rFonts w:hint="default"/>
        <w:lang w:val="zh-CN" w:eastAsia="zh-CN" w:bidi="zh-CN"/>
      </w:rPr>
    </w:lvl>
    <w:lvl w:ilvl="7">
      <w:start w:val="0"/>
      <w:numFmt w:val="bullet"/>
      <w:lvlText w:val="•"/>
      <w:lvlJc w:val="left"/>
      <w:pPr>
        <w:ind w:left="7010" w:hanging="255"/>
      </w:pPr>
      <w:rPr>
        <w:rFonts w:hint="default"/>
        <w:lang w:val="zh-CN" w:eastAsia="zh-CN" w:bidi="zh-CN"/>
      </w:rPr>
    </w:lvl>
    <w:lvl w:ilvl="8">
      <w:start w:val="0"/>
      <w:numFmt w:val="bullet"/>
      <w:lvlText w:val="•"/>
      <w:lvlJc w:val="left"/>
      <w:pPr>
        <w:ind w:left="8129" w:hanging="255"/>
      </w:pPr>
      <w:rPr>
        <w:rFonts w:hint="default"/>
        <w:lang w:val="zh-CN" w:eastAsia="zh-CN" w:bidi="zh-CN"/>
      </w:rPr>
    </w:lvl>
  </w:abstractNum>
  <w:abstractNum w:abstractNumId="0">
    <w:multiLevelType w:val="hybridMultilevel"/>
    <w:lvl w:ilvl="0">
      <w:start w:val="2"/>
      <w:numFmt w:val="decimal"/>
      <w:lvlText w:val="%1）"/>
      <w:lvlJc w:val="left"/>
      <w:pPr>
        <w:ind w:left="1013" w:hanging="270"/>
        <w:jc w:val="left"/>
      </w:pPr>
      <w:rPr>
        <w:rFonts w:hint="default" w:ascii="Times New Roman" w:hAnsi="Times New Roman" w:eastAsia="Times New Roman" w:cs="Times New Roman"/>
        <w:b/>
        <w:bCs/>
        <w:spacing w:val="-3"/>
        <w:w w:val="99"/>
        <w:sz w:val="16"/>
        <w:szCs w:val="16"/>
        <w:lang w:val="zh-CN" w:eastAsia="zh-CN" w:bidi="zh-CN"/>
      </w:rPr>
    </w:lvl>
    <w:lvl w:ilvl="1">
      <w:start w:val="0"/>
      <w:numFmt w:val="bullet"/>
      <w:lvlText w:val="•"/>
      <w:lvlJc w:val="left"/>
      <w:pPr>
        <w:ind w:left="1954" w:hanging="270"/>
      </w:pPr>
      <w:rPr>
        <w:rFonts w:hint="default"/>
        <w:lang w:val="zh-CN" w:eastAsia="zh-CN" w:bidi="zh-CN"/>
      </w:rPr>
    </w:lvl>
    <w:lvl w:ilvl="2">
      <w:start w:val="0"/>
      <w:numFmt w:val="bullet"/>
      <w:lvlText w:val="•"/>
      <w:lvlJc w:val="left"/>
      <w:pPr>
        <w:ind w:left="2889" w:hanging="270"/>
      </w:pPr>
      <w:rPr>
        <w:rFonts w:hint="default"/>
        <w:lang w:val="zh-CN" w:eastAsia="zh-CN" w:bidi="zh-CN"/>
      </w:rPr>
    </w:lvl>
    <w:lvl w:ilvl="3">
      <w:start w:val="0"/>
      <w:numFmt w:val="bullet"/>
      <w:lvlText w:val="•"/>
      <w:lvlJc w:val="left"/>
      <w:pPr>
        <w:ind w:left="3823" w:hanging="270"/>
      </w:pPr>
      <w:rPr>
        <w:rFonts w:hint="default"/>
        <w:lang w:val="zh-CN" w:eastAsia="zh-CN" w:bidi="zh-CN"/>
      </w:rPr>
    </w:lvl>
    <w:lvl w:ilvl="4">
      <w:start w:val="0"/>
      <w:numFmt w:val="bullet"/>
      <w:lvlText w:val="•"/>
      <w:lvlJc w:val="left"/>
      <w:pPr>
        <w:ind w:left="4758" w:hanging="270"/>
      </w:pPr>
      <w:rPr>
        <w:rFonts w:hint="default"/>
        <w:lang w:val="zh-CN" w:eastAsia="zh-CN" w:bidi="zh-CN"/>
      </w:rPr>
    </w:lvl>
    <w:lvl w:ilvl="5">
      <w:start w:val="0"/>
      <w:numFmt w:val="bullet"/>
      <w:lvlText w:val="•"/>
      <w:lvlJc w:val="left"/>
      <w:pPr>
        <w:ind w:left="5693" w:hanging="270"/>
      </w:pPr>
      <w:rPr>
        <w:rFonts w:hint="default"/>
        <w:lang w:val="zh-CN" w:eastAsia="zh-CN" w:bidi="zh-CN"/>
      </w:rPr>
    </w:lvl>
    <w:lvl w:ilvl="6">
      <w:start w:val="0"/>
      <w:numFmt w:val="bullet"/>
      <w:lvlText w:val="•"/>
      <w:lvlJc w:val="left"/>
      <w:pPr>
        <w:ind w:left="6627" w:hanging="270"/>
      </w:pPr>
      <w:rPr>
        <w:rFonts w:hint="default"/>
        <w:lang w:val="zh-CN" w:eastAsia="zh-CN" w:bidi="zh-CN"/>
      </w:rPr>
    </w:lvl>
    <w:lvl w:ilvl="7">
      <w:start w:val="0"/>
      <w:numFmt w:val="bullet"/>
      <w:lvlText w:val="•"/>
      <w:lvlJc w:val="left"/>
      <w:pPr>
        <w:ind w:left="7562" w:hanging="270"/>
      </w:pPr>
      <w:rPr>
        <w:rFonts w:hint="default"/>
        <w:lang w:val="zh-CN" w:eastAsia="zh-CN" w:bidi="zh-CN"/>
      </w:rPr>
    </w:lvl>
    <w:lvl w:ilvl="8">
      <w:start w:val="0"/>
      <w:numFmt w:val="bullet"/>
      <w:lvlText w:val="•"/>
      <w:lvlJc w:val="left"/>
      <w:pPr>
        <w:ind w:left="8496" w:hanging="270"/>
      </w:pPr>
      <w:rPr>
        <w:rFonts w:hint="default"/>
        <w:lang w:val="zh-CN" w:eastAsia="zh-CN" w:bidi="zh-CN"/>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ind w:left="127"/>
    </w:pPr>
    <w:rPr>
      <w:rFonts w:ascii="宋体" w:hAnsi="宋体" w:eastAsia="宋体" w:cs="宋体"/>
      <w:sz w:val="18"/>
      <w:szCs w:val="18"/>
      <w:lang w:val="zh-CN" w:eastAsia="zh-CN" w:bidi="zh-CN"/>
    </w:rPr>
  </w:style>
  <w:style w:styleId="Heading1" w:type="paragraph">
    <w:name w:val="Heading 1"/>
    <w:basedOn w:val="Normal"/>
    <w:uiPriority w:val="1"/>
    <w:qFormat/>
    <w:pPr>
      <w:spacing w:line="176" w:lineRule="exact"/>
      <w:ind w:left="12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76" w:lineRule="exact"/>
      <w:ind w:left="300" w:hanging="176"/>
    </w:pPr>
    <w:rPr>
      <w:rFonts w:ascii="宋体" w:hAnsi="宋体" w:eastAsia="宋体" w:cs="宋体"/>
      <w:lang w:val="zh-CN" w:eastAsia="zh-CN" w:bidi="zh-CN"/>
    </w:rPr>
  </w:style>
  <w:style w:styleId="TableParagraph" w:type="paragraph">
    <w:name w:val="Table Paragraph"/>
    <w:basedOn w:val="Normal"/>
    <w:uiPriority w:val="1"/>
    <w:qFormat/>
    <w:pPr>
      <w:spacing w:line="156" w:lineRule="exact"/>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2021-04-21T13:46:08Z</dcterms:created>
  <dcterms:modified xsi:type="dcterms:W3CDTF">2021-04-21T13:46:08Z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WPS 文字</vt:lpwstr>
  </property>
  <property fmtid="{D5CDD505-2E9C-101B-9397-08002B2CF9AE}" pid="4" name="LastSaved">
    <vt:filetime>2021-04-21T00:00:00Z</vt:filetime>
  </property>
</Properties>
</file>