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rPr>
          <w:rFonts w:ascii="Times New Roman"/>
        </w:rPr>
      </w:pPr>
    </w:p>
    <w:p>
      <w:pPr>
        <w:pStyle w:val="BodyText"/>
        <w:spacing w:before="9"/>
        <w:ind w:left="0"/>
        <w:rPr>
          <w:rFonts w:ascii="Times New Roman"/>
        </w:rPr>
      </w:pPr>
    </w:p>
    <w:p>
      <w:pPr>
        <w:pStyle w:val="Heading1"/>
        <w:spacing w:line="207" w:lineRule="exact"/>
      </w:pPr>
      <w:r>
        <w:rPr/>
        <w:t>【产品名称】</w:t>
      </w:r>
    </w:p>
    <w:p>
      <w:pPr>
        <w:spacing w:before="100"/>
        <w:ind w:left="107" w:right="0" w:firstLine="0"/>
        <w:jc w:val="left"/>
        <w:rPr>
          <w:b/>
          <w:sz w:val="21"/>
        </w:rPr>
      </w:pPr>
      <w:r>
        <w:rPr/>
        <w:br w:type="column"/>
      </w:r>
      <w:r>
        <w:rPr>
          <w:b/>
          <w:sz w:val="21"/>
        </w:rPr>
        <w:t>人乳头瘤病毒（</w:t>
      </w:r>
      <w:r>
        <w:rPr>
          <w:rFonts w:ascii="Times New Roman" w:eastAsia="Times New Roman"/>
          <w:b/>
          <w:sz w:val="21"/>
        </w:rPr>
        <w:t>16</w:t>
      </w:r>
      <w:r>
        <w:rPr>
          <w:b/>
          <w:sz w:val="21"/>
        </w:rPr>
        <w:t>，</w:t>
      </w:r>
      <w:r>
        <w:rPr>
          <w:rFonts w:ascii="Times New Roman" w:eastAsia="Times New Roman"/>
          <w:b/>
          <w:sz w:val="21"/>
        </w:rPr>
        <w:t>18</w:t>
      </w:r>
      <w:r>
        <w:rPr>
          <w:b/>
          <w:sz w:val="21"/>
        </w:rPr>
        <w:t>型）核酸检测试剂盒（</w:t>
      </w:r>
      <w:r>
        <w:rPr>
          <w:rFonts w:ascii="Times New Roman" w:eastAsia="Times New Roman"/>
          <w:b/>
          <w:sz w:val="21"/>
        </w:rPr>
        <w:t>PCR-</w:t>
      </w:r>
      <w:r>
        <w:rPr>
          <w:b/>
          <w:sz w:val="21"/>
        </w:rPr>
        <w:t>荧光探针法）说明书</w:t>
      </w:r>
    </w:p>
    <w:p>
      <w:pPr>
        <w:spacing w:after="0"/>
        <w:jc w:val="left"/>
        <w:rPr>
          <w:sz w:val="21"/>
        </w:rPr>
        <w:sectPr>
          <w:headerReference w:type="default" r:id="rId5"/>
          <w:footerReference w:type="default" r:id="rId6"/>
          <w:type w:val="continuous"/>
          <w:pgSz w:w="11910" w:h="16840"/>
          <w:pgMar w:header="462" w:footer="465" w:top="660" w:bottom="660" w:left="800" w:right="700"/>
          <w:pgNumType w:start="1"/>
          <w:cols w:num="2" w:equalWidth="0">
            <w:col w:w="1211" w:space="539"/>
            <w:col w:w="8660"/>
          </w:cols>
        </w:sectPr>
      </w:pPr>
    </w:p>
    <w:p>
      <w:pPr>
        <w:pStyle w:val="BodyText"/>
        <w:spacing w:line="193" w:lineRule="exact"/>
        <w:rPr>
          <w:rFonts w:ascii="Times New Roman" w:eastAsia="Times New Roman"/>
        </w:rPr>
      </w:pPr>
      <w:r>
        <w:rPr/>
        <w:pict>
          <v:line style="position:absolute;mso-position-horizontal-relative:page;mso-position-vertical-relative:page;z-index:251658240" from="45.349998pt,35.710026pt" to="549.949998pt,35.710026pt" stroked="true" strokeweight=".72pt" strokecolor="#000000">
            <v:stroke dashstyle="solid"/>
            <w10:wrap type="none"/>
          </v:line>
        </w:pict>
      </w:r>
      <w:r>
        <w:rPr/>
        <w:t>通用名：人乳头瘤病毒（</w:t>
      </w:r>
      <w:r>
        <w:rPr>
          <w:rFonts w:ascii="Times New Roman" w:eastAsia="Times New Roman"/>
        </w:rPr>
        <w:t>16</w:t>
      </w:r>
      <w:r>
        <w:rPr/>
        <w:t>，</w:t>
      </w:r>
      <w:r>
        <w:rPr>
          <w:rFonts w:ascii="Times New Roman" w:eastAsia="Times New Roman"/>
        </w:rPr>
        <w:t>18 </w:t>
      </w:r>
      <w:r>
        <w:rPr/>
        <w:t>型）核酸检测试剂盒 </w:t>
      </w:r>
      <w:r>
        <w:rPr>
          <w:rFonts w:ascii="Times New Roman" w:eastAsia="Times New Roman"/>
        </w:rPr>
        <w:t>(PCR-</w:t>
      </w:r>
      <w:r>
        <w:rPr/>
        <w:t>荧光探针法</w:t>
      </w:r>
      <w:r>
        <w:rPr>
          <w:rFonts w:ascii="Times New Roman" w:eastAsia="Times New Roman"/>
        </w:rPr>
        <w:t>)</w:t>
      </w:r>
    </w:p>
    <w:p>
      <w:pPr>
        <w:spacing w:line="190" w:lineRule="exact" w:before="0"/>
        <w:ind w:left="107" w:right="0" w:firstLine="0"/>
        <w:jc w:val="left"/>
        <w:rPr>
          <w:sz w:val="18"/>
        </w:rPr>
      </w:pPr>
      <w:r>
        <w:rPr>
          <w:b/>
          <w:sz w:val="18"/>
        </w:rPr>
        <w:t>【包装规格】</w:t>
      </w:r>
      <w:r>
        <w:rPr>
          <w:rFonts w:ascii="Times New Roman" w:eastAsia="Times New Roman"/>
          <w:sz w:val="18"/>
        </w:rPr>
        <w:t>48 </w:t>
      </w:r>
      <w:r>
        <w:rPr>
          <w:sz w:val="18"/>
        </w:rPr>
        <w:t>人份</w:t>
      </w:r>
      <w:r>
        <w:rPr>
          <w:rFonts w:ascii="Times New Roman" w:eastAsia="Times New Roman"/>
          <w:sz w:val="18"/>
        </w:rPr>
        <w:t>/</w:t>
      </w:r>
      <w:r>
        <w:rPr>
          <w:sz w:val="18"/>
        </w:rPr>
        <w:t>盒</w:t>
      </w:r>
    </w:p>
    <w:p>
      <w:pPr>
        <w:pStyle w:val="Heading1"/>
      </w:pPr>
      <w:r>
        <w:rPr/>
        <w:t>【预期用途】</w:t>
      </w:r>
    </w:p>
    <w:p>
      <w:pPr>
        <w:pStyle w:val="BodyText"/>
        <w:spacing w:line="196" w:lineRule="auto" w:before="12"/>
        <w:ind w:left="464" w:right="1001"/>
      </w:pPr>
      <w:r>
        <w:rPr>
          <w:spacing w:val="-5"/>
        </w:rPr>
        <w:t>本试剂盒适用于检测生殖道分泌物标本中的高危型人乳头瘤病毒</w:t>
      </w:r>
      <w:r>
        <w:rPr>
          <w:rFonts w:ascii="Times New Roman" w:eastAsia="Times New Roman"/>
          <w:spacing w:val="-3"/>
        </w:rPr>
        <w:t>(Human papillomavirus</w:t>
      </w:r>
      <w:r>
        <w:rPr>
          <w:spacing w:val="-3"/>
        </w:rPr>
        <w:t>， </w:t>
      </w:r>
      <w:r>
        <w:rPr>
          <w:rFonts w:ascii="Times New Roman" w:eastAsia="Times New Roman"/>
        </w:rPr>
        <w:t>HPV</w:t>
      </w:r>
      <w:r>
        <w:rPr>
          <w:rFonts w:ascii="Times New Roman" w:eastAsia="Times New Roman"/>
          <w:spacing w:val="-4"/>
        </w:rPr>
        <w:t>) </w:t>
      </w:r>
      <w:r>
        <w:rPr>
          <w:rFonts w:ascii="Times New Roman" w:eastAsia="Times New Roman"/>
        </w:rPr>
        <w:t>16 </w:t>
      </w:r>
      <w:r>
        <w:rPr>
          <w:spacing w:val="-19"/>
        </w:rPr>
        <w:t>型和 </w:t>
      </w:r>
      <w:r>
        <w:rPr>
          <w:rFonts w:ascii="Times New Roman" w:eastAsia="Times New Roman"/>
        </w:rPr>
        <w:t>18 </w:t>
      </w:r>
      <w:r>
        <w:rPr>
          <w:spacing w:val="38"/>
        </w:rPr>
        <w:t>型</w:t>
      </w:r>
      <w:r>
        <w:rPr>
          <w:rFonts w:ascii="Times New Roman" w:eastAsia="Times New Roman"/>
          <w:spacing w:val="-3"/>
        </w:rPr>
        <w:t>DNA</w:t>
      </w:r>
      <w:r>
        <w:rPr/>
        <w:t>。</w:t>
      </w:r>
      <w:r>
        <w:rPr>
          <w:spacing w:val="-8"/>
        </w:rPr>
        <w:t>本试剂盒可用于临床中高危型人乳头瘤病毒 </w:t>
      </w:r>
      <w:r>
        <w:rPr>
          <w:rFonts w:ascii="Times New Roman" w:eastAsia="Times New Roman"/>
        </w:rPr>
        <w:t>16/ 18 </w:t>
      </w:r>
      <w:r>
        <w:rPr>
          <w:spacing w:val="-5"/>
        </w:rPr>
        <w:t>型感染的辅助诊断和宫颈癌的早期筛查。</w:t>
      </w:r>
    </w:p>
    <w:p>
      <w:pPr>
        <w:pStyle w:val="BodyText"/>
        <w:spacing w:line="196" w:lineRule="auto" w:before="3"/>
        <w:ind w:right="190" w:firstLine="352"/>
        <w:jc w:val="both"/>
      </w:pPr>
      <w:r>
        <w:rPr>
          <w:spacing w:val="-5"/>
        </w:rPr>
        <w:t>临床适应背景情况：人乳头瘤病毒</w:t>
      </w:r>
      <w:r>
        <w:rPr>
          <w:spacing w:val="-3"/>
        </w:rPr>
        <w:t>（</w:t>
      </w:r>
      <w:r>
        <w:rPr>
          <w:rFonts w:ascii="Times New Roman" w:eastAsia="Times New Roman"/>
          <w:spacing w:val="-3"/>
        </w:rPr>
        <w:t>Human papillomavirus </w:t>
      </w:r>
      <w:r>
        <w:rPr>
          <w:spacing w:val="-4"/>
        </w:rPr>
        <w:t>，</w:t>
      </w:r>
      <w:r>
        <w:rPr>
          <w:rFonts w:ascii="Times New Roman" w:eastAsia="Times New Roman"/>
          <w:spacing w:val="-4"/>
        </w:rPr>
        <w:t>HPV</w:t>
      </w:r>
      <w:r>
        <w:rPr>
          <w:spacing w:val="-4"/>
        </w:rPr>
        <w:t>）</w:t>
      </w:r>
      <w:r>
        <w:rPr>
          <w:spacing w:val="-3"/>
        </w:rPr>
        <w:t>是一类分子量较小的无包膜的双链环状</w:t>
      </w:r>
      <w:r>
        <w:rPr>
          <w:rFonts w:ascii="Times New Roman" w:eastAsia="Times New Roman"/>
        </w:rPr>
        <w:t>DNA </w:t>
      </w:r>
      <w:r>
        <w:rPr>
          <w:spacing w:val="-5"/>
        </w:rPr>
        <w:t>病毒，专性侵染和寄生人体生殖器官及其它组织器官的上皮细胞。在临床上，根据人乳头瘤病毒不同亚型致病力大小或致癌危险性大小不同可将人乳头瘤病毒分为高危型和低危型两大类。低危型人乳头瘤病毒主要引起肛门皮肤及男性外生殖器、女性大小阴唇、尿道口、阴道下段的外生性疣类病变和低度子宫颈上皮内瘤。高危型人乳头瘤病毒除可引起外生殖器疣外，更重要的是引起外生殖器癌，宫颈癌</w:t>
      </w:r>
      <w:r>
        <w:rPr>
          <w:spacing w:val="-9"/>
        </w:rPr>
        <w:t>及高度子宫颈上皮内瘤变。研究表明，人乳头状瘤病毒持续感染是引起宫颈癌及其癌前病变的主要因素。</w:t>
      </w:r>
      <w:r>
        <w:rPr>
          <w:rFonts w:ascii="Times New Roman" w:eastAsia="Times New Roman"/>
          <w:spacing w:val="-3"/>
        </w:rPr>
        <w:t>99.7%</w:t>
      </w:r>
      <w:r>
        <w:rPr>
          <w:spacing w:val="-5"/>
        </w:rPr>
        <w:t>的子宫颈癌患者都可</w:t>
      </w:r>
      <w:r>
        <w:rPr>
          <w:spacing w:val="-2"/>
        </w:rPr>
        <w:t>检测到高危人乳头状瘤病毒</w:t>
      </w:r>
      <w:r>
        <w:rPr>
          <w:rFonts w:ascii="Times New Roman" w:eastAsia="Times New Roman"/>
          <w:spacing w:val="-3"/>
        </w:rPr>
        <w:t>DNA</w:t>
      </w:r>
      <w:r>
        <w:rPr>
          <w:spacing w:val="-8"/>
        </w:rPr>
        <w:t>。由于高危型人乳头状瘤病毒与宫颈癌的发病密切相关，人乳头状瘤病毒检测是宫颈癌重要的筛查</w:t>
      </w:r>
      <w:r>
        <w:rPr>
          <w:spacing w:val="-10"/>
        </w:rPr>
        <w:t>方法。 迄今，人乳头瘤病毒难于用传统的病毒培养及血清学技术检测，主要实验诊断技术是基于核酸检测的分子生物学方法。主要</w:t>
      </w:r>
      <w:r>
        <w:rPr>
          <w:spacing w:val="-31"/>
        </w:rPr>
        <w:t>是 </w:t>
      </w:r>
      <w:r>
        <w:rPr>
          <w:rFonts w:ascii="Times New Roman" w:eastAsia="Times New Roman"/>
        </w:rPr>
        <w:t>1 </w:t>
      </w:r>
      <w:r>
        <w:rPr>
          <w:spacing w:val="-4"/>
        </w:rPr>
        <w:t>以靶序列扩增为基础的检测技术：型特异性</w:t>
      </w:r>
      <w:r>
        <w:rPr>
          <w:rFonts w:ascii="Times New Roman" w:eastAsia="Times New Roman"/>
        </w:rPr>
        <w:t>PCR</w:t>
      </w:r>
      <w:r>
        <w:rPr>
          <w:spacing w:val="-15"/>
        </w:rPr>
        <w:t>、</w:t>
      </w:r>
      <w:r>
        <w:rPr>
          <w:rFonts w:ascii="Times New Roman" w:eastAsia="Times New Roman"/>
        </w:rPr>
        <w:t>mRNA </w:t>
      </w:r>
      <w:r>
        <w:rPr>
          <w:spacing w:val="-2"/>
        </w:rPr>
        <w:t>扩增检测、通用引物</w:t>
      </w:r>
      <w:r>
        <w:rPr>
          <w:rFonts w:ascii="Times New Roman" w:eastAsia="Times New Roman"/>
        </w:rPr>
        <w:t>PCR </w:t>
      </w:r>
      <w:r>
        <w:rPr>
          <w:spacing w:val="-9"/>
        </w:rPr>
        <w:t>法、实时</w:t>
      </w:r>
      <w:r>
        <w:rPr>
          <w:spacing w:val="-5"/>
        </w:rPr>
        <w:t>（多重）</w:t>
      </w:r>
      <w:r>
        <w:rPr>
          <w:rFonts w:ascii="Times New Roman" w:eastAsia="Times New Roman"/>
          <w:spacing w:val="-5"/>
        </w:rPr>
        <w:t>PCR-</w:t>
      </w:r>
      <w:r>
        <w:rPr>
          <w:spacing w:val="-6"/>
        </w:rPr>
        <w:t>荧光法等；</w:t>
      </w:r>
      <w:r>
        <w:rPr>
          <w:rFonts w:ascii="Times New Roman" w:eastAsia="Times New Roman"/>
          <w:spacing w:val="-6"/>
        </w:rPr>
        <w:t>2 </w:t>
      </w:r>
      <w:r>
        <w:rPr>
          <w:spacing w:val="-3"/>
        </w:rPr>
        <w:t>以信号</w:t>
      </w:r>
      <w:r>
        <w:rPr>
          <w:spacing w:val="-5"/>
        </w:rPr>
        <w:t>放大为基础的检测技术：液相信号放大技术、形态学信号放大技术、酶切信号放大技术等。</w:t>
      </w:r>
    </w:p>
    <w:p>
      <w:pPr>
        <w:pStyle w:val="Heading1"/>
        <w:spacing w:line="184" w:lineRule="exact"/>
      </w:pPr>
      <w:r>
        <w:rPr/>
        <w:t>【检验原理】</w:t>
      </w:r>
    </w:p>
    <w:p>
      <w:pPr>
        <w:pStyle w:val="BodyText"/>
        <w:spacing w:line="199" w:lineRule="auto" w:before="10"/>
        <w:ind w:right="200" w:firstLine="352"/>
        <w:jc w:val="both"/>
      </w:pPr>
      <w:r>
        <w:rPr>
          <w:spacing w:val="-8"/>
        </w:rPr>
        <w:t>本试剂盒采用核酸释放剂快速裂解、释放样本中的人乳头瘤病毒 </w:t>
      </w:r>
      <w:r>
        <w:rPr>
          <w:rFonts w:ascii="Times New Roman" w:eastAsia="Times New Roman"/>
          <w:spacing w:val="-11"/>
        </w:rPr>
        <w:t>DNA</w:t>
      </w:r>
      <w:r>
        <w:rPr>
          <w:spacing w:val="-11"/>
        </w:rPr>
        <w:t>，利用针对人乳头瘤病毒 </w:t>
      </w:r>
      <w:r>
        <w:rPr>
          <w:rFonts w:ascii="Times New Roman" w:eastAsia="Times New Roman"/>
        </w:rPr>
        <w:t>16 </w:t>
      </w:r>
      <w:r>
        <w:rPr>
          <w:spacing w:val="-10"/>
        </w:rPr>
        <w:t>型和人乳头瘤病毒 </w:t>
      </w:r>
      <w:r>
        <w:rPr>
          <w:rFonts w:ascii="Times New Roman" w:eastAsia="Times New Roman"/>
        </w:rPr>
        <w:t>18 </w:t>
      </w:r>
      <w:r>
        <w:rPr>
          <w:spacing w:val="-4"/>
        </w:rPr>
        <w:t>型核酸</w:t>
      </w:r>
      <w:r>
        <w:rPr>
          <w:spacing w:val="-3"/>
        </w:rPr>
        <w:t>保守区设计一套特异性引物和荧光探针，配以</w:t>
      </w:r>
      <w:r>
        <w:rPr>
          <w:rFonts w:ascii="Times New Roman" w:eastAsia="Times New Roman"/>
        </w:rPr>
        <w:t>PCR </w:t>
      </w:r>
      <w:r>
        <w:rPr>
          <w:spacing w:val="-2"/>
        </w:rPr>
        <w:t>反应液等组分，在荧光定量</w:t>
      </w:r>
      <w:r>
        <w:rPr>
          <w:rFonts w:ascii="Times New Roman" w:eastAsia="Times New Roman"/>
        </w:rPr>
        <w:t>PCR </w:t>
      </w:r>
      <w:r>
        <w:rPr>
          <w:spacing w:val="-1"/>
        </w:rPr>
        <w:t>仪上，应用实时荧光定量</w:t>
      </w:r>
      <w:r>
        <w:rPr>
          <w:rFonts w:ascii="Times New Roman" w:eastAsia="Times New Roman"/>
        </w:rPr>
        <w:t>PCR </w:t>
      </w:r>
      <w:r>
        <w:rPr>
          <w:spacing w:val="-5"/>
        </w:rPr>
        <w:t>检测技术，通过</w:t>
      </w:r>
      <w:r>
        <w:rPr>
          <w:spacing w:val="-6"/>
        </w:rPr>
        <w:t>荧光信号的变化实现人乳头瘤病毒 </w:t>
      </w:r>
      <w:r>
        <w:rPr>
          <w:rFonts w:ascii="Times New Roman" w:eastAsia="Times New Roman"/>
        </w:rPr>
        <w:t>DNA </w:t>
      </w:r>
      <w:r>
        <w:rPr>
          <w:spacing w:val="-8"/>
        </w:rPr>
        <w:t>的快速检测，可同时检测出人乳头瘤病毒 </w:t>
      </w:r>
      <w:r>
        <w:rPr>
          <w:rFonts w:ascii="Times New Roman" w:eastAsia="Times New Roman"/>
        </w:rPr>
        <w:t>16 </w:t>
      </w:r>
      <w:r>
        <w:rPr>
          <w:spacing w:val="-10"/>
        </w:rPr>
        <w:t>型和人乳头瘤病毒 </w:t>
      </w:r>
      <w:r>
        <w:rPr>
          <w:rFonts w:ascii="Times New Roman" w:eastAsia="Times New Roman"/>
        </w:rPr>
        <w:t>18 </w:t>
      </w:r>
      <w:r>
        <w:rPr>
          <w:spacing w:val="-5"/>
        </w:rPr>
        <w:t>型病毒标本。</w:t>
      </w:r>
    </w:p>
    <w:p>
      <w:pPr>
        <w:pStyle w:val="BodyText"/>
        <w:spacing w:line="176" w:lineRule="exact"/>
        <w:ind w:left="464"/>
        <w:jc w:val="both"/>
      </w:pPr>
      <w:r>
        <w:rPr>
          <w:rFonts w:ascii="Times New Roman" w:eastAsia="Times New Roman"/>
        </w:rPr>
        <w:t>PCR </w:t>
      </w:r>
      <w:r>
        <w:rPr/>
        <w:t>检测体系含有</w:t>
      </w:r>
      <w:r>
        <w:rPr>
          <w:rFonts w:ascii="Times New Roman" w:eastAsia="Times New Roman"/>
        </w:rPr>
        <w:t>UNG </w:t>
      </w:r>
      <w:r>
        <w:rPr/>
        <w:t>酶</w:t>
      </w:r>
      <w:r>
        <w:rPr>
          <w:rFonts w:ascii="Times New Roman" w:eastAsia="Times New Roman"/>
        </w:rPr>
        <w:t>+dUTP </w:t>
      </w:r>
      <w:r>
        <w:rPr/>
        <w:t>防污染措施，将可能的产物污染充分降解，避免假阳性结果。</w:t>
      </w:r>
    </w:p>
    <w:p>
      <w:pPr>
        <w:pStyle w:val="BodyText"/>
        <w:spacing w:line="190" w:lineRule="exact"/>
        <w:ind w:left="464"/>
        <w:jc w:val="both"/>
      </w:pPr>
      <w:r>
        <w:rPr>
          <w:rFonts w:ascii="Times New Roman" w:eastAsia="Times New Roman"/>
        </w:rPr>
        <w:t>P</w:t>
      </w:r>
      <w:r>
        <w:rPr>
          <w:rFonts w:ascii="Times New Roman" w:eastAsia="Times New Roman"/>
          <w:spacing w:val="-3"/>
        </w:rPr>
        <w:t>C</w:t>
      </w:r>
      <w:r>
        <w:rPr>
          <w:rFonts w:ascii="Times New Roman" w:eastAsia="Times New Roman"/>
        </w:rPr>
        <w:t>R</w:t>
      </w:r>
      <w:r>
        <w:rPr>
          <w:rFonts w:ascii="Times New Roman" w:eastAsia="Times New Roman"/>
          <w:spacing w:val="-5"/>
        </w:rPr>
        <w:t> </w:t>
      </w:r>
      <w:r>
        <w:rPr>
          <w:spacing w:val="-5"/>
        </w:rPr>
        <w:t>检测体系含有阳性内对照（</w:t>
      </w:r>
      <w:r>
        <w:rPr>
          <w:spacing w:val="-4"/>
        </w:rPr>
        <w:t>内标</w:t>
      </w:r>
      <w:r>
        <w:rPr>
          <w:spacing w:val="-94"/>
        </w:rPr>
        <w:t>）</w:t>
      </w:r>
      <w:r>
        <w:rPr>
          <w:spacing w:val="-7"/>
        </w:rPr>
        <w:t>，通过检测内标是否正常来监测待测样本中是否具有 </w:t>
      </w:r>
      <w:r>
        <w:rPr>
          <w:rFonts w:ascii="Times New Roman" w:eastAsia="Times New Roman"/>
        </w:rPr>
        <w:t>P</w:t>
      </w:r>
      <w:r>
        <w:rPr>
          <w:rFonts w:ascii="Times New Roman" w:eastAsia="Times New Roman"/>
          <w:spacing w:val="-3"/>
        </w:rPr>
        <w:t>C</w:t>
      </w:r>
      <w:r>
        <w:rPr>
          <w:rFonts w:ascii="Times New Roman" w:eastAsia="Times New Roman"/>
        </w:rPr>
        <w:t>R</w:t>
      </w:r>
      <w:r>
        <w:rPr>
          <w:rFonts w:ascii="Times New Roman" w:eastAsia="Times New Roman"/>
          <w:spacing w:val="-5"/>
        </w:rPr>
        <w:t> </w:t>
      </w:r>
      <w:r>
        <w:rPr>
          <w:spacing w:val="2"/>
        </w:rPr>
        <w:t>抑制物，避免</w:t>
      </w:r>
      <w:r>
        <w:rPr>
          <w:rFonts w:ascii="Times New Roman" w:eastAsia="Times New Roman"/>
        </w:rPr>
        <w:t>P</w:t>
      </w:r>
      <w:r>
        <w:rPr>
          <w:rFonts w:ascii="Times New Roman" w:eastAsia="Times New Roman"/>
          <w:spacing w:val="-3"/>
        </w:rPr>
        <w:t>C</w:t>
      </w:r>
      <w:r>
        <w:rPr>
          <w:rFonts w:ascii="Times New Roman" w:eastAsia="Times New Roman"/>
        </w:rPr>
        <w:t>R</w:t>
      </w:r>
      <w:r>
        <w:rPr>
          <w:rFonts w:ascii="Times New Roman" w:eastAsia="Times New Roman"/>
          <w:spacing w:val="-5"/>
        </w:rPr>
        <w:t> </w:t>
      </w:r>
      <w:r>
        <w:rPr>
          <w:spacing w:val="-4"/>
        </w:rPr>
        <w:t>假阴性。</w:t>
      </w:r>
    </w:p>
    <w:p>
      <w:pPr>
        <w:pStyle w:val="Heading1"/>
        <w:spacing w:line="210" w:lineRule="exact"/>
      </w:pPr>
      <w:r>
        <w:rPr/>
        <w:t>【主要组成成分】</w:t>
      </w:r>
    </w:p>
    <w:tbl>
      <w:tblPr>
        <w:tblW w:w="0" w:type="auto"/>
        <w:jc w:val="left"/>
        <w:tblInd w:w="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1"/>
        <w:gridCol w:w="2927"/>
        <w:gridCol w:w="1752"/>
        <w:gridCol w:w="3485"/>
      </w:tblGrid>
      <w:tr>
        <w:trPr>
          <w:trHeight w:val="270" w:hRule="atLeast"/>
        </w:trPr>
        <w:tc>
          <w:tcPr>
            <w:tcW w:w="601" w:type="dxa"/>
            <w:tcBorders>
              <w:left w:val="single" w:sz="6" w:space="0" w:color="000000"/>
              <w:bottom w:val="single" w:sz="6" w:space="0" w:color="000000"/>
              <w:right w:val="single" w:sz="6" w:space="0" w:color="000000"/>
            </w:tcBorders>
          </w:tcPr>
          <w:p>
            <w:pPr>
              <w:pStyle w:val="TableParagraph"/>
              <w:spacing w:line="240" w:lineRule="auto"/>
              <w:ind w:left="101" w:right="84"/>
              <w:rPr>
                <w:rFonts w:ascii="宋体" w:eastAsia="宋体" w:hint="eastAsia"/>
                <w:sz w:val="18"/>
              </w:rPr>
            </w:pPr>
            <w:r>
              <w:rPr>
                <w:rFonts w:ascii="宋体" w:eastAsia="宋体" w:hint="eastAsia"/>
                <w:sz w:val="18"/>
              </w:rPr>
              <w:t>序号</w:t>
            </w:r>
          </w:p>
        </w:tc>
        <w:tc>
          <w:tcPr>
            <w:tcW w:w="2927" w:type="dxa"/>
            <w:tcBorders>
              <w:left w:val="single" w:sz="6" w:space="0" w:color="000000"/>
              <w:bottom w:val="single" w:sz="6" w:space="0" w:color="000000"/>
              <w:right w:val="single" w:sz="6" w:space="0" w:color="000000"/>
            </w:tcBorders>
          </w:tcPr>
          <w:p>
            <w:pPr>
              <w:pStyle w:val="TableParagraph"/>
              <w:spacing w:line="240" w:lineRule="auto"/>
              <w:ind w:left="106" w:right="92"/>
              <w:rPr>
                <w:rFonts w:ascii="宋体" w:eastAsia="宋体" w:hint="eastAsia"/>
                <w:sz w:val="18"/>
              </w:rPr>
            </w:pPr>
            <w:r>
              <w:rPr>
                <w:rFonts w:ascii="宋体" w:eastAsia="宋体" w:hint="eastAsia"/>
                <w:sz w:val="18"/>
              </w:rPr>
              <w:t>试剂名称</w:t>
            </w:r>
          </w:p>
        </w:tc>
        <w:tc>
          <w:tcPr>
            <w:tcW w:w="1752" w:type="dxa"/>
            <w:tcBorders>
              <w:left w:val="single" w:sz="6" w:space="0" w:color="000000"/>
              <w:bottom w:val="single" w:sz="6" w:space="0" w:color="000000"/>
              <w:right w:val="single" w:sz="6" w:space="0" w:color="000000"/>
            </w:tcBorders>
          </w:tcPr>
          <w:p>
            <w:pPr>
              <w:pStyle w:val="TableParagraph"/>
              <w:spacing w:line="240" w:lineRule="auto"/>
              <w:ind w:left="273" w:right="255"/>
              <w:rPr>
                <w:rFonts w:ascii="宋体" w:eastAsia="宋体" w:hint="eastAsia"/>
                <w:sz w:val="18"/>
              </w:rPr>
            </w:pPr>
            <w:r>
              <w:rPr>
                <w:rFonts w:ascii="宋体" w:eastAsia="宋体" w:hint="eastAsia"/>
                <w:sz w:val="18"/>
              </w:rPr>
              <w:t>规格与装量</w:t>
            </w:r>
          </w:p>
        </w:tc>
        <w:tc>
          <w:tcPr>
            <w:tcW w:w="3485" w:type="dxa"/>
            <w:tcBorders>
              <w:left w:val="single" w:sz="6" w:space="0" w:color="000000"/>
              <w:bottom w:val="single" w:sz="6" w:space="0" w:color="000000"/>
            </w:tcBorders>
          </w:tcPr>
          <w:p>
            <w:pPr>
              <w:pStyle w:val="TableParagraph"/>
              <w:spacing w:line="240" w:lineRule="auto"/>
              <w:ind w:left="1540" w:right="1172"/>
              <w:rPr>
                <w:rFonts w:ascii="宋体" w:eastAsia="宋体" w:hint="eastAsia"/>
                <w:sz w:val="18"/>
              </w:rPr>
            </w:pPr>
            <w:r>
              <w:rPr>
                <w:rFonts w:ascii="宋体" w:eastAsia="宋体" w:hint="eastAsia"/>
                <w:sz w:val="18"/>
              </w:rPr>
              <w:t>主要成份</w:t>
            </w:r>
          </w:p>
        </w:tc>
      </w:tr>
      <w:tr>
        <w:trPr>
          <w:trHeight w:val="190" w:hRule="atLeast"/>
        </w:trPr>
        <w:tc>
          <w:tcPr>
            <w:tcW w:w="601" w:type="dxa"/>
            <w:tcBorders>
              <w:top w:val="single" w:sz="6" w:space="0" w:color="000000"/>
              <w:left w:val="single" w:sz="6" w:space="0" w:color="000000"/>
              <w:bottom w:val="single" w:sz="6" w:space="0" w:color="000000"/>
              <w:right w:val="single" w:sz="6" w:space="0" w:color="000000"/>
            </w:tcBorders>
          </w:tcPr>
          <w:p>
            <w:pPr>
              <w:pStyle w:val="TableParagraph"/>
              <w:ind w:left="16"/>
              <w:rPr>
                <w:sz w:val="18"/>
              </w:rPr>
            </w:pPr>
            <w:r>
              <w:rPr>
                <w:sz w:val="18"/>
              </w:rPr>
              <w:t>1</w:t>
            </w:r>
          </w:p>
        </w:tc>
        <w:tc>
          <w:tcPr>
            <w:tcW w:w="2927" w:type="dxa"/>
            <w:tcBorders>
              <w:top w:val="single" w:sz="6" w:space="0" w:color="000000"/>
              <w:left w:val="single" w:sz="6" w:space="0" w:color="000000"/>
              <w:bottom w:val="single" w:sz="6" w:space="0" w:color="000000"/>
              <w:right w:val="single" w:sz="6" w:space="0" w:color="000000"/>
            </w:tcBorders>
          </w:tcPr>
          <w:p>
            <w:pPr>
              <w:pStyle w:val="TableParagraph"/>
              <w:ind w:right="92"/>
              <w:rPr>
                <w:rFonts w:ascii="宋体" w:eastAsia="宋体" w:hint="eastAsia"/>
                <w:sz w:val="18"/>
              </w:rPr>
            </w:pPr>
            <w:r>
              <w:rPr>
                <w:rFonts w:ascii="宋体" w:eastAsia="宋体" w:hint="eastAsia"/>
                <w:sz w:val="18"/>
              </w:rPr>
              <w:t>核酸释放剂</w:t>
            </w:r>
          </w:p>
        </w:tc>
        <w:tc>
          <w:tcPr>
            <w:tcW w:w="1752" w:type="dxa"/>
            <w:tcBorders>
              <w:top w:val="single" w:sz="6" w:space="0" w:color="000000"/>
              <w:left w:val="single" w:sz="6" w:space="0" w:color="000000"/>
              <w:bottom w:val="single" w:sz="6" w:space="0" w:color="000000"/>
              <w:right w:val="single" w:sz="6" w:space="0" w:color="000000"/>
            </w:tcBorders>
          </w:tcPr>
          <w:p>
            <w:pPr>
              <w:pStyle w:val="TableParagraph"/>
              <w:ind w:left="273" w:right="255"/>
              <w:rPr>
                <w:rFonts w:ascii="宋体" w:hAnsi="宋体" w:eastAsia="宋体" w:hint="eastAsia"/>
                <w:sz w:val="18"/>
              </w:rPr>
            </w:pPr>
            <w:r>
              <w:rPr>
                <w:sz w:val="18"/>
              </w:rPr>
              <w:t>240μL /</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ind w:left="520"/>
              <w:jc w:val="left"/>
              <w:rPr>
                <w:rFonts w:ascii="宋体" w:eastAsia="宋体" w:hint="eastAsia"/>
                <w:sz w:val="18"/>
              </w:rPr>
            </w:pPr>
            <w:r>
              <w:rPr>
                <w:sz w:val="18"/>
              </w:rPr>
              <w:t>KCl</w:t>
            </w:r>
            <w:r>
              <w:rPr>
                <w:rFonts w:ascii="宋体" w:eastAsia="宋体" w:hint="eastAsia"/>
                <w:sz w:val="18"/>
              </w:rPr>
              <w:t>、十二烷基硫酸钠、</w:t>
            </w:r>
            <w:r>
              <w:rPr>
                <w:rFonts w:ascii="宋体" w:eastAsia="宋体" w:hint="eastAsia"/>
                <w:color w:val="333333"/>
                <w:sz w:val="18"/>
              </w:rPr>
              <w:t>莎梵婷</w:t>
            </w:r>
          </w:p>
        </w:tc>
      </w:tr>
      <w:tr>
        <w:trPr>
          <w:trHeight w:val="190" w:hRule="atLeast"/>
        </w:trPr>
        <w:tc>
          <w:tcPr>
            <w:tcW w:w="601" w:type="dxa"/>
            <w:tcBorders>
              <w:top w:val="single" w:sz="6" w:space="0" w:color="000000"/>
              <w:left w:val="single" w:sz="6" w:space="0" w:color="000000"/>
              <w:bottom w:val="single" w:sz="6" w:space="0" w:color="000000"/>
              <w:right w:val="single" w:sz="6" w:space="0" w:color="000000"/>
            </w:tcBorders>
          </w:tcPr>
          <w:p>
            <w:pPr>
              <w:pStyle w:val="TableParagraph"/>
              <w:ind w:left="16"/>
              <w:rPr>
                <w:sz w:val="18"/>
              </w:rPr>
            </w:pPr>
            <w:r>
              <w:rPr>
                <w:sz w:val="18"/>
              </w:rPr>
              <w:t>2</w:t>
            </w:r>
          </w:p>
        </w:tc>
        <w:tc>
          <w:tcPr>
            <w:tcW w:w="2927" w:type="dxa"/>
            <w:tcBorders>
              <w:top w:val="single" w:sz="6" w:space="0" w:color="000000"/>
              <w:left w:val="single" w:sz="6" w:space="0" w:color="000000"/>
              <w:bottom w:val="single" w:sz="6" w:space="0" w:color="000000"/>
              <w:right w:val="single" w:sz="6" w:space="0" w:color="000000"/>
            </w:tcBorders>
          </w:tcPr>
          <w:p>
            <w:pPr>
              <w:pStyle w:val="TableParagraph"/>
              <w:ind w:right="92"/>
              <w:rPr>
                <w:rFonts w:ascii="宋体" w:eastAsia="宋体" w:hint="eastAsia"/>
                <w:sz w:val="18"/>
              </w:rPr>
            </w:pPr>
            <w:r>
              <w:rPr>
                <w:rFonts w:ascii="宋体" w:eastAsia="宋体" w:hint="eastAsia"/>
                <w:sz w:val="18"/>
              </w:rPr>
              <w:t>人乳头瘤病毒 </w:t>
            </w:r>
            <w:r>
              <w:rPr>
                <w:sz w:val="18"/>
              </w:rPr>
              <w:t>16/18-</w:t>
            </w:r>
            <w:r>
              <w:rPr>
                <w:rFonts w:ascii="宋体" w:eastAsia="宋体" w:hint="eastAsia"/>
                <w:sz w:val="18"/>
              </w:rPr>
              <w:t>内标</w:t>
            </w:r>
          </w:p>
        </w:tc>
        <w:tc>
          <w:tcPr>
            <w:tcW w:w="1752" w:type="dxa"/>
            <w:tcBorders>
              <w:top w:val="single" w:sz="6" w:space="0" w:color="000000"/>
              <w:left w:val="single" w:sz="6" w:space="0" w:color="000000"/>
              <w:bottom w:val="single" w:sz="6" w:space="0" w:color="000000"/>
              <w:right w:val="single" w:sz="6" w:space="0" w:color="000000"/>
            </w:tcBorders>
          </w:tcPr>
          <w:p>
            <w:pPr>
              <w:pStyle w:val="TableParagraph"/>
              <w:ind w:left="273" w:right="255"/>
              <w:rPr>
                <w:rFonts w:ascii="宋体" w:hAnsi="宋体" w:eastAsia="宋体" w:hint="eastAsia"/>
                <w:sz w:val="18"/>
              </w:rPr>
            </w:pPr>
            <w:r>
              <w:rPr>
                <w:sz w:val="18"/>
              </w:rPr>
              <w:t>50μL /</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ind w:left="685"/>
              <w:jc w:val="left"/>
              <w:rPr>
                <w:rFonts w:ascii="宋体" w:eastAsia="宋体" w:hint="eastAsia"/>
                <w:sz w:val="18"/>
              </w:rPr>
            </w:pPr>
            <w:r>
              <w:rPr>
                <w:rFonts w:ascii="宋体" w:eastAsia="宋体" w:hint="eastAsia"/>
                <w:sz w:val="18"/>
              </w:rPr>
              <w:t>含内标基因片段的克隆质粒</w:t>
            </w:r>
          </w:p>
        </w:tc>
      </w:tr>
      <w:tr>
        <w:trPr>
          <w:trHeight w:val="190" w:hRule="atLeast"/>
        </w:trPr>
        <w:tc>
          <w:tcPr>
            <w:tcW w:w="601" w:type="dxa"/>
            <w:tcBorders>
              <w:top w:val="single" w:sz="6" w:space="0" w:color="000000"/>
              <w:left w:val="single" w:sz="6" w:space="0" w:color="000000"/>
              <w:bottom w:val="single" w:sz="6" w:space="0" w:color="000000"/>
              <w:right w:val="single" w:sz="6" w:space="0" w:color="000000"/>
            </w:tcBorders>
          </w:tcPr>
          <w:p>
            <w:pPr>
              <w:pStyle w:val="TableParagraph"/>
              <w:ind w:left="16"/>
              <w:rPr>
                <w:sz w:val="18"/>
              </w:rPr>
            </w:pPr>
            <w:r>
              <w:rPr>
                <w:sz w:val="18"/>
              </w:rPr>
              <w:t>3</w:t>
            </w:r>
          </w:p>
        </w:tc>
        <w:tc>
          <w:tcPr>
            <w:tcW w:w="2927" w:type="dxa"/>
            <w:tcBorders>
              <w:top w:val="single" w:sz="6" w:space="0" w:color="000000"/>
              <w:left w:val="single" w:sz="6" w:space="0" w:color="000000"/>
              <w:bottom w:val="single" w:sz="6" w:space="0" w:color="000000"/>
              <w:right w:val="single" w:sz="6" w:space="0" w:color="000000"/>
            </w:tcBorders>
          </w:tcPr>
          <w:p>
            <w:pPr>
              <w:pStyle w:val="TableParagraph"/>
              <w:ind w:right="92"/>
              <w:rPr>
                <w:rFonts w:ascii="宋体" w:eastAsia="宋体" w:hint="eastAsia"/>
                <w:sz w:val="18"/>
              </w:rPr>
            </w:pPr>
            <w:r>
              <w:rPr>
                <w:rFonts w:ascii="宋体" w:eastAsia="宋体" w:hint="eastAsia"/>
                <w:sz w:val="18"/>
              </w:rPr>
              <w:t>人乳头瘤病毒 </w:t>
            </w:r>
            <w:r>
              <w:rPr>
                <w:sz w:val="18"/>
              </w:rPr>
              <w:t>16/18-</w:t>
            </w:r>
            <w:r>
              <w:rPr>
                <w:rFonts w:ascii="宋体" w:eastAsia="宋体" w:hint="eastAsia"/>
                <w:sz w:val="18"/>
              </w:rPr>
              <w:t>酶混合液</w:t>
            </w:r>
          </w:p>
        </w:tc>
        <w:tc>
          <w:tcPr>
            <w:tcW w:w="1752" w:type="dxa"/>
            <w:tcBorders>
              <w:top w:val="single" w:sz="6" w:space="0" w:color="000000"/>
              <w:left w:val="single" w:sz="6" w:space="0" w:color="000000"/>
              <w:bottom w:val="single" w:sz="6" w:space="0" w:color="000000"/>
              <w:right w:val="single" w:sz="6" w:space="0" w:color="000000"/>
            </w:tcBorders>
          </w:tcPr>
          <w:p>
            <w:pPr>
              <w:pStyle w:val="TableParagraph"/>
              <w:ind w:left="273" w:right="255"/>
              <w:rPr>
                <w:rFonts w:ascii="宋体" w:hAnsi="宋体" w:eastAsia="宋体" w:hint="eastAsia"/>
                <w:sz w:val="18"/>
              </w:rPr>
            </w:pPr>
            <w:r>
              <w:rPr>
                <w:sz w:val="18"/>
              </w:rPr>
              <w:t>96μL /</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ind w:left="325"/>
              <w:jc w:val="left"/>
              <w:rPr>
                <w:rFonts w:ascii="宋体" w:eastAsia="宋体" w:hint="eastAsia"/>
                <w:sz w:val="18"/>
              </w:rPr>
            </w:pPr>
            <w:r>
              <w:rPr>
                <w:sz w:val="18"/>
              </w:rPr>
              <w:t>DNA </w:t>
            </w:r>
            <w:r>
              <w:rPr>
                <w:rFonts w:ascii="宋体" w:eastAsia="宋体" w:hint="eastAsia"/>
                <w:sz w:val="18"/>
              </w:rPr>
              <w:t>聚合酶和尿嘧啶</w:t>
            </w:r>
            <w:r>
              <w:rPr>
                <w:sz w:val="18"/>
              </w:rPr>
              <w:t>DNA </w:t>
            </w:r>
            <w:r>
              <w:rPr>
                <w:rFonts w:ascii="宋体" w:eastAsia="宋体" w:hint="eastAsia"/>
                <w:sz w:val="18"/>
              </w:rPr>
              <w:t>糖基化酶</w:t>
            </w:r>
          </w:p>
        </w:tc>
      </w:tr>
      <w:tr>
        <w:trPr>
          <w:trHeight w:val="190" w:hRule="atLeast"/>
        </w:trPr>
        <w:tc>
          <w:tcPr>
            <w:tcW w:w="601" w:type="dxa"/>
            <w:tcBorders>
              <w:top w:val="single" w:sz="6" w:space="0" w:color="000000"/>
              <w:left w:val="single" w:sz="6" w:space="0" w:color="000000"/>
              <w:bottom w:val="single" w:sz="6" w:space="0" w:color="000000"/>
              <w:right w:val="single" w:sz="6" w:space="0" w:color="000000"/>
            </w:tcBorders>
          </w:tcPr>
          <w:p>
            <w:pPr>
              <w:pStyle w:val="TableParagraph"/>
              <w:ind w:left="16"/>
              <w:rPr>
                <w:sz w:val="18"/>
              </w:rPr>
            </w:pPr>
            <w:r>
              <w:rPr>
                <w:sz w:val="18"/>
              </w:rPr>
              <w:t>4</w:t>
            </w:r>
          </w:p>
        </w:tc>
        <w:tc>
          <w:tcPr>
            <w:tcW w:w="2927" w:type="dxa"/>
            <w:tcBorders>
              <w:top w:val="single" w:sz="6" w:space="0" w:color="000000"/>
              <w:left w:val="single" w:sz="6" w:space="0" w:color="000000"/>
              <w:bottom w:val="single" w:sz="6" w:space="0" w:color="000000"/>
              <w:right w:val="single" w:sz="6" w:space="0" w:color="000000"/>
            </w:tcBorders>
          </w:tcPr>
          <w:p>
            <w:pPr>
              <w:pStyle w:val="TableParagraph"/>
              <w:ind w:right="90"/>
              <w:rPr>
                <w:rFonts w:ascii="宋体" w:eastAsia="宋体" w:hint="eastAsia"/>
                <w:sz w:val="18"/>
              </w:rPr>
            </w:pPr>
            <w:r>
              <w:rPr>
                <w:rFonts w:ascii="宋体" w:eastAsia="宋体" w:hint="eastAsia"/>
                <w:sz w:val="18"/>
              </w:rPr>
              <w:t>人乳头瘤病毒 </w:t>
            </w:r>
            <w:r>
              <w:rPr>
                <w:sz w:val="18"/>
              </w:rPr>
              <w:t>16/18-PCR </w:t>
            </w:r>
            <w:r>
              <w:rPr>
                <w:rFonts w:ascii="宋体" w:eastAsia="宋体" w:hint="eastAsia"/>
                <w:sz w:val="18"/>
              </w:rPr>
              <w:t>反应液</w:t>
            </w:r>
          </w:p>
        </w:tc>
        <w:tc>
          <w:tcPr>
            <w:tcW w:w="1752" w:type="dxa"/>
            <w:tcBorders>
              <w:top w:val="single" w:sz="6" w:space="0" w:color="000000"/>
              <w:left w:val="single" w:sz="6" w:space="0" w:color="000000"/>
              <w:bottom w:val="single" w:sz="6" w:space="0" w:color="000000"/>
              <w:right w:val="single" w:sz="6" w:space="0" w:color="000000"/>
            </w:tcBorders>
          </w:tcPr>
          <w:p>
            <w:pPr>
              <w:pStyle w:val="TableParagraph"/>
              <w:ind w:left="273" w:right="255"/>
              <w:rPr>
                <w:rFonts w:ascii="宋体" w:hAnsi="宋体" w:eastAsia="宋体" w:hint="eastAsia"/>
                <w:sz w:val="18"/>
              </w:rPr>
            </w:pPr>
            <w:r>
              <w:rPr>
                <w:sz w:val="18"/>
              </w:rPr>
              <w:t>912μL /</w:t>
            </w:r>
            <w:r>
              <w:rPr>
                <w:rFonts w:ascii="宋体" w:hAnsi="宋体" w:eastAsia="宋体" w:hint="eastAsia"/>
                <w:sz w:val="18"/>
              </w:rPr>
              <w:t>管</w:t>
            </w:r>
            <w:r>
              <w:rPr>
                <w:sz w:val="18"/>
              </w:rPr>
              <w:t>×2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jc w:val="left"/>
              <w:rPr>
                <w:rFonts w:ascii="宋体" w:eastAsia="宋体" w:hint="eastAsia"/>
                <w:sz w:val="18"/>
              </w:rPr>
            </w:pPr>
            <w:r>
              <w:rPr>
                <w:rFonts w:ascii="宋体" w:eastAsia="宋体" w:hint="eastAsia"/>
                <w:spacing w:val="-11"/>
                <w:sz w:val="18"/>
              </w:rPr>
              <w:t>引物、探针、</w:t>
            </w:r>
            <w:r>
              <w:rPr>
                <w:spacing w:val="-3"/>
                <w:sz w:val="18"/>
              </w:rPr>
              <w:t>dNTPs</w:t>
            </w:r>
            <w:r>
              <w:rPr>
                <w:rFonts w:ascii="宋体" w:eastAsia="宋体" w:hint="eastAsia"/>
                <w:spacing w:val="-12"/>
                <w:sz w:val="18"/>
              </w:rPr>
              <w:t>、镁离子、</w:t>
            </w:r>
            <w:r>
              <w:rPr>
                <w:sz w:val="18"/>
              </w:rPr>
              <w:t>PCR </w:t>
            </w:r>
            <w:r>
              <w:rPr>
                <w:rFonts w:ascii="宋体" w:eastAsia="宋体" w:hint="eastAsia"/>
                <w:spacing w:val="-3"/>
                <w:sz w:val="18"/>
              </w:rPr>
              <w:t>缓冲液</w:t>
            </w:r>
          </w:p>
        </w:tc>
      </w:tr>
      <w:tr>
        <w:trPr>
          <w:trHeight w:val="192" w:hRule="atLeast"/>
        </w:trPr>
        <w:tc>
          <w:tcPr>
            <w:tcW w:w="601" w:type="dxa"/>
            <w:tcBorders>
              <w:top w:val="single" w:sz="6" w:space="0" w:color="000000"/>
              <w:left w:val="single" w:sz="6" w:space="0" w:color="000000"/>
              <w:bottom w:val="single" w:sz="6" w:space="0" w:color="000000"/>
              <w:right w:val="single" w:sz="6" w:space="0" w:color="000000"/>
            </w:tcBorders>
          </w:tcPr>
          <w:p>
            <w:pPr>
              <w:pStyle w:val="TableParagraph"/>
              <w:spacing w:line="172" w:lineRule="exact"/>
              <w:ind w:left="16"/>
              <w:rPr>
                <w:sz w:val="18"/>
              </w:rPr>
            </w:pPr>
            <w:r>
              <w:rPr>
                <w:sz w:val="18"/>
              </w:rPr>
              <w:t>5</w:t>
            </w:r>
          </w:p>
        </w:tc>
        <w:tc>
          <w:tcPr>
            <w:tcW w:w="2927" w:type="dxa"/>
            <w:tcBorders>
              <w:top w:val="single" w:sz="6" w:space="0" w:color="000000"/>
              <w:left w:val="single" w:sz="6" w:space="0" w:color="000000"/>
              <w:bottom w:val="single" w:sz="6" w:space="0" w:color="000000"/>
              <w:right w:val="single" w:sz="6" w:space="0" w:color="000000"/>
            </w:tcBorders>
          </w:tcPr>
          <w:p>
            <w:pPr>
              <w:pStyle w:val="TableParagraph"/>
              <w:spacing w:line="172" w:lineRule="exact"/>
              <w:ind w:right="92"/>
              <w:rPr>
                <w:sz w:val="18"/>
              </w:rPr>
            </w:pPr>
            <w:r>
              <w:rPr>
                <w:rFonts w:ascii="宋体" w:eastAsia="宋体" w:hint="eastAsia"/>
                <w:sz w:val="18"/>
              </w:rPr>
              <w:t>人乳头瘤病毒 </w:t>
            </w:r>
            <w:r>
              <w:rPr>
                <w:sz w:val="18"/>
              </w:rPr>
              <w:t>16/18-</w:t>
            </w:r>
            <w:r>
              <w:rPr>
                <w:rFonts w:ascii="宋体" w:eastAsia="宋体" w:hint="eastAsia"/>
                <w:sz w:val="18"/>
              </w:rPr>
              <w:t>阳性参照品</w:t>
            </w:r>
            <w:r>
              <w:rPr>
                <w:sz w:val="18"/>
              </w:rPr>
              <w:t>A</w:t>
            </w:r>
          </w:p>
        </w:tc>
        <w:tc>
          <w:tcPr>
            <w:tcW w:w="1752" w:type="dxa"/>
            <w:tcBorders>
              <w:top w:val="single" w:sz="6" w:space="0" w:color="000000"/>
              <w:left w:val="single" w:sz="6" w:space="0" w:color="000000"/>
              <w:bottom w:val="single" w:sz="6" w:space="0" w:color="000000"/>
              <w:right w:val="single" w:sz="6" w:space="0" w:color="000000"/>
            </w:tcBorders>
          </w:tcPr>
          <w:p>
            <w:pPr>
              <w:pStyle w:val="TableParagraph"/>
              <w:spacing w:line="172" w:lineRule="exact"/>
              <w:ind w:left="273" w:right="255"/>
              <w:rPr>
                <w:rFonts w:ascii="宋体" w:hAnsi="宋体" w:eastAsia="宋体" w:hint="eastAsia"/>
                <w:sz w:val="18"/>
              </w:rPr>
            </w:pPr>
            <w:r>
              <w:rPr>
                <w:sz w:val="18"/>
              </w:rPr>
              <w:t>50μL /</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spacing w:line="172" w:lineRule="exact"/>
              <w:ind w:left="685"/>
              <w:jc w:val="left"/>
              <w:rPr>
                <w:rFonts w:ascii="宋体" w:eastAsia="宋体" w:hint="eastAsia"/>
                <w:sz w:val="18"/>
              </w:rPr>
            </w:pPr>
            <w:r>
              <w:rPr>
                <w:rFonts w:ascii="宋体" w:eastAsia="宋体" w:hint="eastAsia"/>
                <w:sz w:val="18"/>
              </w:rPr>
              <w:t>含目的基因片段的克隆质粒</w:t>
            </w:r>
          </w:p>
        </w:tc>
      </w:tr>
      <w:tr>
        <w:trPr>
          <w:trHeight w:val="201" w:hRule="atLeast"/>
        </w:trPr>
        <w:tc>
          <w:tcPr>
            <w:tcW w:w="601" w:type="dxa"/>
            <w:tcBorders>
              <w:top w:val="single" w:sz="6" w:space="0" w:color="000000"/>
              <w:left w:val="single" w:sz="6" w:space="0" w:color="000000"/>
              <w:bottom w:val="single" w:sz="6" w:space="0" w:color="000000"/>
              <w:right w:val="single" w:sz="6" w:space="0" w:color="000000"/>
            </w:tcBorders>
          </w:tcPr>
          <w:p>
            <w:pPr>
              <w:pStyle w:val="TableParagraph"/>
              <w:spacing w:line="181" w:lineRule="exact"/>
              <w:ind w:left="16"/>
              <w:rPr>
                <w:sz w:val="18"/>
              </w:rPr>
            </w:pPr>
            <w:r>
              <w:rPr>
                <w:sz w:val="18"/>
              </w:rPr>
              <w:t>6</w:t>
            </w:r>
          </w:p>
        </w:tc>
        <w:tc>
          <w:tcPr>
            <w:tcW w:w="2927" w:type="dxa"/>
            <w:tcBorders>
              <w:top w:val="single" w:sz="6" w:space="0" w:color="000000"/>
              <w:left w:val="single" w:sz="6" w:space="0" w:color="000000"/>
              <w:bottom w:val="single" w:sz="6" w:space="0" w:color="000000"/>
              <w:right w:val="single" w:sz="6" w:space="0" w:color="000000"/>
            </w:tcBorders>
          </w:tcPr>
          <w:p>
            <w:pPr>
              <w:pStyle w:val="TableParagraph"/>
              <w:spacing w:line="181" w:lineRule="exact"/>
              <w:ind w:right="92"/>
              <w:rPr>
                <w:sz w:val="18"/>
              </w:rPr>
            </w:pPr>
            <w:r>
              <w:rPr>
                <w:rFonts w:ascii="宋体" w:eastAsia="宋体" w:hint="eastAsia"/>
                <w:sz w:val="18"/>
              </w:rPr>
              <w:t>人乳头瘤病毒 </w:t>
            </w:r>
            <w:r>
              <w:rPr>
                <w:sz w:val="18"/>
              </w:rPr>
              <w:t>16/18-</w:t>
            </w:r>
            <w:r>
              <w:rPr>
                <w:rFonts w:ascii="宋体" w:eastAsia="宋体" w:hint="eastAsia"/>
                <w:sz w:val="18"/>
              </w:rPr>
              <w:t>阳性参照品</w:t>
            </w:r>
            <w:r>
              <w:rPr>
                <w:sz w:val="18"/>
              </w:rPr>
              <w:t>B</w:t>
            </w:r>
          </w:p>
        </w:tc>
        <w:tc>
          <w:tcPr>
            <w:tcW w:w="1752" w:type="dxa"/>
            <w:tcBorders>
              <w:top w:val="single" w:sz="6" w:space="0" w:color="000000"/>
              <w:left w:val="single" w:sz="6" w:space="0" w:color="000000"/>
              <w:bottom w:val="single" w:sz="6" w:space="0" w:color="000000"/>
              <w:right w:val="single" w:sz="6" w:space="0" w:color="000000"/>
            </w:tcBorders>
          </w:tcPr>
          <w:p>
            <w:pPr>
              <w:pStyle w:val="TableParagraph"/>
              <w:spacing w:line="181" w:lineRule="exact"/>
              <w:ind w:left="273" w:right="255"/>
              <w:rPr>
                <w:rFonts w:ascii="宋体" w:hAnsi="宋体" w:eastAsia="宋体" w:hint="eastAsia"/>
                <w:sz w:val="18"/>
              </w:rPr>
            </w:pPr>
            <w:r>
              <w:rPr>
                <w:sz w:val="18"/>
              </w:rPr>
              <w:t>50μL /</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spacing w:line="181" w:lineRule="exact"/>
              <w:ind w:left="685"/>
              <w:jc w:val="left"/>
              <w:rPr>
                <w:rFonts w:ascii="宋体" w:eastAsia="宋体" w:hint="eastAsia"/>
                <w:sz w:val="18"/>
              </w:rPr>
            </w:pPr>
            <w:r>
              <w:rPr>
                <w:rFonts w:ascii="宋体" w:eastAsia="宋体" w:hint="eastAsia"/>
                <w:sz w:val="18"/>
              </w:rPr>
              <w:t>含目的基因片段的克隆质粒</w:t>
            </w:r>
          </w:p>
        </w:tc>
      </w:tr>
      <w:tr>
        <w:trPr>
          <w:trHeight w:val="190" w:hRule="atLeast"/>
        </w:trPr>
        <w:tc>
          <w:tcPr>
            <w:tcW w:w="601" w:type="dxa"/>
            <w:tcBorders>
              <w:top w:val="single" w:sz="6" w:space="0" w:color="000000"/>
              <w:left w:val="single" w:sz="6" w:space="0" w:color="000000"/>
              <w:bottom w:val="single" w:sz="6" w:space="0" w:color="000000"/>
              <w:right w:val="single" w:sz="6" w:space="0" w:color="000000"/>
            </w:tcBorders>
          </w:tcPr>
          <w:p>
            <w:pPr>
              <w:pStyle w:val="TableParagraph"/>
              <w:ind w:left="16"/>
              <w:rPr>
                <w:sz w:val="18"/>
              </w:rPr>
            </w:pPr>
            <w:r>
              <w:rPr>
                <w:sz w:val="18"/>
              </w:rPr>
              <w:t>7</w:t>
            </w:r>
          </w:p>
        </w:tc>
        <w:tc>
          <w:tcPr>
            <w:tcW w:w="2927" w:type="dxa"/>
            <w:tcBorders>
              <w:top w:val="single" w:sz="6" w:space="0" w:color="000000"/>
              <w:left w:val="single" w:sz="6" w:space="0" w:color="000000"/>
              <w:bottom w:val="single" w:sz="6" w:space="0" w:color="000000"/>
              <w:right w:val="single" w:sz="6" w:space="0" w:color="000000"/>
            </w:tcBorders>
          </w:tcPr>
          <w:p>
            <w:pPr>
              <w:pStyle w:val="TableParagraph"/>
              <w:ind w:right="92"/>
              <w:rPr>
                <w:sz w:val="18"/>
              </w:rPr>
            </w:pPr>
            <w:r>
              <w:rPr>
                <w:rFonts w:ascii="宋体" w:eastAsia="宋体" w:hint="eastAsia"/>
                <w:sz w:val="18"/>
              </w:rPr>
              <w:t>人乳头瘤病毒 </w:t>
            </w:r>
            <w:r>
              <w:rPr>
                <w:sz w:val="18"/>
              </w:rPr>
              <w:t>16/18-</w:t>
            </w:r>
            <w:r>
              <w:rPr>
                <w:rFonts w:ascii="宋体" w:eastAsia="宋体" w:hint="eastAsia"/>
                <w:sz w:val="18"/>
              </w:rPr>
              <w:t>阳性参照品</w:t>
            </w:r>
            <w:r>
              <w:rPr>
                <w:sz w:val="18"/>
              </w:rPr>
              <w:t>C</w:t>
            </w:r>
          </w:p>
        </w:tc>
        <w:tc>
          <w:tcPr>
            <w:tcW w:w="1752" w:type="dxa"/>
            <w:tcBorders>
              <w:top w:val="single" w:sz="6" w:space="0" w:color="000000"/>
              <w:left w:val="single" w:sz="6" w:space="0" w:color="000000"/>
              <w:bottom w:val="single" w:sz="6" w:space="0" w:color="000000"/>
              <w:right w:val="single" w:sz="6" w:space="0" w:color="000000"/>
            </w:tcBorders>
          </w:tcPr>
          <w:p>
            <w:pPr>
              <w:pStyle w:val="TableParagraph"/>
              <w:ind w:left="273" w:right="255"/>
              <w:rPr>
                <w:rFonts w:ascii="宋体" w:hAnsi="宋体" w:eastAsia="宋体" w:hint="eastAsia"/>
                <w:sz w:val="18"/>
              </w:rPr>
            </w:pPr>
            <w:r>
              <w:rPr>
                <w:sz w:val="18"/>
              </w:rPr>
              <w:t>50μL /</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ind w:left="685"/>
              <w:jc w:val="left"/>
              <w:rPr>
                <w:rFonts w:ascii="宋体" w:eastAsia="宋体" w:hint="eastAsia"/>
                <w:sz w:val="18"/>
              </w:rPr>
            </w:pPr>
            <w:r>
              <w:rPr>
                <w:rFonts w:ascii="宋体" w:eastAsia="宋体" w:hint="eastAsia"/>
                <w:sz w:val="18"/>
              </w:rPr>
              <w:t>含目的基因片段的克隆质粒</w:t>
            </w:r>
          </w:p>
        </w:tc>
      </w:tr>
      <w:tr>
        <w:trPr>
          <w:trHeight w:val="190" w:hRule="atLeast"/>
        </w:trPr>
        <w:tc>
          <w:tcPr>
            <w:tcW w:w="601" w:type="dxa"/>
            <w:tcBorders>
              <w:top w:val="single" w:sz="6" w:space="0" w:color="000000"/>
              <w:left w:val="single" w:sz="6" w:space="0" w:color="000000"/>
              <w:bottom w:val="single" w:sz="6" w:space="0" w:color="000000"/>
              <w:right w:val="single" w:sz="6" w:space="0" w:color="000000"/>
            </w:tcBorders>
          </w:tcPr>
          <w:p>
            <w:pPr>
              <w:pStyle w:val="TableParagraph"/>
              <w:ind w:left="16"/>
              <w:rPr>
                <w:sz w:val="18"/>
              </w:rPr>
            </w:pPr>
            <w:r>
              <w:rPr>
                <w:sz w:val="18"/>
              </w:rPr>
              <w:t>8</w:t>
            </w:r>
          </w:p>
        </w:tc>
        <w:tc>
          <w:tcPr>
            <w:tcW w:w="2927" w:type="dxa"/>
            <w:tcBorders>
              <w:top w:val="single" w:sz="6" w:space="0" w:color="000000"/>
              <w:left w:val="single" w:sz="6" w:space="0" w:color="000000"/>
              <w:bottom w:val="single" w:sz="6" w:space="0" w:color="000000"/>
              <w:right w:val="single" w:sz="6" w:space="0" w:color="000000"/>
            </w:tcBorders>
          </w:tcPr>
          <w:p>
            <w:pPr>
              <w:pStyle w:val="TableParagraph"/>
              <w:ind w:right="92"/>
              <w:rPr>
                <w:sz w:val="18"/>
              </w:rPr>
            </w:pPr>
            <w:r>
              <w:rPr>
                <w:rFonts w:ascii="宋体" w:eastAsia="宋体" w:hint="eastAsia"/>
                <w:sz w:val="18"/>
              </w:rPr>
              <w:t>人乳头瘤病毒 </w:t>
            </w:r>
            <w:r>
              <w:rPr>
                <w:sz w:val="18"/>
              </w:rPr>
              <w:t>16/18-</w:t>
            </w:r>
            <w:r>
              <w:rPr>
                <w:rFonts w:ascii="宋体" w:eastAsia="宋体" w:hint="eastAsia"/>
                <w:sz w:val="18"/>
              </w:rPr>
              <w:t>阳性参照品</w:t>
            </w:r>
            <w:r>
              <w:rPr>
                <w:sz w:val="18"/>
              </w:rPr>
              <w:t>D</w:t>
            </w:r>
          </w:p>
        </w:tc>
        <w:tc>
          <w:tcPr>
            <w:tcW w:w="1752" w:type="dxa"/>
            <w:tcBorders>
              <w:top w:val="single" w:sz="6" w:space="0" w:color="000000"/>
              <w:left w:val="single" w:sz="6" w:space="0" w:color="000000"/>
              <w:bottom w:val="single" w:sz="6" w:space="0" w:color="000000"/>
              <w:right w:val="single" w:sz="6" w:space="0" w:color="000000"/>
            </w:tcBorders>
          </w:tcPr>
          <w:p>
            <w:pPr>
              <w:pStyle w:val="TableParagraph"/>
              <w:ind w:left="273" w:right="255"/>
              <w:rPr>
                <w:rFonts w:ascii="宋体" w:hAnsi="宋体" w:eastAsia="宋体" w:hint="eastAsia"/>
                <w:sz w:val="18"/>
              </w:rPr>
            </w:pPr>
            <w:r>
              <w:rPr>
                <w:sz w:val="18"/>
              </w:rPr>
              <w:t>50μL /</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ind w:left="685"/>
              <w:jc w:val="left"/>
              <w:rPr>
                <w:rFonts w:ascii="宋体" w:eastAsia="宋体" w:hint="eastAsia"/>
                <w:sz w:val="18"/>
              </w:rPr>
            </w:pPr>
            <w:r>
              <w:rPr>
                <w:rFonts w:ascii="宋体" w:eastAsia="宋体" w:hint="eastAsia"/>
                <w:sz w:val="18"/>
              </w:rPr>
              <w:t>含目的基因片段的克隆质粒</w:t>
            </w:r>
          </w:p>
        </w:tc>
      </w:tr>
      <w:tr>
        <w:trPr>
          <w:trHeight w:val="211" w:hRule="atLeast"/>
        </w:trPr>
        <w:tc>
          <w:tcPr>
            <w:tcW w:w="601" w:type="dxa"/>
            <w:tcBorders>
              <w:top w:val="single" w:sz="6" w:space="0" w:color="000000"/>
              <w:left w:val="single" w:sz="6" w:space="0" w:color="000000"/>
              <w:bottom w:val="single" w:sz="6" w:space="0" w:color="000000"/>
              <w:right w:val="single" w:sz="6" w:space="0" w:color="000000"/>
            </w:tcBorders>
          </w:tcPr>
          <w:p>
            <w:pPr>
              <w:pStyle w:val="TableParagraph"/>
              <w:spacing w:line="190" w:lineRule="exact"/>
              <w:ind w:left="16"/>
              <w:rPr>
                <w:sz w:val="18"/>
              </w:rPr>
            </w:pPr>
            <w:r>
              <w:rPr>
                <w:sz w:val="18"/>
              </w:rPr>
              <w:t>9</w:t>
            </w:r>
          </w:p>
        </w:tc>
        <w:tc>
          <w:tcPr>
            <w:tcW w:w="2927" w:type="dxa"/>
            <w:tcBorders>
              <w:top w:val="single" w:sz="6" w:space="0" w:color="000000"/>
              <w:left w:val="single" w:sz="6" w:space="0" w:color="000000"/>
              <w:bottom w:val="single" w:sz="6" w:space="0" w:color="000000"/>
              <w:right w:val="single" w:sz="6" w:space="0" w:color="000000"/>
            </w:tcBorders>
          </w:tcPr>
          <w:p>
            <w:pPr>
              <w:pStyle w:val="TableParagraph"/>
              <w:spacing w:line="192" w:lineRule="exact"/>
              <w:ind w:right="92"/>
              <w:rPr>
                <w:rFonts w:ascii="宋体" w:eastAsia="宋体" w:hint="eastAsia"/>
                <w:sz w:val="18"/>
              </w:rPr>
            </w:pPr>
            <w:r>
              <w:rPr>
                <w:rFonts w:ascii="宋体" w:eastAsia="宋体" w:hint="eastAsia"/>
                <w:sz w:val="18"/>
              </w:rPr>
              <w:t>人乳头瘤病毒 </w:t>
            </w:r>
            <w:r>
              <w:rPr>
                <w:sz w:val="18"/>
              </w:rPr>
              <w:t>16/18-</w:t>
            </w:r>
            <w:r>
              <w:rPr>
                <w:rFonts w:ascii="宋体" w:eastAsia="宋体" w:hint="eastAsia"/>
                <w:sz w:val="18"/>
              </w:rPr>
              <w:t>阴性对照</w:t>
            </w:r>
          </w:p>
        </w:tc>
        <w:tc>
          <w:tcPr>
            <w:tcW w:w="1752" w:type="dxa"/>
            <w:tcBorders>
              <w:top w:val="single" w:sz="6" w:space="0" w:color="000000"/>
              <w:left w:val="single" w:sz="6" w:space="0" w:color="000000"/>
              <w:bottom w:val="single" w:sz="6" w:space="0" w:color="000000"/>
              <w:right w:val="single" w:sz="6" w:space="0" w:color="000000"/>
            </w:tcBorders>
          </w:tcPr>
          <w:p>
            <w:pPr>
              <w:pStyle w:val="TableParagraph"/>
              <w:spacing w:line="192" w:lineRule="exact"/>
              <w:ind w:left="273" w:right="255"/>
              <w:rPr>
                <w:rFonts w:ascii="宋体" w:hAnsi="宋体" w:eastAsia="宋体" w:hint="eastAsia"/>
                <w:sz w:val="18"/>
              </w:rPr>
            </w:pPr>
            <w:r>
              <w:rPr>
                <w:sz w:val="18"/>
              </w:rPr>
              <w:t>50μL /</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spacing w:line="192" w:lineRule="exact"/>
              <w:ind w:left="1388"/>
              <w:jc w:val="left"/>
              <w:rPr>
                <w:rFonts w:ascii="宋体" w:eastAsia="宋体" w:hint="eastAsia"/>
                <w:sz w:val="18"/>
              </w:rPr>
            </w:pPr>
            <w:r>
              <w:rPr>
                <w:rFonts w:ascii="宋体" w:eastAsia="宋体" w:hint="eastAsia"/>
                <w:sz w:val="18"/>
              </w:rPr>
              <w:t>灭菌生理盐水</w:t>
            </w:r>
          </w:p>
        </w:tc>
      </w:tr>
      <w:tr>
        <w:trPr>
          <w:trHeight w:val="190" w:hRule="atLeast"/>
        </w:trPr>
        <w:tc>
          <w:tcPr>
            <w:tcW w:w="601" w:type="dxa"/>
            <w:tcBorders>
              <w:top w:val="single" w:sz="6" w:space="0" w:color="000000"/>
              <w:left w:val="single" w:sz="6" w:space="0" w:color="000000"/>
              <w:bottom w:val="single" w:sz="6" w:space="0" w:color="000000"/>
              <w:right w:val="single" w:sz="6" w:space="0" w:color="000000"/>
            </w:tcBorders>
          </w:tcPr>
          <w:p>
            <w:pPr>
              <w:pStyle w:val="TableParagraph"/>
              <w:ind w:left="97" w:right="84"/>
              <w:rPr>
                <w:sz w:val="18"/>
              </w:rPr>
            </w:pPr>
            <w:r>
              <w:rPr>
                <w:sz w:val="18"/>
              </w:rPr>
              <w:t>10</w:t>
            </w:r>
          </w:p>
        </w:tc>
        <w:tc>
          <w:tcPr>
            <w:tcW w:w="2927" w:type="dxa"/>
            <w:tcBorders>
              <w:top w:val="single" w:sz="6" w:space="0" w:color="000000"/>
              <w:left w:val="single" w:sz="6" w:space="0" w:color="000000"/>
              <w:bottom w:val="single" w:sz="6" w:space="0" w:color="000000"/>
              <w:right w:val="single" w:sz="6" w:space="0" w:color="000000"/>
            </w:tcBorders>
          </w:tcPr>
          <w:p>
            <w:pPr>
              <w:pStyle w:val="TableParagraph"/>
              <w:ind w:right="92"/>
              <w:rPr>
                <w:rFonts w:ascii="宋体" w:eastAsia="宋体" w:hint="eastAsia"/>
                <w:sz w:val="18"/>
              </w:rPr>
            </w:pPr>
            <w:r>
              <w:rPr>
                <w:rFonts w:ascii="宋体" w:eastAsia="宋体" w:hint="eastAsia"/>
                <w:sz w:val="18"/>
              </w:rPr>
              <w:t>人乳头瘤病毒 </w:t>
            </w:r>
            <w:r>
              <w:rPr>
                <w:sz w:val="18"/>
              </w:rPr>
              <w:t>16/18-</w:t>
            </w:r>
            <w:r>
              <w:rPr>
                <w:rFonts w:ascii="宋体" w:eastAsia="宋体" w:hint="eastAsia"/>
                <w:sz w:val="18"/>
              </w:rPr>
              <w:t>阳性对照</w:t>
            </w:r>
          </w:p>
        </w:tc>
        <w:tc>
          <w:tcPr>
            <w:tcW w:w="1752" w:type="dxa"/>
            <w:tcBorders>
              <w:top w:val="single" w:sz="6" w:space="0" w:color="000000"/>
              <w:left w:val="single" w:sz="6" w:space="0" w:color="000000"/>
              <w:bottom w:val="single" w:sz="6" w:space="0" w:color="000000"/>
              <w:right w:val="single" w:sz="6" w:space="0" w:color="000000"/>
            </w:tcBorders>
          </w:tcPr>
          <w:p>
            <w:pPr>
              <w:pStyle w:val="TableParagraph"/>
              <w:ind w:left="273" w:right="255"/>
              <w:rPr>
                <w:rFonts w:ascii="宋体" w:hAnsi="宋体" w:eastAsia="宋体" w:hint="eastAsia"/>
                <w:sz w:val="18"/>
              </w:rPr>
            </w:pPr>
            <w:r>
              <w:rPr>
                <w:sz w:val="18"/>
              </w:rPr>
              <w:t>50μL /</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ind w:left="172"/>
              <w:jc w:val="left"/>
              <w:rPr>
                <w:rFonts w:ascii="宋体" w:eastAsia="宋体" w:hint="eastAsia"/>
                <w:sz w:val="18"/>
              </w:rPr>
            </w:pPr>
            <w:r>
              <w:rPr>
                <w:rFonts w:ascii="宋体" w:eastAsia="宋体" w:hint="eastAsia"/>
                <w:sz w:val="18"/>
              </w:rPr>
              <w:t>人乳头瘤病毒 </w:t>
            </w:r>
            <w:r>
              <w:rPr>
                <w:sz w:val="18"/>
              </w:rPr>
              <w:t>16/18-</w:t>
            </w:r>
            <w:r>
              <w:rPr>
                <w:rFonts w:ascii="宋体" w:eastAsia="宋体" w:hint="eastAsia"/>
                <w:sz w:val="18"/>
              </w:rPr>
              <w:t>阳性样本（已灭活）</w:t>
            </w:r>
          </w:p>
        </w:tc>
      </w:tr>
    </w:tbl>
    <w:p>
      <w:pPr>
        <w:spacing w:line="170" w:lineRule="exact" w:before="0"/>
        <w:ind w:left="107" w:right="0" w:firstLine="0"/>
        <w:jc w:val="left"/>
        <w:rPr>
          <w:b/>
          <w:sz w:val="18"/>
        </w:rPr>
      </w:pPr>
      <w:r>
        <w:rPr>
          <w:b/>
          <w:sz w:val="18"/>
        </w:rPr>
        <w:t>备注：</w:t>
      </w:r>
    </w:p>
    <w:p>
      <w:pPr>
        <w:pStyle w:val="ListParagraph"/>
        <w:numPr>
          <w:ilvl w:val="0"/>
          <w:numId w:val="1"/>
        </w:numPr>
        <w:tabs>
          <w:tab w:pos="721" w:val="left" w:leader="none"/>
        </w:tabs>
        <w:spacing w:line="191" w:lineRule="exact" w:before="0" w:after="0"/>
        <w:ind w:left="720" w:right="0" w:hanging="269"/>
        <w:jc w:val="left"/>
        <w:rPr>
          <w:rFonts w:ascii="Times New Roman" w:eastAsia="Times New Roman"/>
          <w:b/>
          <w:sz w:val="16"/>
        </w:rPr>
      </w:pPr>
      <w:r>
        <w:rPr>
          <w:b/>
          <w:spacing w:val="-5"/>
          <w:sz w:val="18"/>
        </w:rPr>
        <w:t>不同批号产品的成分之间不可以混用或互换。</w:t>
      </w:r>
    </w:p>
    <w:p>
      <w:pPr>
        <w:pStyle w:val="ListParagraph"/>
        <w:numPr>
          <w:ilvl w:val="0"/>
          <w:numId w:val="1"/>
        </w:numPr>
        <w:tabs>
          <w:tab w:pos="721" w:val="left" w:leader="none"/>
        </w:tabs>
        <w:spacing w:line="190" w:lineRule="exact" w:before="0" w:after="0"/>
        <w:ind w:left="720" w:right="0" w:hanging="269"/>
        <w:jc w:val="left"/>
        <w:rPr>
          <w:rFonts w:ascii="Times New Roman" w:eastAsia="Times New Roman"/>
          <w:sz w:val="16"/>
        </w:rPr>
      </w:pPr>
      <w:r>
        <w:rPr>
          <w:spacing w:val="-7"/>
          <w:sz w:val="18"/>
        </w:rPr>
        <w:t>试剂盒内的生物样本均已经灭活处理；人乳头瘤病毒 </w:t>
      </w:r>
      <w:r>
        <w:rPr>
          <w:rFonts w:ascii="Times New Roman" w:eastAsia="Times New Roman"/>
          <w:spacing w:val="-3"/>
          <w:sz w:val="18"/>
        </w:rPr>
        <w:t>16/18-</w:t>
      </w:r>
      <w:r>
        <w:rPr>
          <w:spacing w:val="4"/>
          <w:sz w:val="18"/>
        </w:rPr>
        <w:t>阳性参照品</w:t>
      </w:r>
      <w:r>
        <w:rPr>
          <w:rFonts w:ascii="Times New Roman" w:eastAsia="Times New Roman"/>
          <w:sz w:val="18"/>
        </w:rPr>
        <w:t>A</w:t>
      </w:r>
      <w:r>
        <w:rPr>
          <w:sz w:val="18"/>
        </w:rPr>
        <w:t>～</w:t>
      </w:r>
      <w:r>
        <w:rPr>
          <w:rFonts w:ascii="Times New Roman" w:eastAsia="Times New Roman"/>
          <w:sz w:val="18"/>
        </w:rPr>
        <w:t>D</w:t>
      </w:r>
      <w:r>
        <w:rPr>
          <w:rFonts w:ascii="Times New Roman" w:eastAsia="Times New Roman"/>
          <w:spacing w:val="-5"/>
          <w:sz w:val="18"/>
        </w:rPr>
        <w:t> </w:t>
      </w:r>
      <w:r>
        <w:rPr>
          <w:spacing w:val="-5"/>
          <w:sz w:val="18"/>
        </w:rPr>
        <w:t>的具体浓度请参照试剂盒内给定值。</w:t>
      </w:r>
    </w:p>
    <w:p>
      <w:pPr>
        <w:pStyle w:val="ListParagraph"/>
        <w:numPr>
          <w:ilvl w:val="0"/>
          <w:numId w:val="1"/>
        </w:numPr>
        <w:tabs>
          <w:tab w:pos="721" w:val="left" w:leader="none"/>
        </w:tabs>
        <w:spacing w:line="190" w:lineRule="exact" w:before="0" w:after="0"/>
        <w:ind w:left="720" w:right="0" w:hanging="269"/>
        <w:jc w:val="left"/>
        <w:rPr>
          <w:rFonts w:ascii="Times New Roman" w:eastAsia="Times New Roman"/>
          <w:sz w:val="16"/>
        </w:rPr>
      </w:pPr>
      <w:r>
        <w:rPr>
          <w:spacing w:val="-5"/>
          <w:sz w:val="18"/>
        </w:rPr>
        <w:t>自备试剂：灭菌生理盐水。</w:t>
      </w:r>
    </w:p>
    <w:p>
      <w:pPr>
        <w:pStyle w:val="ListParagraph"/>
        <w:numPr>
          <w:ilvl w:val="0"/>
          <w:numId w:val="1"/>
        </w:numPr>
        <w:tabs>
          <w:tab w:pos="706" w:val="left" w:leader="none"/>
        </w:tabs>
        <w:spacing w:line="196" w:lineRule="auto" w:before="12" w:after="0"/>
        <w:ind w:left="695" w:right="1572" w:hanging="260"/>
        <w:jc w:val="left"/>
        <w:rPr>
          <w:rFonts w:ascii="Times New Roman" w:eastAsia="Times New Roman"/>
          <w:sz w:val="16"/>
        </w:rPr>
      </w:pPr>
      <w:r>
        <w:rPr>
          <w:spacing w:val="-5"/>
          <w:sz w:val="18"/>
        </w:rPr>
        <w:t>样本处理：推荐使用本公司的核酸提取或纯化试剂（</w:t>
      </w:r>
      <w:r>
        <w:rPr>
          <w:spacing w:val="-15"/>
          <w:sz w:val="18"/>
        </w:rPr>
        <w:t>湘长械备 </w:t>
      </w:r>
      <w:r>
        <w:rPr>
          <w:rFonts w:ascii="Times New Roman" w:eastAsia="Times New Roman"/>
          <w:sz w:val="18"/>
        </w:rPr>
        <w:t>20150021</w:t>
      </w:r>
      <w:r>
        <w:rPr>
          <w:rFonts w:ascii="Times New Roman" w:eastAsia="Times New Roman"/>
          <w:spacing w:val="-14"/>
          <w:sz w:val="18"/>
        </w:rPr>
        <w:t> </w:t>
      </w:r>
      <w:r>
        <w:rPr>
          <w:spacing w:val="-5"/>
          <w:sz w:val="18"/>
        </w:rPr>
        <w:t>号</w:t>
      </w:r>
      <w:r>
        <w:rPr>
          <w:spacing w:val="-3"/>
          <w:sz w:val="18"/>
        </w:rPr>
        <w:t>）</w:t>
      </w:r>
      <w:r>
        <w:rPr>
          <w:spacing w:val="2"/>
          <w:sz w:val="18"/>
        </w:rPr>
        <w:t>处理，得到的</w:t>
      </w:r>
      <w:r>
        <w:rPr>
          <w:rFonts w:ascii="Times New Roman" w:eastAsia="Times New Roman"/>
          <w:sz w:val="18"/>
        </w:rPr>
        <w:t>DNA</w:t>
      </w:r>
      <w:r>
        <w:rPr>
          <w:rFonts w:ascii="Times New Roman" w:eastAsia="Times New Roman"/>
          <w:spacing w:val="-10"/>
          <w:sz w:val="18"/>
        </w:rPr>
        <w:t> </w:t>
      </w:r>
      <w:r>
        <w:rPr>
          <w:spacing w:val="-4"/>
          <w:sz w:val="18"/>
        </w:rPr>
        <w:t>不需要核</w:t>
      </w:r>
      <w:r>
        <w:rPr>
          <w:spacing w:val="-5"/>
          <w:sz w:val="18"/>
        </w:rPr>
        <w:t>酸释放剂处理。</w:t>
      </w:r>
    </w:p>
    <w:p>
      <w:pPr>
        <w:pStyle w:val="Heading1"/>
        <w:spacing w:line="180" w:lineRule="exact"/>
      </w:pPr>
      <w:r>
        <w:rPr/>
        <w:t>【储存条件及有效期】</w:t>
      </w:r>
    </w:p>
    <w:p>
      <w:pPr>
        <w:pStyle w:val="BodyText"/>
        <w:spacing w:line="191" w:lineRule="exact"/>
        <w:ind w:left="464"/>
      </w:pPr>
      <w:r>
        <w:rPr/>
        <w:t>试剂应避光密闭储存于</w:t>
      </w:r>
      <w:r>
        <w:rPr>
          <w:rFonts w:ascii="Times New Roman" w:hAnsi="Times New Roman" w:eastAsia="Times New Roman"/>
        </w:rPr>
        <w:t>-20</w:t>
      </w:r>
      <w:r>
        <w:rPr/>
        <w:t>±</w:t>
      </w:r>
      <w:r>
        <w:rPr>
          <w:rFonts w:ascii="Times New Roman" w:hAnsi="Times New Roman" w:eastAsia="Times New Roman"/>
        </w:rPr>
        <w:t>5</w:t>
      </w:r>
      <w:r>
        <w:rPr/>
        <w:t>℃，避免反复冻融；</w:t>
      </w:r>
    </w:p>
    <w:p>
      <w:pPr>
        <w:pStyle w:val="BodyText"/>
        <w:spacing w:line="190" w:lineRule="exact"/>
        <w:ind w:left="464"/>
      </w:pPr>
      <w:r>
        <w:rPr/>
        <w:t>试剂盒有效期为 </w:t>
      </w:r>
      <w:r>
        <w:rPr>
          <w:rFonts w:ascii="Times New Roman" w:eastAsia="Times New Roman"/>
        </w:rPr>
        <w:t>12 </w:t>
      </w:r>
      <w:r>
        <w:rPr/>
        <w:t>个月，生产日期，失效日期请见外包装盒。</w:t>
      </w:r>
    </w:p>
    <w:p>
      <w:pPr>
        <w:pStyle w:val="Heading1"/>
      </w:pPr>
      <w:r>
        <w:rPr/>
        <w:t>【适用仪器】</w:t>
      </w:r>
    </w:p>
    <w:p>
      <w:pPr>
        <w:pStyle w:val="BodyText"/>
        <w:spacing w:line="190" w:lineRule="exact"/>
        <w:ind w:left="474"/>
        <w:jc w:val="both"/>
      </w:pPr>
      <w:r>
        <w:rPr/>
        <w:t>适用于</w:t>
      </w:r>
      <w:r>
        <w:rPr>
          <w:rFonts w:ascii="Times New Roman" w:eastAsia="Times New Roman"/>
        </w:rPr>
        <w:t>ABI7500</w:t>
      </w:r>
      <w:r>
        <w:rPr/>
        <w:t>、</w:t>
      </w:r>
      <w:r>
        <w:rPr>
          <w:rFonts w:ascii="Times New Roman" w:eastAsia="Times New Roman"/>
        </w:rPr>
        <w:t>Roche Light Cycler 480</w:t>
      </w:r>
      <w:r>
        <w:rPr/>
        <w:t>、</w:t>
      </w:r>
      <w:r>
        <w:rPr>
          <w:rFonts w:ascii="Times New Roman" w:eastAsia="Times New Roman"/>
        </w:rPr>
        <w:t>Stratagene Mx3000P </w:t>
      </w:r>
      <w:r>
        <w:rPr/>
        <w:t>荧光</w:t>
      </w:r>
      <w:r>
        <w:rPr>
          <w:rFonts w:ascii="Times New Roman" w:eastAsia="Times New Roman"/>
        </w:rPr>
        <w:t>PCR </w:t>
      </w:r>
      <w:r>
        <w:rPr/>
        <w:t>仪。</w:t>
      </w:r>
    </w:p>
    <w:p>
      <w:pPr>
        <w:pStyle w:val="Heading1"/>
      </w:pPr>
      <w:r>
        <w:rPr/>
        <w:t>【样本要求】</w:t>
      </w:r>
    </w:p>
    <w:p>
      <w:pPr>
        <w:pStyle w:val="ListParagraph"/>
        <w:numPr>
          <w:ilvl w:val="0"/>
          <w:numId w:val="2"/>
        </w:numPr>
        <w:tabs>
          <w:tab w:pos="324" w:val="left" w:leader="none"/>
        </w:tabs>
        <w:spacing w:line="191" w:lineRule="exact" w:before="0" w:after="0"/>
        <w:ind w:left="323" w:right="0" w:hanging="217"/>
        <w:jc w:val="left"/>
        <w:rPr>
          <w:sz w:val="18"/>
        </w:rPr>
      </w:pPr>
      <w:r>
        <w:rPr>
          <w:spacing w:val="-5"/>
          <w:sz w:val="18"/>
        </w:rPr>
        <w:t>适用样本类型：生殖道分泌物样本。</w:t>
      </w:r>
    </w:p>
    <w:p>
      <w:pPr>
        <w:pStyle w:val="ListParagraph"/>
        <w:numPr>
          <w:ilvl w:val="0"/>
          <w:numId w:val="2"/>
        </w:numPr>
        <w:tabs>
          <w:tab w:pos="324" w:val="left" w:leader="none"/>
        </w:tabs>
        <w:spacing w:line="191" w:lineRule="exact" w:before="0" w:after="0"/>
        <w:ind w:left="323" w:right="0" w:hanging="217"/>
        <w:jc w:val="left"/>
        <w:rPr>
          <w:sz w:val="18"/>
        </w:rPr>
      </w:pPr>
      <w:r>
        <w:rPr>
          <w:spacing w:val="-5"/>
          <w:sz w:val="18"/>
        </w:rPr>
        <w:t>样本采集（</w:t>
      </w:r>
      <w:r>
        <w:rPr>
          <w:spacing w:val="-11"/>
          <w:sz w:val="18"/>
        </w:rPr>
        <w:t>要求病人在采样前 </w:t>
      </w:r>
      <w:r>
        <w:rPr>
          <w:rFonts w:ascii="Times New Roman" w:eastAsia="Times New Roman"/>
          <w:sz w:val="18"/>
        </w:rPr>
        <w:t>2</w:t>
      </w:r>
      <w:r>
        <w:rPr>
          <w:rFonts w:ascii="Times New Roman" w:eastAsia="Times New Roman"/>
          <w:spacing w:val="-3"/>
          <w:sz w:val="18"/>
        </w:rPr>
        <w:t> </w:t>
      </w:r>
      <w:r>
        <w:rPr>
          <w:spacing w:val="-5"/>
          <w:sz w:val="18"/>
        </w:rPr>
        <w:t>小时内不能排尿</w:t>
      </w:r>
      <w:r>
        <w:rPr>
          <w:spacing w:val="-92"/>
          <w:sz w:val="18"/>
        </w:rPr>
        <w:t>）</w:t>
      </w:r>
      <w:r>
        <w:rPr>
          <w:sz w:val="18"/>
        </w:rPr>
        <w:t>：</w:t>
      </w:r>
    </w:p>
    <w:p>
      <w:pPr>
        <w:pStyle w:val="BodyText"/>
        <w:spacing w:line="196" w:lineRule="auto" w:before="11"/>
        <w:ind w:left="371" w:right="171"/>
        <w:jc w:val="both"/>
      </w:pPr>
      <w:r>
        <w:rPr>
          <w:spacing w:val="-5"/>
        </w:rPr>
        <w:t>采集女性宫颈口或男性尿道口分泌物棉拭子样本。采样前用棉拭子将宫颈口或尿道口过多的分泌物轻轻擦拭干净，更换棉拭子， </w:t>
      </w:r>
      <w:r>
        <w:rPr>
          <w:spacing w:val="-9"/>
        </w:rPr>
        <w:t>用生理盐水浸润的棉拭子，紧贴宫颈口或尿道口粘膜，稍用力转动两周，以取得分泌物及脱落细胞，采集后的棉拭子置入无菌样</w:t>
      </w:r>
      <w:r>
        <w:rPr>
          <w:spacing w:val="-5"/>
        </w:rPr>
        <w:t>本收集管中，密闭送检。</w:t>
      </w:r>
    </w:p>
    <w:p>
      <w:pPr>
        <w:pStyle w:val="ListParagraph"/>
        <w:numPr>
          <w:ilvl w:val="0"/>
          <w:numId w:val="2"/>
        </w:numPr>
        <w:tabs>
          <w:tab w:pos="324" w:val="left" w:leader="none"/>
        </w:tabs>
        <w:spacing w:line="196" w:lineRule="auto" w:before="2" w:after="0"/>
        <w:ind w:left="371" w:right="195" w:hanging="264"/>
        <w:jc w:val="left"/>
        <w:rPr>
          <w:sz w:val="18"/>
        </w:rPr>
      </w:pPr>
      <w:r>
        <w:rPr>
          <w:spacing w:val="-7"/>
          <w:sz w:val="18"/>
        </w:rPr>
        <w:t>样本保存和运送：上述采集的样本可立即用于检测，或 </w:t>
      </w:r>
      <w:r>
        <w:rPr>
          <w:rFonts w:ascii="Times New Roman" w:hAnsi="Times New Roman" w:eastAsia="Times New Roman"/>
          <w:spacing w:val="-2"/>
          <w:sz w:val="18"/>
        </w:rPr>
        <w:t>2~8</w:t>
      </w:r>
      <w:r>
        <w:rPr>
          <w:spacing w:val="-5"/>
          <w:sz w:val="18"/>
        </w:rPr>
        <w:t>℃保存（</w:t>
      </w:r>
      <w:r>
        <w:rPr>
          <w:spacing w:val="-15"/>
          <w:sz w:val="18"/>
        </w:rPr>
        <w:t>不超过 </w:t>
      </w:r>
      <w:r>
        <w:rPr>
          <w:rFonts w:ascii="Times New Roman" w:hAnsi="Times New Roman" w:eastAsia="Times New Roman"/>
          <w:spacing w:val="-2"/>
          <w:sz w:val="18"/>
        </w:rPr>
        <w:t>2</w:t>
      </w:r>
      <w:r>
        <w:rPr>
          <w:rFonts w:ascii="Times New Roman" w:hAnsi="Times New Roman" w:eastAsia="Times New Roman"/>
          <w:sz w:val="18"/>
        </w:rPr>
        <w:t>4</w:t>
      </w:r>
      <w:r>
        <w:rPr>
          <w:rFonts w:ascii="Times New Roman" w:hAnsi="Times New Roman" w:eastAsia="Times New Roman"/>
          <w:spacing w:val="-6"/>
          <w:sz w:val="18"/>
        </w:rPr>
        <w:t> </w:t>
      </w:r>
      <w:r>
        <w:rPr>
          <w:spacing w:val="-4"/>
          <w:sz w:val="18"/>
        </w:rPr>
        <w:t>小时</w:t>
      </w:r>
      <w:r>
        <w:rPr>
          <w:spacing w:val="-92"/>
          <w:sz w:val="18"/>
        </w:rPr>
        <w:t>）</w:t>
      </w:r>
      <w:r>
        <w:rPr>
          <w:spacing w:val="-5"/>
          <w:sz w:val="18"/>
        </w:rPr>
        <w:t>，长期保存请置于</w:t>
      </w:r>
      <w:r>
        <w:rPr>
          <w:rFonts w:ascii="Times New Roman" w:hAnsi="Times New Roman" w:eastAsia="Times New Roman"/>
          <w:spacing w:val="-3"/>
          <w:sz w:val="18"/>
        </w:rPr>
        <w:t>-</w:t>
      </w:r>
      <w:r>
        <w:rPr>
          <w:rFonts w:ascii="Times New Roman" w:hAnsi="Times New Roman" w:eastAsia="Times New Roman"/>
          <w:spacing w:val="-2"/>
          <w:sz w:val="18"/>
        </w:rPr>
        <w:t>20</w:t>
      </w:r>
      <w:r>
        <w:rPr>
          <w:spacing w:val="-5"/>
          <w:sz w:val="18"/>
        </w:rPr>
        <w:t>℃以下。标本运送采用冰壶加冰或泡沫箱加冰密封进行运输。</w:t>
      </w:r>
    </w:p>
    <w:p>
      <w:pPr>
        <w:pStyle w:val="Heading1"/>
        <w:spacing w:line="181" w:lineRule="exact"/>
      </w:pPr>
      <w:r>
        <w:rPr/>
        <w:t>【检验方法】</w:t>
      </w:r>
    </w:p>
    <w:p>
      <w:pPr>
        <w:pStyle w:val="ListParagraph"/>
        <w:numPr>
          <w:ilvl w:val="0"/>
          <w:numId w:val="3"/>
        </w:numPr>
        <w:tabs>
          <w:tab w:pos="324" w:val="left" w:leader="none"/>
        </w:tabs>
        <w:spacing w:line="190" w:lineRule="exact" w:before="0" w:after="0"/>
        <w:ind w:left="323" w:right="0" w:hanging="217"/>
        <w:jc w:val="left"/>
        <w:rPr>
          <w:b/>
          <w:sz w:val="18"/>
        </w:rPr>
      </w:pPr>
      <w:r>
        <w:rPr>
          <w:b/>
          <w:spacing w:val="-5"/>
          <w:sz w:val="18"/>
        </w:rPr>
        <w:t>试剂准备</w:t>
      </w:r>
      <w:r>
        <w:rPr>
          <w:b/>
          <w:spacing w:val="-3"/>
          <w:sz w:val="18"/>
        </w:rPr>
        <w:t>（</w:t>
      </w:r>
      <w:r>
        <w:rPr>
          <w:b/>
          <w:spacing w:val="-5"/>
          <w:sz w:val="18"/>
        </w:rPr>
        <w:t>在试剂准备区进行</w:t>
      </w:r>
      <w:r>
        <w:rPr>
          <w:b/>
          <w:sz w:val="18"/>
        </w:rPr>
        <w:t>）</w:t>
      </w:r>
    </w:p>
    <w:p>
      <w:pPr>
        <w:pStyle w:val="ListParagraph"/>
        <w:numPr>
          <w:ilvl w:val="1"/>
          <w:numId w:val="3"/>
        </w:numPr>
        <w:tabs>
          <w:tab w:pos="412" w:val="left" w:leader="none"/>
        </w:tabs>
        <w:spacing w:line="190" w:lineRule="exact" w:before="0" w:after="0"/>
        <w:ind w:left="412" w:right="0" w:hanging="305"/>
        <w:jc w:val="left"/>
        <w:rPr>
          <w:sz w:val="18"/>
        </w:rPr>
      </w:pPr>
      <w:r>
        <w:rPr>
          <w:spacing w:val="-5"/>
          <w:sz w:val="18"/>
        </w:rPr>
        <w:t>取出试剂盒中的各组分，室温放置，待其温度平衡至室温，混匀后备用；</w:t>
      </w:r>
    </w:p>
    <w:p>
      <w:pPr>
        <w:pStyle w:val="ListParagraph"/>
        <w:numPr>
          <w:ilvl w:val="1"/>
          <w:numId w:val="3"/>
        </w:numPr>
        <w:tabs>
          <w:tab w:pos="412" w:val="left" w:leader="none"/>
        </w:tabs>
        <w:spacing w:line="190" w:lineRule="exact" w:before="0" w:after="0"/>
        <w:ind w:left="412" w:right="0" w:hanging="305"/>
        <w:jc w:val="left"/>
        <w:rPr>
          <w:rFonts w:ascii="Times New Roman" w:hAnsi="Times New Roman" w:eastAsia="Times New Roman"/>
          <w:sz w:val="18"/>
        </w:rPr>
      </w:pPr>
      <w:r>
        <w:rPr>
          <w:spacing w:val="-13"/>
          <w:sz w:val="18"/>
        </w:rPr>
        <w:t>根据待测样本、阴性对照、阳性对照以及阳性参照品 </w:t>
      </w:r>
      <w:r>
        <w:rPr>
          <w:rFonts w:ascii="Times New Roman" w:hAnsi="Times New Roman" w:eastAsia="Times New Roman"/>
          <w:sz w:val="18"/>
        </w:rPr>
        <w:t>A~D</w:t>
      </w:r>
      <w:r>
        <w:rPr>
          <w:rFonts w:ascii="Times New Roman" w:hAnsi="Times New Roman" w:eastAsia="Times New Roman"/>
          <w:spacing w:val="-4"/>
          <w:sz w:val="18"/>
        </w:rPr>
        <w:t> </w:t>
      </w:r>
      <w:r>
        <w:rPr>
          <w:spacing w:val="-12"/>
          <w:sz w:val="18"/>
        </w:rPr>
        <w:t>的数量，按比例</w:t>
      </w:r>
      <w:r>
        <w:rPr>
          <w:spacing w:val="-5"/>
          <w:sz w:val="18"/>
        </w:rPr>
        <w:t>（</w:t>
      </w:r>
      <w:r>
        <w:rPr>
          <w:spacing w:val="-15"/>
          <w:sz w:val="18"/>
        </w:rPr>
        <w:t>反应液 </w:t>
      </w:r>
      <w:r>
        <w:rPr>
          <w:rFonts w:ascii="Times New Roman" w:hAnsi="Times New Roman" w:eastAsia="Times New Roman"/>
          <w:spacing w:val="-3"/>
          <w:sz w:val="18"/>
        </w:rPr>
        <w:t>38μL/</w:t>
      </w:r>
      <w:r>
        <w:rPr>
          <w:spacing w:val="-4"/>
          <w:sz w:val="18"/>
        </w:rPr>
        <w:t>人份</w:t>
      </w:r>
      <w:r>
        <w:rPr>
          <w:rFonts w:ascii="Times New Roman" w:hAnsi="Times New Roman" w:eastAsia="Times New Roman"/>
          <w:sz w:val="18"/>
        </w:rPr>
        <w:t>+</w:t>
      </w:r>
      <w:r>
        <w:rPr>
          <w:spacing w:val="-5"/>
          <w:sz w:val="18"/>
        </w:rPr>
        <w:t>酶混合液 </w:t>
      </w:r>
      <w:r>
        <w:rPr>
          <w:rFonts w:ascii="Times New Roman" w:hAnsi="Times New Roman" w:eastAsia="Times New Roman"/>
          <w:spacing w:val="-3"/>
          <w:sz w:val="18"/>
        </w:rPr>
        <w:t>2μL/</w:t>
      </w:r>
      <w:r>
        <w:rPr>
          <w:spacing w:val="-4"/>
          <w:sz w:val="18"/>
        </w:rPr>
        <w:t>人份</w:t>
      </w:r>
      <w:r>
        <w:rPr>
          <w:rFonts w:ascii="Times New Roman" w:hAnsi="Times New Roman" w:eastAsia="Times New Roman"/>
          <w:sz w:val="18"/>
        </w:rPr>
        <w:t>+</w:t>
      </w:r>
      <w:r>
        <w:rPr>
          <w:spacing w:val="-19"/>
          <w:sz w:val="18"/>
        </w:rPr>
        <w:t>内标 </w:t>
      </w:r>
      <w:r>
        <w:rPr>
          <w:rFonts w:ascii="Times New Roman" w:hAnsi="Times New Roman" w:eastAsia="Times New Roman"/>
          <w:spacing w:val="-3"/>
          <w:sz w:val="18"/>
        </w:rPr>
        <w:t>0.25μL/</w:t>
      </w:r>
    </w:p>
    <w:p>
      <w:pPr>
        <w:pStyle w:val="BodyText"/>
        <w:spacing w:line="190" w:lineRule="exact"/>
        <w:ind w:left="460"/>
      </w:pPr>
      <w:r>
        <w:rPr/>
        <w:t>人份）取相应量的反应液、酶混合液及内标，充分混匀成</w:t>
      </w:r>
      <w:r>
        <w:rPr>
          <w:rFonts w:ascii="Times New Roman" w:eastAsia="Times New Roman"/>
        </w:rPr>
        <w:t>PCR-</w:t>
      </w:r>
      <w:r>
        <w:rPr/>
        <w:t>混合液，瞬时离心后备用。</w:t>
      </w:r>
    </w:p>
    <w:p>
      <w:pPr>
        <w:pStyle w:val="Heading1"/>
        <w:numPr>
          <w:ilvl w:val="0"/>
          <w:numId w:val="3"/>
        </w:numPr>
        <w:tabs>
          <w:tab w:pos="324" w:val="left" w:leader="none"/>
        </w:tabs>
        <w:spacing w:line="191" w:lineRule="exact" w:before="0" w:after="0"/>
        <w:ind w:left="323" w:right="0" w:hanging="217"/>
        <w:jc w:val="left"/>
      </w:pPr>
      <w:r>
        <w:rPr>
          <w:spacing w:val="-5"/>
        </w:rPr>
        <w:t>样本处理与加样</w:t>
      </w:r>
      <w:r>
        <w:rPr>
          <w:spacing w:val="-3"/>
        </w:rPr>
        <w:t>（</w:t>
      </w:r>
      <w:r>
        <w:rPr>
          <w:spacing w:val="-5"/>
        </w:rPr>
        <w:t>在样本处理区进行</w:t>
      </w:r>
      <w:r>
        <w:rPr/>
        <w:t>）</w:t>
      </w:r>
    </w:p>
    <w:p>
      <w:pPr>
        <w:pStyle w:val="ListParagraph"/>
        <w:numPr>
          <w:ilvl w:val="1"/>
          <w:numId w:val="3"/>
        </w:numPr>
        <w:tabs>
          <w:tab w:pos="412" w:val="left" w:leader="none"/>
        </w:tabs>
        <w:spacing w:line="191" w:lineRule="exact" w:before="0" w:after="0"/>
        <w:ind w:left="412" w:right="0" w:hanging="305"/>
        <w:jc w:val="left"/>
        <w:rPr>
          <w:sz w:val="18"/>
        </w:rPr>
      </w:pPr>
      <w:r>
        <w:rPr>
          <w:spacing w:val="-4"/>
          <w:sz w:val="18"/>
        </w:rPr>
        <w:t>样本处理</w:t>
      </w:r>
    </w:p>
    <w:p>
      <w:pPr>
        <w:pStyle w:val="BodyText"/>
        <w:spacing w:line="196" w:lineRule="auto" w:before="12"/>
        <w:ind w:left="371" w:right="195" w:firstLine="88"/>
      </w:pPr>
      <w:r>
        <w:rPr>
          <w:spacing w:val="-10"/>
        </w:rPr>
        <w:t>往样本收集管中加入 </w:t>
      </w:r>
      <w:r>
        <w:rPr>
          <w:rFonts w:ascii="Times New Roman" w:eastAsia="Times New Roman"/>
          <w:spacing w:val="-3"/>
        </w:rPr>
        <w:t>1mL </w:t>
      </w:r>
      <w:r>
        <w:rPr>
          <w:spacing w:val="-8"/>
        </w:rPr>
        <w:t>无菌生理盐水，充分振荡混匀，然后把全部液体</w:t>
      </w:r>
      <w:r>
        <w:rPr>
          <w:spacing w:val="-3"/>
        </w:rPr>
        <w:t>（</w:t>
      </w:r>
      <w:r>
        <w:rPr>
          <w:spacing w:val="-6"/>
        </w:rPr>
        <w:t>样本洗脱液</w:t>
      </w:r>
      <w:r>
        <w:rPr>
          <w:spacing w:val="-10"/>
        </w:rPr>
        <w:t>）</w:t>
      </w:r>
      <w:r>
        <w:rPr>
          <w:spacing w:val="-19"/>
        </w:rPr>
        <w:t>倒入 </w:t>
      </w:r>
      <w:r>
        <w:rPr>
          <w:rFonts w:ascii="Times New Roman" w:eastAsia="Times New Roman"/>
          <w:spacing w:val="-3"/>
        </w:rPr>
        <w:t>1.5mL </w:t>
      </w:r>
      <w:r>
        <w:rPr>
          <w:spacing w:val="-7"/>
        </w:rPr>
        <w:t>灭菌离心管中</w:t>
      </w:r>
      <w:r>
        <w:rPr>
          <w:spacing w:val="-3"/>
        </w:rPr>
        <w:t>（</w:t>
      </w:r>
      <w:r>
        <w:rPr>
          <w:spacing w:val="-4"/>
        </w:rPr>
        <w:t>棉拭子靠</w:t>
      </w:r>
      <w:r>
        <w:rPr>
          <w:spacing w:val="-5"/>
        </w:rPr>
        <w:t>离心管壁挤干后丢弃</w:t>
      </w:r>
      <w:r>
        <w:rPr>
          <w:spacing w:val="-92"/>
        </w:rPr>
        <w:t>）</w:t>
      </w:r>
      <w:r>
        <w:rPr>
          <w:spacing w:val="-5"/>
        </w:rPr>
        <w:t>，作为待测样本备用。</w:t>
      </w:r>
    </w:p>
    <w:p>
      <w:pPr>
        <w:pStyle w:val="ListParagraph"/>
        <w:numPr>
          <w:ilvl w:val="1"/>
          <w:numId w:val="3"/>
        </w:numPr>
        <w:tabs>
          <w:tab w:pos="412" w:val="left" w:leader="none"/>
        </w:tabs>
        <w:spacing w:line="179" w:lineRule="exact" w:before="0" w:after="0"/>
        <w:ind w:left="412" w:right="0" w:hanging="305"/>
        <w:jc w:val="left"/>
        <w:rPr>
          <w:sz w:val="18"/>
        </w:rPr>
      </w:pPr>
      <w:r>
        <w:rPr>
          <w:spacing w:val="-4"/>
          <w:sz w:val="18"/>
        </w:rPr>
        <w:t>加样</w:t>
      </w:r>
      <w:r>
        <w:rPr>
          <w:spacing w:val="-5"/>
          <w:sz w:val="18"/>
        </w:rPr>
        <w:t>（阴性对照、阳性对照、阳性参照品与待测样本同步处理</w:t>
      </w:r>
      <w:r>
        <w:rPr>
          <w:sz w:val="18"/>
        </w:rPr>
        <w:t>）</w:t>
      </w:r>
    </w:p>
    <w:p>
      <w:pPr>
        <w:pStyle w:val="ListParagraph"/>
        <w:numPr>
          <w:ilvl w:val="2"/>
          <w:numId w:val="3"/>
        </w:numPr>
        <w:tabs>
          <w:tab w:pos="501" w:val="left" w:leader="none"/>
        </w:tabs>
        <w:spacing w:line="196" w:lineRule="auto" w:before="12" w:after="0"/>
        <w:ind w:left="460" w:right="200" w:hanging="353"/>
        <w:jc w:val="left"/>
        <w:rPr>
          <w:sz w:val="18"/>
        </w:rPr>
      </w:pPr>
      <w:r>
        <w:rPr>
          <w:spacing w:val="18"/>
          <w:sz w:val="18"/>
        </w:rPr>
        <w:t>每个</w:t>
      </w:r>
      <w:r>
        <w:rPr>
          <w:rFonts w:ascii="Times New Roman" w:hAnsi="Times New Roman" w:eastAsia="Times New Roman"/>
          <w:sz w:val="18"/>
        </w:rPr>
        <w:t>P</w:t>
      </w:r>
      <w:r>
        <w:rPr>
          <w:rFonts w:ascii="Times New Roman" w:hAnsi="Times New Roman" w:eastAsia="Times New Roman"/>
          <w:spacing w:val="-3"/>
          <w:sz w:val="18"/>
        </w:rPr>
        <w:t>C</w:t>
      </w:r>
      <w:r>
        <w:rPr>
          <w:rFonts w:ascii="Times New Roman" w:hAnsi="Times New Roman" w:eastAsia="Times New Roman"/>
          <w:sz w:val="18"/>
        </w:rPr>
        <w:t>R</w:t>
      </w:r>
      <w:r>
        <w:rPr>
          <w:rFonts w:ascii="Times New Roman" w:hAnsi="Times New Roman" w:eastAsia="Times New Roman"/>
          <w:spacing w:val="-5"/>
          <w:sz w:val="18"/>
        </w:rPr>
        <w:t> </w:t>
      </w:r>
      <w:r>
        <w:rPr>
          <w:spacing w:val="-9"/>
          <w:sz w:val="18"/>
        </w:rPr>
        <w:t>反应管中加入核酸释放剂 </w:t>
      </w:r>
      <w:r>
        <w:rPr>
          <w:rFonts w:ascii="Times New Roman" w:hAnsi="Times New Roman" w:eastAsia="Times New Roman"/>
          <w:spacing w:val="-4"/>
          <w:sz w:val="18"/>
        </w:rPr>
        <w:t>5</w:t>
      </w:r>
      <w:r>
        <w:rPr>
          <w:rFonts w:ascii="Times New Roman" w:hAnsi="Times New Roman" w:eastAsia="Times New Roman"/>
          <w:spacing w:val="-1"/>
          <w:sz w:val="18"/>
        </w:rPr>
        <w:t>μ</w:t>
      </w:r>
      <w:r>
        <w:rPr>
          <w:rFonts w:ascii="Times New Roman" w:hAnsi="Times New Roman" w:eastAsia="Times New Roman"/>
          <w:spacing w:val="-2"/>
          <w:sz w:val="18"/>
        </w:rPr>
        <w:t>L</w:t>
      </w:r>
      <w:r>
        <w:rPr>
          <w:spacing w:val="-3"/>
          <w:sz w:val="18"/>
        </w:rPr>
        <w:t>（</w:t>
      </w:r>
      <w:r>
        <w:rPr>
          <w:spacing w:val="-5"/>
          <w:sz w:val="18"/>
        </w:rPr>
        <w:t>建议深吸浅打，避免出现气泡</w:t>
      </w:r>
      <w:r>
        <w:rPr>
          <w:spacing w:val="-92"/>
          <w:sz w:val="18"/>
        </w:rPr>
        <w:t>）</w:t>
      </w:r>
      <w:r>
        <w:rPr>
          <w:spacing w:val="-5"/>
          <w:sz w:val="18"/>
        </w:rPr>
        <w:t>，并依次加入待测样本、阴性对照、阳性对照以及阳</w:t>
      </w:r>
      <w:r>
        <w:rPr>
          <w:spacing w:val="6"/>
          <w:sz w:val="18"/>
        </w:rPr>
        <w:t>性参照品</w:t>
      </w:r>
      <w:r>
        <w:rPr>
          <w:rFonts w:ascii="Times New Roman" w:hAnsi="Times New Roman" w:eastAsia="Times New Roman"/>
          <w:sz w:val="18"/>
        </w:rPr>
        <w:t>A~D</w:t>
      </w:r>
      <w:r>
        <w:rPr>
          <w:rFonts w:ascii="Times New Roman" w:hAnsi="Times New Roman" w:eastAsia="Times New Roman"/>
          <w:spacing w:val="35"/>
          <w:sz w:val="18"/>
        </w:rPr>
        <w:t> </w:t>
      </w:r>
      <w:r>
        <w:rPr>
          <w:spacing w:val="-25"/>
          <w:sz w:val="18"/>
        </w:rPr>
        <w:t>各 </w:t>
      </w:r>
      <w:r>
        <w:rPr>
          <w:rFonts w:ascii="Times New Roman" w:hAnsi="Times New Roman" w:eastAsia="Times New Roman"/>
          <w:sz w:val="18"/>
        </w:rPr>
        <w:t>5μL</w:t>
      </w:r>
      <w:r>
        <w:rPr>
          <w:sz w:val="18"/>
        </w:rPr>
        <w:t>；</w:t>
      </w:r>
    </w:p>
    <w:p>
      <w:pPr>
        <w:pStyle w:val="ListParagraph"/>
        <w:numPr>
          <w:ilvl w:val="2"/>
          <w:numId w:val="3"/>
        </w:numPr>
        <w:tabs>
          <w:tab w:pos="544" w:val="left" w:leader="none"/>
        </w:tabs>
        <w:spacing w:line="181" w:lineRule="exact" w:before="0" w:after="0"/>
        <w:ind w:left="544" w:right="0" w:hanging="437"/>
        <w:jc w:val="left"/>
        <w:rPr>
          <w:sz w:val="18"/>
        </w:rPr>
      </w:pPr>
      <w:r>
        <w:rPr>
          <w:spacing w:val="-19"/>
          <w:sz w:val="18"/>
        </w:rPr>
        <w:t>间隔 </w:t>
      </w:r>
      <w:r>
        <w:rPr>
          <w:rFonts w:ascii="Times New Roman" w:hAnsi="Times New Roman" w:eastAsia="Times New Roman"/>
          <w:sz w:val="18"/>
        </w:rPr>
        <w:t>10</w:t>
      </w:r>
      <w:r>
        <w:rPr>
          <w:rFonts w:ascii="Times New Roman" w:hAnsi="Times New Roman" w:eastAsia="Times New Roman"/>
          <w:spacing w:val="-6"/>
          <w:sz w:val="18"/>
        </w:rPr>
        <w:t> </w:t>
      </w:r>
      <w:r>
        <w:rPr>
          <w:sz w:val="18"/>
        </w:rPr>
        <w:t>分钟以上，每管加入</w:t>
      </w:r>
      <w:r>
        <w:rPr>
          <w:rFonts w:ascii="Times New Roman" w:hAnsi="Times New Roman" w:eastAsia="Times New Roman"/>
          <w:spacing w:val="-3"/>
          <w:sz w:val="18"/>
        </w:rPr>
        <w:t>PCR-</w:t>
      </w:r>
      <w:r>
        <w:rPr>
          <w:spacing w:val="-5"/>
          <w:sz w:val="18"/>
        </w:rPr>
        <w:t>混合液 </w:t>
      </w:r>
      <w:r>
        <w:rPr>
          <w:rFonts w:ascii="Times New Roman" w:hAnsi="Times New Roman" w:eastAsia="Times New Roman"/>
          <w:spacing w:val="-3"/>
          <w:sz w:val="18"/>
        </w:rPr>
        <w:t>40μL</w:t>
      </w:r>
      <w:r>
        <w:rPr>
          <w:spacing w:val="-5"/>
          <w:sz w:val="18"/>
        </w:rPr>
        <w:t>，盖上管盖。</w:t>
      </w:r>
    </w:p>
    <w:p>
      <w:pPr>
        <w:pStyle w:val="ListParagraph"/>
        <w:numPr>
          <w:ilvl w:val="0"/>
          <w:numId w:val="3"/>
        </w:numPr>
        <w:tabs>
          <w:tab w:pos="280" w:val="left" w:leader="none"/>
        </w:tabs>
        <w:spacing w:line="190" w:lineRule="exact" w:before="0" w:after="0"/>
        <w:ind w:left="280" w:right="0" w:hanging="173"/>
        <w:jc w:val="left"/>
        <w:rPr>
          <w:sz w:val="18"/>
        </w:rPr>
      </w:pPr>
      <w:r>
        <w:rPr>
          <w:rFonts w:ascii="Times New Roman" w:eastAsia="Times New Roman"/>
          <w:b/>
          <w:sz w:val="18"/>
        </w:rPr>
        <w:t>PCR</w:t>
      </w:r>
      <w:r>
        <w:rPr>
          <w:rFonts w:ascii="Times New Roman" w:eastAsia="Times New Roman"/>
          <w:b/>
          <w:spacing w:val="35"/>
          <w:sz w:val="18"/>
        </w:rPr>
        <w:t> </w:t>
      </w:r>
      <w:r>
        <w:rPr>
          <w:b/>
          <w:spacing w:val="-3"/>
          <w:sz w:val="18"/>
        </w:rPr>
        <w:t>扩增</w:t>
      </w:r>
      <w:r>
        <w:rPr>
          <w:spacing w:val="-5"/>
          <w:sz w:val="18"/>
        </w:rPr>
        <w:t>（请参照各仪器使用说明书进行设置</w:t>
      </w:r>
      <w:r>
        <w:rPr>
          <w:sz w:val="18"/>
        </w:rPr>
        <w:t>）</w:t>
      </w:r>
    </w:p>
    <w:p>
      <w:pPr>
        <w:pStyle w:val="ListParagraph"/>
        <w:numPr>
          <w:ilvl w:val="1"/>
          <w:numId w:val="3"/>
        </w:numPr>
        <w:tabs>
          <w:tab w:pos="412" w:val="left" w:leader="none"/>
        </w:tabs>
        <w:spacing w:line="196" w:lineRule="auto" w:before="12" w:after="0"/>
        <w:ind w:left="371" w:right="197" w:hanging="264"/>
        <w:jc w:val="left"/>
        <w:rPr>
          <w:sz w:val="18"/>
        </w:rPr>
      </w:pPr>
      <w:r>
        <w:rPr/>
        <w:tab/>
      </w:r>
      <w:r>
        <w:rPr>
          <w:spacing w:val="40"/>
          <w:sz w:val="18"/>
        </w:rPr>
        <w:t>将</w:t>
      </w:r>
      <w:r>
        <w:rPr>
          <w:rFonts w:ascii="Times New Roman" w:eastAsia="Times New Roman"/>
          <w:sz w:val="18"/>
        </w:rPr>
        <w:t>PCR</w:t>
      </w:r>
      <w:r>
        <w:rPr>
          <w:rFonts w:ascii="Times New Roman" w:eastAsia="Times New Roman"/>
          <w:spacing w:val="-8"/>
          <w:sz w:val="18"/>
        </w:rPr>
        <w:t> </w:t>
      </w:r>
      <w:r>
        <w:rPr>
          <w:spacing w:val="-4"/>
          <w:sz w:val="18"/>
        </w:rPr>
        <w:t>反应管放入扩增仪样品槽，按对应顺序设置阴性对照、阳性对照、阳性参照品</w:t>
      </w:r>
      <w:r>
        <w:rPr>
          <w:rFonts w:ascii="Times New Roman" w:eastAsia="Times New Roman"/>
          <w:sz w:val="18"/>
        </w:rPr>
        <w:t>A</w:t>
      </w:r>
      <w:r>
        <w:rPr>
          <w:sz w:val="18"/>
        </w:rPr>
        <w:t>～</w:t>
      </w:r>
      <w:r>
        <w:rPr>
          <w:rFonts w:ascii="Times New Roman" w:eastAsia="Times New Roman"/>
          <w:sz w:val="18"/>
        </w:rPr>
        <w:t>D</w:t>
      </w:r>
      <w:r>
        <w:rPr>
          <w:rFonts w:ascii="Times New Roman" w:eastAsia="Times New Roman"/>
          <w:spacing w:val="-5"/>
          <w:sz w:val="18"/>
        </w:rPr>
        <w:t> </w:t>
      </w:r>
      <w:r>
        <w:rPr>
          <w:spacing w:val="-5"/>
          <w:sz w:val="18"/>
        </w:rPr>
        <w:t>以及未知样本，并设置样本名称及阳性参照品浓度。</w:t>
      </w:r>
    </w:p>
    <w:p>
      <w:pPr>
        <w:pStyle w:val="ListParagraph"/>
        <w:numPr>
          <w:ilvl w:val="1"/>
          <w:numId w:val="3"/>
        </w:numPr>
        <w:tabs>
          <w:tab w:pos="412" w:val="left" w:leader="none"/>
        </w:tabs>
        <w:spacing w:line="179" w:lineRule="exact" w:before="0" w:after="0"/>
        <w:ind w:left="412" w:right="0" w:hanging="305"/>
        <w:jc w:val="left"/>
        <w:rPr>
          <w:sz w:val="18"/>
        </w:rPr>
      </w:pPr>
      <w:r>
        <w:rPr>
          <w:spacing w:val="-5"/>
          <w:sz w:val="18"/>
        </w:rPr>
        <w:t>荧光检测通道选择：</w:t>
      </w:r>
    </w:p>
    <w:p>
      <w:pPr>
        <w:pStyle w:val="ListParagraph"/>
        <w:numPr>
          <w:ilvl w:val="2"/>
          <w:numId w:val="3"/>
        </w:numPr>
        <w:tabs>
          <w:tab w:pos="489" w:val="left" w:leader="none"/>
        </w:tabs>
        <w:spacing w:line="191" w:lineRule="exact" w:before="0" w:after="0"/>
        <w:ind w:left="488" w:right="0" w:hanging="382"/>
        <w:jc w:val="both"/>
        <w:rPr>
          <w:sz w:val="18"/>
        </w:rPr>
      </w:pPr>
      <w:r>
        <w:rPr>
          <w:rFonts w:ascii="Times New Roman" w:eastAsia="Times New Roman"/>
          <w:spacing w:val="-3"/>
          <w:sz w:val="18"/>
        </w:rPr>
        <w:t>ABI7500</w:t>
      </w:r>
      <w:r>
        <w:rPr>
          <w:spacing w:val="-5"/>
          <w:sz w:val="18"/>
        </w:rPr>
        <w:t>、</w:t>
      </w:r>
      <w:r>
        <w:rPr>
          <w:rFonts w:ascii="Times New Roman" w:eastAsia="Times New Roman"/>
          <w:sz w:val="18"/>
        </w:rPr>
        <w:t>Stratagene</w:t>
      </w:r>
      <w:r>
        <w:rPr>
          <w:rFonts w:ascii="Times New Roman" w:eastAsia="Times New Roman"/>
          <w:spacing w:val="-9"/>
          <w:sz w:val="18"/>
        </w:rPr>
        <w:t> </w:t>
      </w:r>
      <w:r>
        <w:rPr>
          <w:rFonts w:ascii="Times New Roman" w:eastAsia="Times New Roman"/>
          <w:sz w:val="18"/>
        </w:rPr>
        <w:t>Mx3000P</w:t>
      </w:r>
      <w:r>
        <w:rPr>
          <w:rFonts w:ascii="Times New Roman" w:eastAsia="Times New Roman"/>
          <w:spacing w:val="-9"/>
          <w:sz w:val="18"/>
        </w:rPr>
        <w:t> </w:t>
      </w:r>
      <w:r>
        <w:rPr>
          <w:spacing w:val="-3"/>
          <w:sz w:val="18"/>
        </w:rPr>
        <w:t>仪器：</w:t>
      </w:r>
    </w:p>
    <w:p>
      <w:pPr>
        <w:pStyle w:val="BodyText"/>
        <w:spacing w:line="196" w:lineRule="auto" w:before="13"/>
        <w:ind w:left="455" w:right="169" w:firstLine="88"/>
        <w:jc w:val="both"/>
      </w:pPr>
      <w:r>
        <w:rPr>
          <w:rFonts w:ascii="Times New Roman" w:eastAsia="Times New Roman"/>
          <w:spacing w:val="-34"/>
        </w:rPr>
        <w:t>1</w:t>
      </w:r>
      <w:r>
        <w:rPr>
          <w:spacing w:val="-34"/>
        </w:rPr>
        <w:t>）</w:t>
      </w:r>
      <w:r>
        <w:rPr>
          <w:spacing w:val="-17"/>
        </w:rPr>
        <w:t>选择 </w:t>
      </w:r>
      <w:r>
        <w:rPr>
          <w:rFonts w:ascii="Times New Roman" w:eastAsia="Times New Roman"/>
          <w:spacing w:val="-6"/>
        </w:rPr>
        <w:t>FAM </w:t>
      </w:r>
      <w:r>
        <w:rPr>
          <w:spacing w:val="-33"/>
        </w:rPr>
        <w:t>通道</w:t>
      </w:r>
      <w:r>
        <w:rPr>
          <w:spacing w:val="-4"/>
        </w:rPr>
        <w:t>（</w:t>
      </w:r>
      <w:r>
        <w:rPr>
          <w:rFonts w:ascii="Times New Roman" w:eastAsia="Times New Roman"/>
          <w:spacing w:val="-4"/>
        </w:rPr>
        <w:t>Reporter:FAM</w:t>
      </w:r>
      <w:r>
        <w:rPr>
          <w:rFonts w:ascii="Times New Roman" w:eastAsia="Times New Roman"/>
          <w:spacing w:val="-3"/>
        </w:rPr>
        <w:t>, </w:t>
      </w:r>
      <w:r>
        <w:rPr>
          <w:rFonts w:ascii="Times New Roman" w:eastAsia="Times New Roman"/>
          <w:spacing w:val="-8"/>
        </w:rPr>
        <w:t>Quencher:none</w:t>
      </w:r>
      <w:r>
        <w:rPr>
          <w:spacing w:val="-8"/>
        </w:rPr>
        <w:t>）</w:t>
      </w:r>
      <w:r>
        <w:rPr>
          <w:spacing w:val="-9"/>
        </w:rPr>
        <w:t>检测人乳头瘤病毒 </w:t>
      </w:r>
      <w:r>
        <w:rPr>
          <w:rFonts w:ascii="Times New Roman" w:eastAsia="Times New Roman"/>
          <w:spacing w:val="-13"/>
        </w:rPr>
        <w:t>16/18-DNA</w:t>
      </w:r>
      <w:r>
        <w:rPr>
          <w:spacing w:val="-13"/>
        </w:rPr>
        <w:t>；</w:t>
      </w:r>
      <w:r>
        <w:rPr>
          <w:rFonts w:ascii="Times New Roman" w:eastAsia="Times New Roman"/>
          <w:spacing w:val="-13"/>
        </w:rPr>
        <w:t>2</w:t>
      </w:r>
      <w:r>
        <w:rPr>
          <w:spacing w:val="-13"/>
        </w:rPr>
        <w:t>）</w:t>
      </w:r>
      <w:r>
        <w:rPr>
          <w:spacing w:val="-18"/>
        </w:rPr>
        <w:t>选择 </w:t>
      </w:r>
      <w:r>
        <w:rPr>
          <w:rFonts w:ascii="Times New Roman" w:eastAsia="Times New Roman"/>
        </w:rPr>
        <w:t>HEX </w:t>
      </w:r>
      <w:r>
        <w:rPr>
          <w:spacing w:val="40"/>
        </w:rPr>
        <w:t>或</w:t>
      </w:r>
      <w:r>
        <w:rPr>
          <w:rFonts w:ascii="Times New Roman" w:eastAsia="Times New Roman"/>
        </w:rPr>
        <w:t>VIC </w:t>
      </w:r>
      <w:r>
        <w:rPr>
          <w:spacing w:val="-32"/>
        </w:rPr>
        <w:t>通道</w:t>
      </w:r>
      <w:r>
        <w:rPr>
          <w:spacing w:val="-3"/>
        </w:rPr>
        <w:t>（</w:t>
      </w:r>
      <w:r>
        <w:rPr>
          <w:rFonts w:ascii="Times New Roman" w:eastAsia="Times New Roman"/>
          <w:spacing w:val="-3"/>
        </w:rPr>
        <w:t>Reporter:HEX/VIC, Quencher:none</w:t>
      </w:r>
      <w:r>
        <w:rPr>
          <w:spacing w:val="-3"/>
        </w:rPr>
        <w:t>）</w:t>
      </w:r>
      <w:r>
        <w:rPr>
          <w:spacing w:val="-5"/>
        </w:rPr>
        <w:t>检测内标；</w:t>
      </w:r>
      <w:r>
        <w:rPr>
          <w:rFonts w:ascii="Times New Roman" w:eastAsia="Times New Roman"/>
          <w:spacing w:val="-4"/>
        </w:rPr>
        <w:t>3</w:t>
      </w:r>
      <w:r>
        <w:rPr>
          <w:spacing w:val="-4"/>
        </w:rPr>
        <w:t>）</w:t>
      </w:r>
      <w:r>
        <w:rPr>
          <w:spacing w:val="-5"/>
        </w:rPr>
        <w:t>参比荧光</w:t>
      </w:r>
      <w:r>
        <w:rPr>
          <w:spacing w:val="-3"/>
        </w:rPr>
        <w:t>（</w:t>
      </w:r>
      <w:r>
        <w:rPr>
          <w:rFonts w:ascii="Times New Roman" w:eastAsia="Times New Roman"/>
          <w:spacing w:val="-3"/>
        </w:rPr>
        <w:t>Passive </w:t>
      </w:r>
      <w:r>
        <w:rPr>
          <w:rFonts w:ascii="Times New Roman" w:eastAsia="Times New Roman"/>
          <w:spacing w:val="-4"/>
        </w:rPr>
        <w:t>Reference</w:t>
      </w:r>
      <w:r>
        <w:rPr>
          <w:spacing w:val="-4"/>
        </w:rPr>
        <w:t>）</w:t>
      </w:r>
      <w:r>
        <w:rPr>
          <w:spacing w:val="10"/>
        </w:rPr>
        <w:t>设置为</w:t>
      </w:r>
      <w:r>
        <w:rPr>
          <w:rFonts w:ascii="Times New Roman" w:eastAsia="Times New Roman"/>
          <w:spacing w:val="-3"/>
        </w:rPr>
        <w:t>none</w:t>
      </w:r>
      <w:r>
        <w:rPr>
          <w:spacing w:val="10"/>
        </w:rPr>
        <w:t>。设置</w:t>
      </w:r>
      <w:r>
        <w:rPr>
          <w:rFonts w:ascii="Times New Roman" w:eastAsia="Times New Roman"/>
        </w:rPr>
        <w:t>Sample </w:t>
      </w:r>
      <w:r>
        <w:rPr>
          <w:rFonts w:ascii="Times New Roman" w:eastAsia="Times New Roman"/>
          <w:spacing w:val="-6"/>
        </w:rPr>
        <w:t>Volume </w:t>
      </w:r>
      <w:r>
        <w:rPr>
          <w:spacing w:val="-25"/>
        </w:rPr>
        <w:t>为 </w:t>
      </w:r>
      <w:r>
        <w:rPr>
          <w:rFonts w:ascii="Times New Roman" w:eastAsia="Times New Roman"/>
          <w:spacing w:val="-3"/>
        </w:rPr>
        <w:t>50</w:t>
      </w:r>
      <w:r>
        <w:rPr/>
        <w:t>。</w:t>
      </w:r>
    </w:p>
    <w:p>
      <w:pPr>
        <w:pStyle w:val="ListParagraph"/>
        <w:numPr>
          <w:ilvl w:val="2"/>
          <w:numId w:val="3"/>
        </w:numPr>
        <w:tabs>
          <w:tab w:pos="501" w:val="left" w:leader="none"/>
        </w:tabs>
        <w:spacing w:line="179" w:lineRule="exact" w:before="0" w:after="0"/>
        <w:ind w:left="500" w:right="0" w:hanging="394"/>
        <w:jc w:val="both"/>
        <w:rPr>
          <w:sz w:val="18"/>
        </w:rPr>
      </w:pPr>
      <w:r>
        <w:rPr>
          <w:rFonts w:ascii="Times New Roman" w:eastAsia="Times New Roman"/>
          <w:spacing w:val="-3"/>
          <w:sz w:val="18"/>
        </w:rPr>
        <w:t>Roche</w:t>
      </w:r>
      <w:r>
        <w:rPr>
          <w:rFonts w:ascii="Times New Roman" w:eastAsia="Times New Roman"/>
          <w:spacing w:val="-5"/>
          <w:sz w:val="18"/>
        </w:rPr>
        <w:t> </w:t>
      </w:r>
      <w:r>
        <w:rPr>
          <w:rFonts w:ascii="Times New Roman" w:eastAsia="Times New Roman"/>
          <w:spacing w:val="-3"/>
          <w:sz w:val="18"/>
        </w:rPr>
        <w:t>LightCycler480</w:t>
      </w:r>
      <w:r>
        <w:rPr>
          <w:rFonts w:ascii="Times New Roman" w:eastAsia="Times New Roman"/>
          <w:spacing w:val="-6"/>
          <w:sz w:val="18"/>
        </w:rPr>
        <w:t> </w:t>
      </w:r>
      <w:r>
        <w:rPr>
          <w:spacing w:val="-3"/>
          <w:sz w:val="18"/>
        </w:rPr>
        <w:t>仪器：</w:t>
      </w:r>
    </w:p>
    <w:p>
      <w:pPr>
        <w:pStyle w:val="BodyText"/>
        <w:spacing w:line="196" w:lineRule="auto" w:before="12"/>
        <w:ind w:left="282" w:right="177" w:firstLine="88"/>
        <w:jc w:val="both"/>
      </w:pPr>
      <w:r>
        <w:rPr>
          <w:spacing w:val="-17"/>
        </w:rPr>
        <w:t>选择 </w:t>
      </w:r>
      <w:r>
        <w:rPr>
          <w:rFonts w:ascii="Times New Roman" w:eastAsia="Times New Roman"/>
        </w:rPr>
        <w:t>New Experiment</w:t>
      </w:r>
      <w:r>
        <w:rPr>
          <w:spacing w:val="-15"/>
        </w:rPr>
        <w:t>，在 </w:t>
      </w:r>
      <w:r>
        <w:rPr>
          <w:rFonts w:ascii="Times New Roman" w:eastAsia="Times New Roman"/>
        </w:rPr>
        <w:t>setup </w:t>
      </w:r>
      <w:r>
        <w:rPr>
          <w:spacing w:val="10"/>
        </w:rPr>
        <w:t>设置面板</w:t>
      </w:r>
      <w:r>
        <w:rPr>
          <w:rFonts w:ascii="Times New Roman" w:eastAsia="Times New Roman"/>
        </w:rPr>
        <w:t>Detection</w:t>
      </w:r>
      <w:r>
        <w:rPr>
          <w:rFonts w:ascii="Times New Roman" w:eastAsia="Times New Roman"/>
          <w:spacing w:val="-3"/>
        </w:rPr>
        <w:t> format </w:t>
      </w:r>
      <w:r>
        <w:rPr>
          <w:spacing w:val="-6"/>
        </w:rPr>
        <w:t>下拉菜单中选择 </w:t>
      </w:r>
      <w:r>
        <w:rPr>
          <w:rFonts w:ascii="Times New Roman" w:eastAsia="Times New Roman"/>
        </w:rPr>
        <w:t>Dual Color </w:t>
      </w:r>
      <w:r>
        <w:rPr>
          <w:rFonts w:ascii="Times New Roman" w:eastAsia="Times New Roman"/>
          <w:spacing w:val="-3"/>
        </w:rPr>
        <w:t>Hydrolysis </w:t>
      </w:r>
      <w:r>
        <w:rPr>
          <w:rFonts w:ascii="Times New Roman" w:eastAsia="Times New Roman"/>
        </w:rPr>
        <w:t>Probe/UPL Probe</w:t>
      </w:r>
      <w:r>
        <w:rPr>
          <w:spacing w:val="-16"/>
        </w:rPr>
        <w:t>，在 </w:t>
      </w:r>
      <w:r>
        <w:rPr>
          <w:rFonts w:ascii="Times New Roman" w:eastAsia="Times New Roman"/>
          <w:spacing w:val="-3"/>
        </w:rPr>
        <w:t>Customize </w:t>
      </w:r>
      <w:r>
        <w:rPr>
          <w:spacing w:val="-9"/>
        </w:rPr>
        <w:t>下拉菜单中：</w:t>
      </w:r>
      <w:r>
        <w:rPr>
          <w:rFonts w:ascii="Times New Roman" w:eastAsia="Times New Roman"/>
          <w:spacing w:val="-29"/>
        </w:rPr>
        <w:t>1</w:t>
      </w:r>
      <w:r>
        <w:rPr>
          <w:spacing w:val="-29"/>
        </w:rPr>
        <w:t>）</w:t>
      </w:r>
      <w:r>
        <w:rPr>
          <w:spacing w:val="-19"/>
        </w:rPr>
        <w:t>选择 </w:t>
      </w:r>
      <w:r>
        <w:rPr>
          <w:rFonts w:ascii="Times New Roman" w:eastAsia="Times New Roman"/>
          <w:spacing w:val="-6"/>
        </w:rPr>
        <w:t>FAM </w:t>
      </w:r>
      <w:r>
        <w:rPr>
          <w:spacing w:val="-10"/>
        </w:rPr>
        <w:t>通道检测人乳头瘤病毒 </w:t>
      </w:r>
      <w:r>
        <w:rPr>
          <w:rFonts w:ascii="Times New Roman" w:eastAsia="Times New Roman"/>
          <w:spacing w:val="-9"/>
        </w:rPr>
        <w:t>16/18-DNA</w:t>
      </w:r>
      <w:r>
        <w:rPr>
          <w:spacing w:val="-9"/>
        </w:rPr>
        <w:t>；</w:t>
      </w:r>
      <w:r>
        <w:rPr>
          <w:rFonts w:ascii="Times New Roman" w:eastAsia="Times New Roman"/>
          <w:spacing w:val="-9"/>
        </w:rPr>
        <w:t>2</w:t>
      </w:r>
      <w:r>
        <w:rPr>
          <w:spacing w:val="-9"/>
        </w:rPr>
        <w:t>）</w:t>
      </w:r>
      <w:r>
        <w:rPr>
          <w:spacing w:val="-20"/>
        </w:rPr>
        <w:t>选择 </w:t>
      </w:r>
      <w:r>
        <w:rPr>
          <w:rFonts w:ascii="Times New Roman" w:eastAsia="Times New Roman"/>
        </w:rPr>
        <w:t>VIC/HEX </w:t>
      </w:r>
      <w:r>
        <w:rPr>
          <w:rFonts w:ascii="Times New Roman" w:eastAsia="Times New Roman"/>
          <w:spacing w:val="-5"/>
        </w:rPr>
        <w:t>/Yellow </w:t>
      </w:r>
      <w:r>
        <w:rPr>
          <w:rFonts w:ascii="Times New Roman" w:eastAsia="Times New Roman"/>
        </w:rPr>
        <w:t>555 </w:t>
      </w:r>
      <w:r>
        <w:rPr>
          <w:spacing w:val="-14"/>
        </w:rPr>
        <w:t>通道检测内标。设置 </w:t>
      </w:r>
      <w:r>
        <w:rPr>
          <w:rFonts w:ascii="Times New Roman" w:eastAsia="Times New Roman"/>
        </w:rPr>
        <w:t>Reaction </w:t>
      </w:r>
      <w:r>
        <w:rPr>
          <w:rFonts w:ascii="Times New Roman" w:eastAsia="Times New Roman"/>
          <w:spacing w:val="-6"/>
        </w:rPr>
        <w:t>Volume </w:t>
      </w:r>
      <w:r>
        <w:rPr>
          <w:spacing w:val="-25"/>
        </w:rPr>
        <w:t>为 </w:t>
      </w:r>
      <w:r>
        <w:rPr>
          <w:rFonts w:ascii="Times New Roman" w:eastAsia="Times New Roman"/>
          <w:spacing w:val="-3"/>
        </w:rPr>
        <w:t>50</w:t>
      </w:r>
      <w:r>
        <w:rPr/>
        <w:t>。</w:t>
      </w:r>
    </w:p>
    <w:p>
      <w:pPr>
        <w:pStyle w:val="ListParagraph"/>
        <w:numPr>
          <w:ilvl w:val="1"/>
          <w:numId w:val="3"/>
        </w:numPr>
        <w:tabs>
          <w:tab w:pos="412" w:val="left" w:leader="none"/>
        </w:tabs>
        <w:spacing w:line="202" w:lineRule="exact" w:before="0" w:after="0"/>
        <w:ind w:left="412" w:right="0" w:hanging="305"/>
        <w:jc w:val="left"/>
        <w:rPr>
          <w:sz w:val="18"/>
        </w:rPr>
      </w:pPr>
      <w:r>
        <w:rPr>
          <w:spacing w:val="-5"/>
          <w:sz w:val="18"/>
        </w:rPr>
        <w:t>循环参数设定（不同仪器，时间参数不同，见下表</w:t>
      </w:r>
      <w:r>
        <w:rPr>
          <w:spacing w:val="-92"/>
          <w:sz w:val="18"/>
        </w:rPr>
        <w:t>）</w:t>
      </w:r>
      <w:r>
        <w:rPr>
          <w:sz w:val="18"/>
        </w:rPr>
        <w:t>：</w:t>
      </w:r>
    </w:p>
    <w:p>
      <w:pPr>
        <w:spacing w:after="0" w:line="202" w:lineRule="exact"/>
        <w:jc w:val="left"/>
        <w:rPr>
          <w:sz w:val="18"/>
        </w:rPr>
        <w:sectPr>
          <w:type w:val="continuous"/>
          <w:pgSz w:w="11910" w:h="16840"/>
          <w:pgMar w:top="660" w:bottom="660" w:left="800" w:right="700"/>
        </w:sectPr>
      </w:pPr>
    </w:p>
    <w:p>
      <w:pPr>
        <w:pStyle w:val="BodyText"/>
        <w:spacing w:before="5"/>
        <w:ind w:left="0"/>
        <w:rPr>
          <w:sz w:val="3"/>
        </w:rPr>
      </w:pPr>
    </w:p>
    <w:p>
      <w:pPr>
        <w:pStyle w:val="BodyText"/>
        <w:spacing w:line="20" w:lineRule="exact"/>
        <w:ind w:left="99"/>
        <w:rPr>
          <w:sz w:val="2"/>
        </w:rPr>
      </w:pPr>
      <w:r>
        <w:rPr>
          <w:sz w:val="2"/>
        </w:rPr>
        <w:pict>
          <v:group style="width:504.6pt;height:.75pt;mso-position-horizontal-relative:char;mso-position-vertical-relative:line" coordorigin="0,0" coordsize="10092,15">
            <v:line style="position:absolute" from="0,7" to="10092,7" stroked="true" strokeweight=".72pt" strokecolor="#000000">
              <v:stroke dashstyle="solid"/>
            </v:line>
          </v:group>
        </w:pict>
      </w:r>
      <w:r>
        <w:rPr>
          <w:sz w:val="2"/>
        </w:rPr>
      </w:r>
    </w:p>
    <w:p>
      <w:pPr>
        <w:pStyle w:val="ListParagraph"/>
        <w:numPr>
          <w:ilvl w:val="2"/>
          <w:numId w:val="3"/>
        </w:numPr>
        <w:tabs>
          <w:tab w:pos="619" w:val="left" w:leader="none"/>
        </w:tabs>
        <w:spacing w:line="240" w:lineRule="auto" w:before="0" w:after="0"/>
        <w:ind w:left="618" w:right="0" w:hanging="512"/>
        <w:jc w:val="left"/>
        <w:rPr>
          <w:sz w:val="18"/>
        </w:rPr>
      </w:pPr>
      <w:r>
        <w:rPr>
          <w:rFonts w:ascii="Times New Roman" w:eastAsia="Times New Roman"/>
          <w:spacing w:val="-3"/>
          <w:sz w:val="18"/>
        </w:rPr>
        <w:t>ABI7500</w:t>
      </w:r>
      <w:r>
        <w:rPr>
          <w:spacing w:val="-5"/>
          <w:sz w:val="18"/>
        </w:rPr>
        <w:t>、</w:t>
      </w:r>
      <w:r>
        <w:rPr>
          <w:rFonts w:ascii="Times New Roman" w:eastAsia="Times New Roman"/>
          <w:spacing w:val="-3"/>
          <w:sz w:val="18"/>
        </w:rPr>
        <w:t>Stratagene</w:t>
      </w:r>
      <w:r>
        <w:rPr>
          <w:rFonts w:ascii="Times New Roman" w:eastAsia="Times New Roman"/>
          <w:spacing w:val="-6"/>
          <w:sz w:val="18"/>
        </w:rPr>
        <w:t> </w:t>
      </w:r>
      <w:r>
        <w:rPr>
          <w:rFonts w:ascii="Times New Roman" w:eastAsia="Times New Roman"/>
          <w:sz w:val="18"/>
        </w:rPr>
        <w:t>Mx3000P</w:t>
      </w:r>
      <w:r>
        <w:rPr>
          <w:rFonts w:ascii="Times New Roman" w:eastAsia="Times New Roman"/>
          <w:spacing w:val="-6"/>
          <w:sz w:val="18"/>
        </w:rPr>
        <w:t> </w:t>
      </w:r>
      <w:r>
        <w:rPr>
          <w:spacing w:val="-5"/>
          <w:sz w:val="18"/>
        </w:rPr>
        <w:t>仪器参数设定</w:t>
      </w:r>
    </w:p>
    <w:tbl>
      <w:tblPr>
        <w:tblW w:w="0" w:type="auto"/>
        <w:jc w:val="left"/>
        <w:tblInd w:w="1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004"/>
        <w:gridCol w:w="1072"/>
        <w:gridCol w:w="2067"/>
        <w:gridCol w:w="916"/>
      </w:tblGrid>
      <w:tr>
        <w:trPr>
          <w:trHeight w:val="330" w:hRule="atLeast"/>
        </w:trPr>
        <w:tc>
          <w:tcPr>
            <w:tcW w:w="3340" w:type="dxa"/>
            <w:gridSpan w:val="2"/>
          </w:tcPr>
          <w:p>
            <w:pPr>
              <w:pStyle w:val="TableParagraph"/>
              <w:spacing w:line="240" w:lineRule="auto" w:before="30"/>
              <w:ind w:left="1471" w:right="1459"/>
              <w:rPr>
                <w:rFonts w:ascii="宋体" w:eastAsia="宋体" w:hint="eastAsia"/>
                <w:sz w:val="18"/>
              </w:rPr>
            </w:pPr>
            <w:r>
              <w:rPr>
                <w:rFonts w:ascii="宋体" w:eastAsia="宋体" w:hint="eastAsia"/>
                <w:sz w:val="18"/>
              </w:rPr>
              <w:t>步骤</w:t>
            </w:r>
          </w:p>
        </w:tc>
        <w:tc>
          <w:tcPr>
            <w:tcW w:w="1072" w:type="dxa"/>
          </w:tcPr>
          <w:p>
            <w:pPr>
              <w:pStyle w:val="TableParagraph"/>
              <w:spacing w:line="240" w:lineRule="auto" w:before="30"/>
              <w:ind w:left="336" w:right="325"/>
              <w:rPr>
                <w:rFonts w:ascii="宋体" w:eastAsia="宋体" w:hint="eastAsia"/>
                <w:sz w:val="18"/>
              </w:rPr>
            </w:pPr>
            <w:r>
              <w:rPr>
                <w:rFonts w:ascii="宋体" w:eastAsia="宋体" w:hint="eastAsia"/>
                <w:sz w:val="18"/>
              </w:rPr>
              <w:t>温度</w:t>
            </w:r>
          </w:p>
        </w:tc>
        <w:tc>
          <w:tcPr>
            <w:tcW w:w="2067" w:type="dxa"/>
          </w:tcPr>
          <w:p>
            <w:pPr>
              <w:pStyle w:val="TableParagraph"/>
              <w:spacing w:line="240" w:lineRule="auto" w:before="30"/>
              <w:ind w:left="766" w:right="755"/>
              <w:rPr>
                <w:rFonts w:ascii="宋体" w:eastAsia="宋体" w:hint="eastAsia"/>
                <w:sz w:val="18"/>
              </w:rPr>
            </w:pPr>
            <w:r>
              <w:rPr>
                <w:rFonts w:ascii="宋体" w:eastAsia="宋体" w:hint="eastAsia"/>
                <w:sz w:val="18"/>
              </w:rPr>
              <w:t>时间</w:t>
            </w:r>
          </w:p>
        </w:tc>
        <w:tc>
          <w:tcPr>
            <w:tcW w:w="916" w:type="dxa"/>
          </w:tcPr>
          <w:p>
            <w:pPr>
              <w:pStyle w:val="TableParagraph"/>
              <w:spacing w:line="240" w:lineRule="auto" w:before="30"/>
              <w:ind w:left="170" w:right="156"/>
              <w:rPr>
                <w:rFonts w:ascii="宋体" w:eastAsia="宋体" w:hint="eastAsia"/>
                <w:sz w:val="18"/>
              </w:rPr>
            </w:pPr>
            <w:r>
              <w:rPr>
                <w:rFonts w:ascii="宋体" w:eastAsia="宋体" w:hint="eastAsia"/>
                <w:sz w:val="18"/>
              </w:rPr>
              <w:t>循环数</w:t>
            </w:r>
          </w:p>
        </w:tc>
      </w:tr>
      <w:tr>
        <w:trPr>
          <w:trHeight w:val="197" w:hRule="atLeast"/>
        </w:trPr>
        <w:tc>
          <w:tcPr>
            <w:tcW w:w="336" w:type="dxa"/>
          </w:tcPr>
          <w:p>
            <w:pPr>
              <w:pStyle w:val="TableParagraph"/>
              <w:spacing w:line="178" w:lineRule="exact"/>
              <w:ind w:left="0" w:right="110"/>
              <w:jc w:val="right"/>
              <w:rPr>
                <w:sz w:val="18"/>
              </w:rPr>
            </w:pPr>
            <w:r>
              <w:rPr>
                <w:sz w:val="18"/>
              </w:rPr>
              <w:t>1</w:t>
            </w:r>
          </w:p>
        </w:tc>
        <w:tc>
          <w:tcPr>
            <w:tcW w:w="3004" w:type="dxa"/>
          </w:tcPr>
          <w:p>
            <w:pPr>
              <w:pStyle w:val="TableParagraph"/>
              <w:spacing w:line="178" w:lineRule="exact"/>
              <w:ind w:left="459"/>
              <w:jc w:val="left"/>
              <w:rPr>
                <w:rFonts w:ascii="宋体" w:eastAsia="宋体" w:hint="eastAsia"/>
                <w:sz w:val="18"/>
              </w:rPr>
            </w:pPr>
            <w:r>
              <w:rPr>
                <w:sz w:val="18"/>
              </w:rPr>
              <w:t>UNG </w:t>
            </w:r>
            <w:r>
              <w:rPr>
                <w:rFonts w:ascii="宋体" w:eastAsia="宋体" w:hint="eastAsia"/>
                <w:sz w:val="18"/>
              </w:rPr>
              <w:t>酶反应</w:t>
            </w:r>
          </w:p>
        </w:tc>
        <w:tc>
          <w:tcPr>
            <w:tcW w:w="1072" w:type="dxa"/>
          </w:tcPr>
          <w:p>
            <w:pPr>
              <w:pStyle w:val="TableParagraph"/>
              <w:spacing w:line="178" w:lineRule="exact"/>
              <w:ind w:left="336" w:right="325"/>
              <w:rPr>
                <w:rFonts w:ascii="宋体" w:hAnsi="宋体"/>
                <w:sz w:val="18"/>
              </w:rPr>
            </w:pPr>
            <w:r>
              <w:rPr>
                <w:sz w:val="18"/>
              </w:rPr>
              <w:t>50</w:t>
            </w:r>
            <w:r>
              <w:rPr>
                <w:rFonts w:ascii="宋体" w:hAnsi="宋体"/>
                <w:sz w:val="18"/>
              </w:rPr>
              <w:t>℃</w:t>
            </w:r>
          </w:p>
        </w:tc>
        <w:tc>
          <w:tcPr>
            <w:tcW w:w="2067" w:type="dxa"/>
          </w:tcPr>
          <w:p>
            <w:pPr>
              <w:pStyle w:val="TableParagraph"/>
              <w:spacing w:line="178" w:lineRule="exact"/>
              <w:ind w:left="766" w:right="755"/>
              <w:rPr>
                <w:rFonts w:ascii="宋体" w:eastAsia="宋体" w:hint="eastAsia"/>
                <w:sz w:val="18"/>
              </w:rPr>
            </w:pPr>
            <w:r>
              <w:rPr>
                <w:sz w:val="18"/>
              </w:rPr>
              <w:t>2 </w:t>
            </w:r>
            <w:r>
              <w:rPr>
                <w:rFonts w:ascii="宋体" w:eastAsia="宋体" w:hint="eastAsia"/>
                <w:sz w:val="18"/>
              </w:rPr>
              <w:t>分钟</w:t>
            </w:r>
          </w:p>
        </w:tc>
        <w:tc>
          <w:tcPr>
            <w:tcW w:w="916" w:type="dxa"/>
          </w:tcPr>
          <w:p>
            <w:pPr>
              <w:pStyle w:val="TableParagraph"/>
              <w:spacing w:line="178" w:lineRule="exact"/>
              <w:ind w:left="13"/>
              <w:rPr>
                <w:sz w:val="18"/>
              </w:rPr>
            </w:pPr>
            <w:r>
              <w:rPr>
                <w:sz w:val="18"/>
              </w:rPr>
              <w:t>1</w:t>
            </w:r>
          </w:p>
        </w:tc>
      </w:tr>
      <w:tr>
        <w:trPr>
          <w:trHeight w:val="197" w:hRule="atLeast"/>
        </w:trPr>
        <w:tc>
          <w:tcPr>
            <w:tcW w:w="336" w:type="dxa"/>
          </w:tcPr>
          <w:p>
            <w:pPr>
              <w:pStyle w:val="TableParagraph"/>
              <w:spacing w:line="178" w:lineRule="exact"/>
              <w:ind w:left="0" w:right="110"/>
              <w:jc w:val="right"/>
              <w:rPr>
                <w:sz w:val="18"/>
              </w:rPr>
            </w:pPr>
            <w:r>
              <w:rPr>
                <w:sz w:val="18"/>
              </w:rPr>
              <w:t>2</w:t>
            </w:r>
          </w:p>
        </w:tc>
        <w:tc>
          <w:tcPr>
            <w:tcW w:w="3004" w:type="dxa"/>
          </w:tcPr>
          <w:p>
            <w:pPr>
              <w:pStyle w:val="TableParagraph"/>
              <w:spacing w:line="178" w:lineRule="exact"/>
              <w:ind w:left="459"/>
              <w:jc w:val="left"/>
              <w:rPr>
                <w:rFonts w:ascii="宋体" w:eastAsia="宋体" w:hint="eastAsia"/>
                <w:sz w:val="18"/>
              </w:rPr>
            </w:pPr>
            <w:r>
              <w:rPr>
                <w:sz w:val="18"/>
              </w:rPr>
              <w:t>Taq </w:t>
            </w:r>
            <w:r>
              <w:rPr>
                <w:rFonts w:ascii="宋体" w:eastAsia="宋体" w:hint="eastAsia"/>
                <w:sz w:val="18"/>
              </w:rPr>
              <w:t>酶活化</w:t>
            </w:r>
          </w:p>
        </w:tc>
        <w:tc>
          <w:tcPr>
            <w:tcW w:w="1072" w:type="dxa"/>
          </w:tcPr>
          <w:p>
            <w:pPr>
              <w:pStyle w:val="TableParagraph"/>
              <w:spacing w:line="178" w:lineRule="exact"/>
              <w:ind w:left="336" w:right="325"/>
              <w:rPr>
                <w:rFonts w:ascii="宋体" w:hAnsi="宋体"/>
                <w:sz w:val="18"/>
              </w:rPr>
            </w:pPr>
            <w:r>
              <w:rPr>
                <w:sz w:val="18"/>
              </w:rPr>
              <w:t>94</w:t>
            </w:r>
            <w:r>
              <w:rPr>
                <w:rFonts w:ascii="宋体" w:hAnsi="宋体"/>
                <w:sz w:val="18"/>
              </w:rPr>
              <w:t>℃</w:t>
            </w:r>
          </w:p>
        </w:tc>
        <w:tc>
          <w:tcPr>
            <w:tcW w:w="2067" w:type="dxa"/>
          </w:tcPr>
          <w:p>
            <w:pPr>
              <w:pStyle w:val="TableParagraph"/>
              <w:spacing w:line="178" w:lineRule="exact"/>
              <w:ind w:left="766" w:right="755"/>
              <w:rPr>
                <w:rFonts w:ascii="宋体" w:eastAsia="宋体" w:hint="eastAsia"/>
                <w:sz w:val="18"/>
              </w:rPr>
            </w:pPr>
            <w:r>
              <w:rPr>
                <w:sz w:val="18"/>
              </w:rPr>
              <w:t>5 </w:t>
            </w:r>
            <w:r>
              <w:rPr>
                <w:rFonts w:ascii="宋体" w:eastAsia="宋体" w:hint="eastAsia"/>
                <w:sz w:val="18"/>
              </w:rPr>
              <w:t>分钟</w:t>
            </w:r>
          </w:p>
        </w:tc>
        <w:tc>
          <w:tcPr>
            <w:tcW w:w="916" w:type="dxa"/>
          </w:tcPr>
          <w:p>
            <w:pPr>
              <w:pStyle w:val="TableParagraph"/>
              <w:spacing w:line="178" w:lineRule="exact"/>
              <w:ind w:left="13"/>
              <w:rPr>
                <w:sz w:val="18"/>
              </w:rPr>
            </w:pPr>
            <w:r>
              <w:rPr>
                <w:sz w:val="18"/>
              </w:rPr>
              <w:t>1</w:t>
            </w:r>
          </w:p>
        </w:tc>
      </w:tr>
      <w:tr>
        <w:trPr>
          <w:trHeight w:val="197" w:hRule="atLeast"/>
        </w:trPr>
        <w:tc>
          <w:tcPr>
            <w:tcW w:w="336" w:type="dxa"/>
            <w:vMerge w:val="restart"/>
          </w:tcPr>
          <w:p>
            <w:pPr>
              <w:pStyle w:val="TableParagraph"/>
              <w:spacing w:line="240" w:lineRule="auto" w:before="74"/>
              <w:ind w:left="10"/>
              <w:rPr>
                <w:sz w:val="18"/>
              </w:rPr>
            </w:pPr>
            <w:r>
              <w:rPr>
                <w:sz w:val="18"/>
              </w:rPr>
              <w:t>3</w:t>
            </w:r>
          </w:p>
        </w:tc>
        <w:tc>
          <w:tcPr>
            <w:tcW w:w="3004" w:type="dxa"/>
          </w:tcPr>
          <w:p>
            <w:pPr>
              <w:pStyle w:val="TableParagraph"/>
              <w:spacing w:line="178" w:lineRule="exact"/>
              <w:ind w:left="459"/>
              <w:jc w:val="left"/>
              <w:rPr>
                <w:rFonts w:ascii="宋体" w:eastAsia="宋体" w:hint="eastAsia"/>
                <w:sz w:val="18"/>
              </w:rPr>
            </w:pPr>
            <w:r>
              <w:rPr>
                <w:rFonts w:ascii="宋体" w:eastAsia="宋体" w:hint="eastAsia"/>
                <w:sz w:val="18"/>
              </w:rPr>
              <w:t>变性</w:t>
            </w:r>
          </w:p>
        </w:tc>
        <w:tc>
          <w:tcPr>
            <w:tcW w:w="1072" w:type="dxa"/>
          </w:tcPr>
          <w:p>
            <w:pPr>
              <w:pStyle w:val="TableParagraph"/>
              <w:spacing w:line="178" w:lineRule="exact"/>
              <w:ind w:left="336" w:right="325"/>
              <w:rPr>
                <w:rFonts w:ascii="宋体" w:hAnsi="宋体"/>
                <w:sz w:val="18"/>
              </w:rPr>
            </w:pPr>
            <w:r>
              <w:rPr>
                <w:sz w:val="18"/>
              </w:rPr>
              <w:t>94</w:t>
            </w:r>
            <w:r>
              <w:rPr>
                <w:rFonts w:ascii="宋体" w:hAnsi="宋体"/>
                <w:sz w:val="18"/>
              </w:rPr>
              <w:t>℃</w:t>
            </w:r>
          </w:p>
        </w:tc>
        <w:tc>
          <w:tcPr>
            <w:tcW w:w="2067" w:type="dxa"/>
          </w:tcPr>
          <w:p>
            <w:pPr>
              <w:pStyle w:val="TableParagraph"/>
              <w:spacing w:line="178" w:lineRule="exact"/>
              <w:ind w:left="766" w:right="755"/>
              <w:rPr>
                <w:rFonts w:ascii="宋体" w:eastAsia="宋体" w:hint="eastAsia"/>
                <w:sz w:val="18"/>
              </w:rPr>
            </w:pPr>
            <w:r>
              <w:rPr>
                <w:sz w:val="18"/>
              </w:rPr>
              <w:t>15 </w:t>
            </w:r>
            <w:r>
              <w:rPr>
                <w:rFonts w:ascii="宋体" w:eastAsia="宋体" w:hint="eastAsia"/>
                <w:sz w:val="18"/>
              </w:rPr>
              <w:t>秒</w:t>
            </w:r>
          </w:p>
        </w:tc>
        <w:tc>
          <w:tcPr>
            <w:tcW w:w="916" w:type="dxa"/>
            <w:vMerge w:val="restart"/>
          </w:tcPr>
          <w:p>
            <w:pPr>
              <w:pStyle w:val="TableParagraph"/>
              <w:spacing w:line="240" w:lineRule="auto" w:before="74"/>
              <w:ind w:left="166" w:right="156"/>
              <w:rPr>
                <w:sz w:val="18"/>
              </w:rPr>
            </w:pPr>
            <w:r>
              <w:rPr>
                <w:sz w:val="18"/>
              </w:rPr>
              <w:t>45</w:t>
            </w:r>
          </w:p>
        </w:tc>
      </w:tr>
      <w:tr>
        <w:trPr>
          <w:trHeight w:val="190" w:hRule="atLeast"/>
        </w:trPr>
        <w:tc>
          <w:tcPr>
            <w:tcW w:w="336" w:type="dxa"/>
            <w:vMerge/>
            <w:tcBorders>
              <w:top w:val="nil"/>
            </w:tcBorders>
          </w:tcPr>
          <w:p>
            <w:pPr>
              <w:rPr>
                <w:sz w:val="2"/>
                <w:szCs w:val="2"/>
              </w:rPr>
            </w:pPr>
          </w:p>
        </w:tc>
        <w:tc>
          <w:tcPr>
            <w:tcW w:w="3004" w:type="dxa"/>
          </w:tcPr>
          <w:p>
            <w:pPr>
              <w:pStyle w:val="TableParagraph"/>
              <w:ind w:left="459"/>
              <w:jc w:val="left"/>
              <w:rPr>
                <w:rFonts w:ascii="宋体" w:eastAsia="宋体" w:hint="eastAsia"/>
                <w:sz w:val="18"/>
              </w:rPr>
            </w:pPr>
            <w:r>
              <w:rPr>
                <w:rFonts w:ascii="宋体" w:eastAsia="宋体" w:hint="eastAsia"/>
                <w:sz w:val="18"/>
              </w:rPr>
              <w:t>退火，延伸，及荧光采集</w:t>
            </w:r>
          </w:p>
        </w:tc>
        <w:tc>
          <w:tcPr>
            <w:tcW w:w="1072" w:type="dxa"/>
          </w:tcPr>
          <w:p>
            <w:pPr>
              <w:pStyle w:val="TableParagraph"/>
              <w:ind w:left="336" w:right="325"/>
              <w:rPr>
                <w:rFonts w:ascii="宋体" w:hAnsi="宋体"/>
                <w:sz w:val="18"/>
              </w:rPr>
            </w:pPr>
            <w:r>
              <w:rPr>
                <w:sz w:val="18"/>
              </w:rPr>
              <w:t>57</w:t>
            </w:r>
            <w:r>
              <w:rPr>
                <w:rFonts w:ascii="宋体" w:hAnsi="宋体"/>
                <w:sz w:val="18"/>
              </w:rPr>
              <w:t>℃</w:t>
            </w:r>
          </w:p>
        </w:tc>
        <w:tc>
          <w:tcPr>
            <w:tcW w:w="2067" w:type="dxa"/>
          </w:tcPr>
          <w:p>
            <w:pPr>
              <w:pStyle w:val="TableParagraph"/>
              <w:ind w:left="765" w:right="755"/>
              <w:rPr>
                <w:sz w:val="18"/>
              </w:rPr>
            </w:pPr>
            <w:r>
              <w:rPr>
                <w:sz w:val="18"/>
              </w:rPr>
              <w:t>30 </w:t>
            </w:r>
            <w:r>
              <w:rPr>
                <w:rFonts w:ascii="宋体" w:eastAsia="宋体" w:hint="eastAsia"/>
                <w:sz w:val="18"/>
              </w:rPr>
              <w:t>秒</w:t>
            </w:r>
            <w:r>
              <w:rPr>
                <w:sz w:val="18"/>
              </w:rPr>
              <w:t>*</w:t>
            </w:r>
          </w:p>
        </w:tc>
        <w:tc>
          <w:tcPr>
            <w:tcW w:w="916" w:type="dxa"/>
            <w:vMerge/>
            <w:tcBorders>
              <w:top w:val="nil"/>
            </w:tcBorders>
          </w:tcPr>
          <w:p>
            <w:pPr>
              <w:rPr>
                <w:sz w:val="2"/>
                <w:szCs w:val="2"/>
              </w:rPr>
            </w:pPr>
          </w:p>
        </w:tc>
      </w:tr>
      <w:tr>
        <w:trPr>
          <w:trHeight w:val="197" w:hRule="atLeast"/>
        </w:trPr>
        <w:tc>
          <w:tcPr>
            <w:tcW w:w="336" w:type="dxa"/>
          </w:tcPr>
          <w:p>
            <w:pPr>
              <w:pStyle w:val="TableParagraph"/>
              <w:spacing w:line="178" w:lineRule="exact"/>
              <w:ind w:left="0" w:right="110"/>
              <w:jc w:val="right"/>
              <w:rPr>
                <w:sz w:val="18"/>
              </w:rPr>
            </w:pPr>
            <w:r>
              <w:rPr>
                <w:sz w:val="18"/>
              </w:rPr>
              <w:t>4</w:t>
            </w:r>
          </w:p>
        </w:tc>
        <w:tc>
          <w:tcPr>
            <w:tcW w:w="3004" w:type="dxa"/>
          </w:tcPr>
          <w:p>
            <w:pPr>
              <w:pStyle w:val="TableParagraph"/>
              <w:spacing w:line="178" w:lineRule="exact"/>
              <w:ind w:left="459"/>
              <w:jc w:val="left"/>
              <w:rPr>
                <w:rFonts w:ascii="宋体" w:eastAsia="宋体" w:hint="eastAsia"/>
                <w:sz w:val="18"/>
              </w:rPr>
            </w:pPr>
            <w:r>
              <w:rPr>
                <w:rFonts w:ascii="宋体" w:eastAsia="宋体" w:hint="eastAsia"/>
                <w:sz w:val="18"/>
              </w:rPr>
              <w:t>仪器冷却（可选）</w:t>
            </w:r>
          </w:p>
        </w:tc>
        <w:tc>
          <w:tcPr>
            <w:tcW w:w="1072" w:type="dxa"/>
          </w:tcPr>
          <w:p>
            <w:pPr>
              <w:pStyle w:val="TableParagraph"/>
              <w:spacing w:line="178" w:lineRule="exact"/>
              <w:ind w:left="336" w:right="325"/>
              <w:rPr>
                <w:rFonts w:ascii="宋体" w:hAnsi="宋体"/>
                <w:sz w:val="18"/>
              </w:rPr>
            </w:pPr>
            <w:r>
              <w:rPr>
                <w:sz w:val="18"/>
              </w:rPr>
              <w:t>25</w:t>
            </w:r>
            <w:r>
              <w:rPr>
                <w:rFonts w:ascii="宋体" w:hAnsi="宋体"/>
                <w:sz w:val="18"/>
              </w:rPr>
              <w:t>℃</w:t>
            </w:r>
          </w:p>
        </w:tc>
        <w:tc>
          <w:tcPr>
            <w:tcW w:w="2067" w:type="dxa"/>
          </w:tcPr>
          <w:p>
            <w:pPr>
              <w:pStyle w:val="TableParagraph"/>
              <w:spacing w:line="178" w:lineRule="exact"/>
              <w:ind w:left="766" w:right="755"/>
              <w:rPr>
                <w:rFonts w:ascii="宋体" w:eastAsia="宋体" w:hint="eastAsia"/>
                <w:sz w:val="18"/>
              </w:rPr>
            </w:pPr>
            <w:r>
              <w:rPr>
                <w:sz w:val="18"/>
              </w:rPr>
              <w:t>10 </w:t>
            </w:r>
            <w:r>
              <w:rPr>
                <w:rFonts w:ascii="宋体" w:eastAsia="宋体" w:hint="eastAsia"/>
                <w:sz w:val="18"/>
              </w:rPr>
              <w:t>秒</w:t>
            </w:r>
          </w:p>
        </w:tc>
        <w:tc>
          <w:tcPr>
            <w:tcW w:w="916" w:type="dxa"/>
          </w:tcPr>
          <w:p>
            <w:pPr>
              <w:pStyle w:val="TableParagraph"/>
              <w:spacing w:line="178" w:lineRule="exact"/>
              <w:ind w:left="13"/>
              <w:rPr>
                <w:sz w:val="18"/>
              </w:rPr>
            </w:pPr>
            <w:r>
              <w:rPr>
                <w:sz w:val="18"/>
              </w:rPr>
              <w:t>1</w:t>
            </w:r>
          </w:p>
        </w:tc>
      </w:tr>
    </w:tbl>
    <w:p>
      <w:pPr>
        <w:pStyle w:val="BodyText"/>
        <w:spacing w:line="169" w:lineRule="exact"/>
        <w:ind w:left="460"/>
        <w:rPr>
          <w:rFonts w:ascii="Times New Roman" w:eastAsia="Times New Roman"/>
        </w:rPr>
      </w:pPr>
      <w:r>
        <w:rPr>
          <w:rFonts w:ascii="Times New Roman" w:eastAsia="Times New Roman"/>
        </w:rPr>
        <w:t>(*</w:t>
      </w:r>
      <w:r>
        <w:rPr/>
        <w:t>注：由于</w:t>
      </w:r>
      <w:r>
        <w:rPr>
          <w:rFonts w:ascii="Times New Roman" w:eastAsia="Times New Roman"/>
        </w:rPr>
        <w:t>ABI7500 </w:t>
      </w:r>
      <w:r>
        <w:rPr/>
        <w:t>仪器原因，不能设置为 </w:t>
      </w:r>
      <w:r>
        <w:rPr>
          <w:rFonts w:ascii="Times New Roman" w:eastAsia="Times New Roman"/>
        </w:rPr>
        <w:t>30 </w:t>
      </w:r>
      <w:r>
        <w:rPr/>
        <w:t>秒，可以设置为 </w:t>
      </w:r>
      <w:r>
        <w:rPr>
          <w:rFonts w:ascii="Times New Roman" w:eastAsia="Times New Roman"/>
        </w:rPr>
        <w:t>31 </w:t>
      </w:r>
      <w:r>
        <w:rPr/>
        <w:t>秒。</w:t>
      </w:r>
      <w:r>
        <w:rPr>
          <w:rFonts w:ascii="Times New Roman" w:eastAsia="Times New Roman"/>
        </w:rPr>
        <w:t>)</w:t>
      </w:r>
    </w:p>
    <w:p>
      <w:pPr>
        <w:pStyle w:val="ListParagraph"/>
        <w:numPr>
          <w:ilvl w:val="2"/>
          <w:numId w:val="3"/>
        </w:numPr>
        <w:tabs>
          <w:tab w:pos="628" w:val="left" w:leader="none"/>
        </w:tabs>
        <w:spacing w:line="210" w:lineRule="exact" w:before="0" w:after="0"/>
        <w:ind w:left="628" w:right="0" w:hanging="521"/>
        <w:jc w:val="left"/>
        <w:rPr>
          <w:rFonts w:ascii="Times New Roman" w:eastAsia="Times New Roman"/>
          <w:sz w:val="18"/>
        </w:rPr>
      </w:pPr>
      <w:r>
        <w:rPr>
          <w:rFonts w:ascii="Times New Roman" w:eastAsia="Times New Roman"/>
          <w:sz w:val="18"/>
        </w:rPr>
        <w:t>LightCycler</w:t>
      </w:r>
      <w:r>
        <w:rPr>
          <w:rFonts w:ascii="Times New Roman" w:eastAsia="Times New Roman"/>
          <w:spacing w:val="-8"/>
          <w:sz w:val="18"/>
        </w:rPr>
        <w:t> </w:t>
      </w:r>
      <w:r>
        <w:rPr>
          <w:rFonts w:ascii="Times New Roman" w:eastAsia="Times New Roman"/>
          <w:sz w:val="18"/>
        </w:rPr>
        <w:t>480</w:t>
      </w:r>
      <w:r>
        <w:rPr>
          <w:rFonts w:ascii="Times New Roman" w:eastAsia="Times New Roman"/>
          <w:spacing w:val="-3"/>
          <w:sz w:val="18"/>
        </w:rPr>
        <w:t> </w:t>
      </w:r>
      <w:r>
        <w:rPr>
          <w:spacing w:val="-5"/>
          <w:sz w:val="18"/>
        </w:rPr>
        <w:t>仪器参数设定</w:t>
      </w:r>
      <w:r>
        <w:rPr>
          <w:rFonts w:ascii="Times New Roman" w:eastAsia="Times New Roman"/>
          <w:spacing w:val="-3"/>
          <w:sz w:val="18"/>
        </w:rPr>
        <w:t>(</w:t>
      </w:r>
      <w:r>
        <w:rPr>
          <w:spacing w:val="-5"/>
          <w:sz w:val="18"/>
        </w:rPr>
        <w:t>没有列出的参数，选仪器默认值</w:t>
      </w:r>
      <w:r>
        <w:rPr>
          <w:rFonts w:ascii="Times New Roman" w:eastAsia="Times New Roman"/>
          <w:sz w:val="18"/>
        </w:rPr>
        <w:t>)</w:t>
      </w:r>
    </w:p>
    <w:tbl>
      <w:tblPr>
        <w:tblW w:w="0" w:type="auto"/>
        <w:jc w:val="left"/>
        <w:tblInd w:w="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6"/>
        <w:gridCol w:w="1328"/>
        <w:gridCol w:w="1919"/>
        <w:gridCol w:w="1593"/>
        <w:gridCol w:w="992"/>
        <w:gridCol w:w="1701"/>
      </w:tblGrid>
      <w:tr>
        <w:trPr>
          <w:trHeight w:val="190" w:hRule="atLeast"/>
        </w:trPr>
        <w:tc>
          <w:tcPr>
            <w:tcW w:w="1446" w:type="dxa"/>
          </w:tcPr>
          <w:p>
            <w:pPr>
              <w:pStyle w:val="TableParagraph"/>
              <w:ind w:left="276" w:right="263"/>
              <w:rPr>
                <w:sz w:val="18"/>
              </w:rPr>
            </w:pPr>
            <w:r>
              <w:rPr>
                <w:sz w:val="18"/>
              </w:rPr>
              <w:t>Program</w:t>
            </w:r>
          </w:p>
        </w:tc>
        <w:tc>
          <w:tcPr>
            <w:tcW w:w="1328" w:type="dxa"/>
          </w:tcPr>
          <w:p>
            <w:pPr>
              <w:pStyle w:val="TableParagraph"/>
              <w:ind w:left="238" w:right="225"/>
              <w:rPr>
                <w:sz w:val="18"/>
              </w:rPr>
            </w:pPr>
            <w:r>
              <w:rPr>
                <w:sz w:val="18"/>
              </w:rPr>
              <w:t>Target (</w:t>
            </w:r>
            <w:r>
              <w:rPr>
                <w:rFonts w:ascii="宋体" w:hAnsi="宋体"/>
                <w:sz w:val="18"/>
              </w:rPr>
              <w:t>℃</w:t>
            </w:r>
            <w:r>
              <w:rPr>
                <w:sz w:val="18"/>
              </w:rPr>
              <w:t>)</w:t>
            </w:r>
          </w:p>
        </w:tc>
        <w:tc>
          <w:tcPr>
            <w:tcW w:w="1919" w:type="dxa"/>
          </w:tcPr>
          <w:p>
            <w:pPr>
              <w:pStyle w:val="TableParagraph"/>
              <w:ind w:left="289" w:right="275"/>
              <w:rPr>
                <w:sz w:val="18"/>
              </w:rPr>
            </w:pPr>
            <w:r>
              <w:rPr>
                <w:sz w:val="18"/>
              </w:rPr>
              <w:t>Acquisition Mode</w:t>
            </w:r>
          </w:p>
        </w:tc>
        <w:tc>
          <w:tcPr>
            <w:tcW w:w="1593" w:type="dxa"/>
          </w:tcPr>
          <w:p>
            <w:pPr>
              <w:pStyle w:val="TableParagraph"/>
              <w:ind w:left="187" w:right="175"/>
              <w:rPr>
                <w:sz w:val="18"/>
              </w:rPr>
            </w:pPr>
            <w:r>
              <w:rPr>
                <w:sz w:val="18"/>
              </w:rPr>
              <w:t>Hold(hh:mm:ss)</w:t>
            </w:r>
          </w:p>
        </w:tc>
        <w:tc>
          <w:tcPr>
            <w:tcW w:w="992" w:type="dxa"/>
          </w:tcPr>
          <w:p>
            <w:pPr>
              <w:pStyle w:val="TableParagraph"/>
              <w:ind w:left="232" w:right="220"/>
              <w:rPr>
                <w:sz w:val="18"/>
              </w:rPr>
            </w:pPr>
            <w:r>
              <w:rPr>
                <w:sz w:val="18"/>
              </w:rPr>
              <w:t>Cycles</w:t>
            </w:r>
          </w:p>
        </w:tc>
        <w:tc>
          <w:tcPr>
            <w:tcW w:w="1701" w:type="dxa"/>
          </w:tcPr>
          <w:p>
            <w:pPr>
              <w:pStyle w:val="TableParagraph"/>
              <w:ind w:left="285" w:right="270"/>
              <w:rPr>
                <w:sz w:val="18"/>
              </w:rPr>
            </w:pPr>
            <w:r>
              <w:rPr>
                <w:sz w:val="18"/>
              </w:rPr>
              <w:t>Analysis Mode</w:t>
            </w:r>
          </w:p>
        </w:tc>
      </w:tr>
      <w:tr>
        <w:trPr>
          <w:trHeight w:val="190" w:hRule="atLeast"/>
        </w:trPr>
        <w:tc>
          <w:tcPr>
            <w:tcW w:w="1446" w:type="dxa"/>
          </w:tcPr>
          <w:p>
            <w:pPr>
              <w:pStyle w:val="TableParagraph"/>
              <w:ind w:left="9"/>
              <w:rPr>
                <w:sz w:val="18"/>
              </w:rPr>
            </w:pPr>
            <w:r>
              <w:rPr>
                <w:sz w:val="18"/>
              </w:rPr>
              <w:t>1</w:t>
            </w:r>
          </w:p>
        </w:tc>
        <w:tc>
          <w:tcPr>
            <w:tcW w:w="1328" w:type="dxa"/>
          </w:tcPr>
          <w:p>
            <w:pPr>
              <w:pStyle w:val="TableParagraph"/>
              <w:ind w:left="236" w:right="225"/>
              <w:rPr>
                <w:sz w:val="18"/>
              </w:rPr>
            </w:pPr>
            <w:r>
              <w:rPr>
                <w:sz w:val="18"/>
              </w:rPr>
              <w:t>50</w:t>
            </w:r>
          </w:p>
        </w:tc>
        <w:tc>
          <w:tcPr>
            <w:tcW w:w="1919" w:type="dxa"/>
          </w:tcPr>
          <w:p>
            <w:pPr>
              <w:pStyle w:val="TableParagraph"/>
              <w:ind w:left="289" w:right="273"/>
              <w:rPr>
                <w:sz w:val="18"/>
              </w:rPr>
            </w:pPr>
            <w:r>
              <w:rPr>
                <w:sz w:val="18"/>
              </w:rPr>
              <w:t>None</w:t>
            </w:r>
          </w:p>
        </w:tc>
        <w:tc>
          <w:tcPr>
            <w:tcW w:w="1593" w:type="dxa"/>
          </w:tcPr>
          <w:p>
            <w:pPr>
              <w:pStyle w:val="TableParagraph"/>
              <w:ind w:left="187" w:right="171"/>
              <w:rPr>
                <w:sz w:val="18"/>
              </w:rPr>
            </w:pPr>
            <w:r>
              <w:rPr>
                <w:sz w:val="18"/>
              </w:rPr>
              <w:t>00:02:00</w:t>
            </w:r>
          </w:p>
        </w:tc>
        <w:tc>
          <w:tcPr>
            <w:tcW w:w="992" w:type="dxa"/>
          </w:tcPr>
          <w:p>
            <w:pPr>
              <w:pStyle w:val="TableParagraph"/>
              <w:ind w:left="11"/>
              <w:rPr>
                <w:sz w:val="18"/>
              </w:rPr>
            </w:pPr>
            <w:r>
              <w:rPr>
                <w:sz w:val="18"/>
              </w:rPr>
              <w:t>1</w:t>
            </w:r>
          </w:p>
        </w:tc>
        <w:tc>
          <w:tcPr>
            <w:tcW w:w="1701" w:type="dxa"/>
          </w:tcPr>
          <w:p>
            <w:pPr>
              <w:pStyle w:val="TableParagraph"/>
              <w:ind w:left="285" w:right="270"/>
              <w:rPr>
                <w:sz w:val="18"/>
              </w:rPr>
            </w:pPr>
            <w:r>
              <w:rPr>
                <w:sz w:val="18"/>
              </w:rPr>
              <w:t>None</w:t>
            </w:r>
          </w:p>
        </w:tc>
      </w:tr>
      <w:tr>
        <w:trPr>
          <w:trHeight w:val="190" w:hRule="atLeast"/>
        </w:trPr>
        <w:tc>
          <w:tcPr>
            <w:tcW w:w="1446" w:type="dxa"/>
          </w:tcPr>
          <w:p>
            <w:pPr>
              <w:pStyle w:val="TableParagraph"/>
              <w:ind w:left="9"/>
              <w:rPr>
                <w:sz w:val="18"/>
              </w:rPr>
            </w:pPr>
            <w:r>
              <w:rPr>
                <w:sz w:val="18"/>
              </w:rPr>
              <w:t>2</w:t>
            </w:r>
          </w:p>
        </w:tc>
        <w:tc>
          <w:tcPr>
            <w:tcW w:w="1328" w:type="dxa"/>
          </w:tcPr>
          <w:p>
            <w:pPr>
              <w:pStyle w:val="TableParagraph"/>
              <w:ind w:left="236" w:right="225"/>
              <w:rPr>
                <w:sz w:val="18"/>
              </w:rPr>
            </w:pPr>
            <w:r>
              <w:rPr>
                <w:sz w:val="18"/>
              </w:rPr>
              <w:t>94</w:t>
            </w:r>
          </w:p>
        </w:tc>
        <w:tc>
          <w:tcPr>
            <w:tcW w:w="1919" w:type="dxa"/>
          </w:tcPr>
          <w:p>
            <w:pPr>
              <w:pStyle w:val="TableParagraph"/>
              <w:ind w:left="289" w:right="273"/>
              <w:rPr>
                <w:sz w:val="18"/>
              </w:rPr>
            </w:pPr>
            <w:r>
              <w:rPr>
                <w:sz w:val="18"/>
              </w:rPr>
              <w:t>None</w:t>
            </w:r>
          </w:p>
        </w:tc>
        <w:tc>
          <w:tcPr>
            <w:tcW w:w="1593" w:type="dxa"/>
          </w:tcPr>
          <w:p>
            <w:pPr>
              <w:pStyle w:val="TableParagraph"/>
              <w:ind w:left="187" w:right="171"/>
              <w:rPr>
                <w:sz w:val="18"/>
              </w:rPr>
            </w:pPr>
            <w:r>
              <w:rPr>
                <w:sz w:val="18"/>
              </w:rPr>
              <w:t>00:02:00</w:t>
            </w:r>
          </w:p>
        </w:tc>
        <w:tc>
          <w:tcPr>
            <w:tcW w:w="992" w:type="dxa"/>
          </w:tcPr>
          <w:p>
            <w:pPr>
              <w:pStyle w:val="TableParagraph"/>
              <w:ind w:left="11"/>
              <w:rPr>
                <w:sz w:val="18"/>
              </w:rPr>
            </w:pPr>
            <w:r>
              <w:rPr>
                <w:sz w:val="18"/>
              </w:rPr>
              <w:t>1</w:t>
            </w:r>
          </w:p>
        </w:tc>
        <w:tc>
          <w:tcPr>
            <w:tcW w:w="1701" w:type="dxa"/>
          </w:tcPr>
          <w:p>
            <w:pPr>
              <w:pStyle w:val="TableParagraph"/>
              <w:ind w:left="285" w:right="270"/>
              <w:rPr>
                <w:sz w:val="18"/>
              </w:rPr>
            </w:pPr>
            <w:r>
              <w:rPr>
                <w:sz w:val="18"/>
              </w:rPr>
              <w:t>None</w:t>
            </w:r>
          </w:p>
        </w:tc>
      </w:tr>
      <w:tr>
        <w:trPr>
          <w:trHeight w:val="190" w:hRule="atLeast"/>
        </w:trPr>
        <w:tc>
          <w:tcPr>
            <w:tcW w:w="1446" w:type="dxa"/>
            <w:vMerge w:val="restart"/>
          </w:tcPr>
          <w:p>
            <w:pPr>
              <w:pStyle w:val="TableParagraph"/>
              <w:spacing w:line="240" w:lineRule="auto" w:before="71"/>
              <w:ind w:left="9"/>
              <w:rPr>
                <w:sz w:val="18"/>
              </w:rPr>
            </w:pPr>
            <w:r>
              <w:rPr>
                <w:sz w:val="18"/>
              </w:rPr>
              <w:t>3</w:t>
            </w:r>
          </w:p>
        </w:tc>
        <w:tc>
          <w:tcPr>
            <w:tcW w:w="1328" w:type="dxa"/>
          </w:tcPr>
          <w:p>
            <w:pPr>
              <w:pStyle w:val="TableParagraph"/>
              <w:ind w:left="236" w:right="225"/>
              <w:rPr>
                <w:sz w:val="18"/>
              </w:rPr>
            </w:pPr>
            <w:r>
              <w:rPr>
                <w:sz w:val="18"/>
              </w:rPr>
              <w:t>94</w:t>
            </w:r>
          </w:p>
        </w:tc>
        <w:tc>
          <w:tcPr>
            <w:tcW w:w="1919" w:type="dxa"/>
          </w:tcPr>
          <w:p>
            <w:pPr>
              <w:pStyle w:val="TableParagraph"/>
              <w:ind w:left="289" w:right="273"/>
              <w:rPr>
                <w:sz w:val="18"/>
              </w:rPr>
            </w:pPr>
            <w:r>
              <w:rPr>
                <w:sz w:val="18"/>
              </w:rPr>
              <w:t>None</w:t>
            </w:r>
          </w:p>
        </w:tc>
        <w:tc>
          <w:tcPr>
            <w:tcW w:w="1593" w:type="dxa"/>
          </w:tcPr>
          <w:p>
            <w:pPr>
              <w:pStyle w:val="TableParagraph"/>
              <w:ind w:left="187" w:right="171"/>
              <w:rPr>
                <w:sz w:val="18"/>
              </w:rPr>
            </w:pPr>
            <w:r>
              <w:rPr>
                <w:sz w:val="18"/>
              </w:rPr>
              <w:t>00:00:05</w:t>
            </w:r>
          </w:p>
        </w:tc>
        <w:tc>
          <w:tcPr>
            <w:tcW w:w="992" w:type="dxa"/>
            <w:vMerge w:val="restart"/>
          </w:tcPr>
          <w:p>
            <w:pPr>
              <w:pStyle w:val="TableParagraph"/>
              <w:spacing w:line="240" w:lineRule="auto" w:before="71"/>
              <w:ind w:left="232" w:right="219"/>
              <w:rPr>
                <w:sz w:val="18"/>
              </w:rPr>
            </w:pPr>
            <w:r>
              <w:rPr>
                <w:sz w:val="18"/>
              </w:rPr>
              <w:t>45</w:t>
            </w:r>
          </w:p>
        </w:tc>
        <w:tc>
          <w:tcPr>
            <w:tcW w:w="1701" w:type="dxa"/>
            <w:vMerge w:val="restart"/>
          </w:tcPr>
          <w:p>
            <w:pPr>
              <w:pStyle w:val="TableParagraph"/>
              <w:spacing w:line="240" w:lineRule="auto" w:before="71"/>
              <w:ind w:left="347"/>
              <w:jc w:val="left"/>
              <w:rPr>
                <w:sz w:val="18"/>
              </w:rPr>
            </w:pPr>
            <w:r>
              <w:rPr>
                <w:sz w:val="18"/>
              </w:rPr>
              <w:t>Quantification</w:t>
            </w:r>
          </w:p>
        </w:tc>
      </w:tr>
      <w:tr>
        <w:trPr>
          <w:trHeight w:val="190" w:hRule="atLeast"/>
        </w:trPr>
        <w:tc>
          <w:tcPr>
            <w:tcW w:w="1446" w:type="dxa"/>
            <w:vMerge/>
            <w:tcBorders>
              <w:top w:val="nil"/>
            </w:tcBorders>
          </w:tcPr>
          <w:p>
            <w:pPr>
              <w:rPr>
                <w:sz w:val="2"/>
                <w:szCs w:val="2"/>
              </w:rPr>
            </w:pPr>
          </w:p>
        </w:tc>
        <w:tc>
          <w:tcPr>
            <w:tcW w:w="1328" w:type="dxa"/>
          </w:tcPr>
          <w:p>
            <w:pPr>
              <w:pStyle w:val="TableParagraph"/>
              <w:ind w:left="236" w:right="225"/>
              <w:rPr>
                <w:sz w:val="18"/>
              </w:rPr>
            </w:pPr>
            <w:r>
              <w:rPr>
                <w:sz w:val="18"/>
              </w:rPr>
              <w:t>57</w:t>
            </w:r>
          </w:p>
        </w:tc>
        <w:tc>
          <w:tcPr>
            <w:tcW w:w="1919" w:type="dxa"/>
          </w:tcPr>
          <w:p>
            <w:pPr>
              <w:pStyle w:val="TableParagraph"/>
              <w:ind w:left="289" w:right="275"/>
              <w:rPr>
                <w:sz w:val="18"/>
              </w:rPr>
            </w:pPr>
            <w:r>
              <w:rPr>
                <w:sz w:val="18"/>
              </w:rPr>
              <w:t>Single</w:t>
            </w:r>
          </w:p>
        </w:tc>
        <w:tc>
          <w:tcPr>
            <w:tcW w:w="1593" w:type="dxa"/>
          </w:tcPr>
          <w:p>
            <w:pPr>
              <w:pStyle w:val="TableParagraph"/>
              <w:ind w:left="187" w:right="171"/>
              <w:rPr>
                <w:sz w:val="18"/>
              </w:rPr>
            </w:pPr>
            <w:r>
              <w:rPr>
                <w:sz w:val="18"/>
              </w:rPr>
              <w:t>00:00:30</w:t>
            </w:r>
          </w:p>
        </w:tc>
        <w:tc>
          <w:tcPr>
            <w:tcW w:w="992" w:type="dxa"/>
            <w:vMerge/>
            <w:tcBorders>
              <w:top w:val="nil"/>
            </w:tcBorders>
          </w:tcPr>
          <w:p>
            <w:pPr>
              <w:rPr>
                <w:sz w:val="2"/>
                <w:szCs w:val="2"/>
              </w:rPr>
            </w:pPr>
          </w:p>
        </w:tc>
        <w:tc>
          <w:tcPr>
            <w:tcW w:w="1701" w:type="dxa"/>
            <w:vMerge/>
            <w:tcBorders>
              <w:top w:val="nil"/>
            </w:tcBorders>
          </w:tcPr>
          <w:p>
            <w:pPr>
              <w:rPr>
                <w:sz w:val="2"/>
                <w:szCs w:val="2"/>
              </w:rPr>
            </w:pPr>
          </w:p>
        </w:tc>
      </w:tr>
      <w:tr>
        <w:trPr>
          <w:trHeight w:val="190" w:hRule="atLeast"/>
        </w:trPr>
        <w:tc>
          <w:tcPr>
            <w:tcW w:w="1446" w:type="dxa"/>
          </w:tcPr>
          <w:p>
            <w:pPr>
              <w:pStyle w:val="TableParagraph"/>
              <w:ind w:left="276" w:right="264"/>
              <w:rPr>
                <w:rFonts w:ascii="宋体" w:eastAsia="宋体" w:hint="eastAsia"/>
                <w:sz w:val="18"/>
              </w:rPr>
            </w:pPr>
            <w:r>
              <w:rPr>
                <w:sz w:val="18"/>
              </w:rPr>
              <w:t>4 </w:t>
            </w:r>
            <w:r>
              <w:rPr>
                <w:rFonts w:ascii="宋体" w:eastAsia="宋体" w:hint="eastAsia"/>
                <w:sz w:val="18"/>
              </w:rPr>
              <w:t>（可选）</w:t>
            </w:r>
          </w:p>
        </w:tc>
        <w:tc>
          <w:tcPr>
            <w:tcW w:w="1328" w:type="dxa"/>
          </w:tcPr>
          <w:p>
            <w:pPr>
              <w:pStyle w:val="TableParagraph"/>
              <w:ind w:left="236" w:right="225"/>
              <w:rPr>
                <w:sz w:val="18"/>
              </w:rPr>
            </w:pPr>
            <w:r>
              <w:rPr>
                <w:sz w:val="18"/>
              </w:rPr>
              <w:t>25</w:t>
            </w:r>
          </w:p>
        </w:tc>
        <w:tc>
          <w:tcPr>
            <w:tcW w:w="1919" w:type="dxa"/>
          </w:tcPr>
          <w:p>
            <w:pPr>
              <w:pStyle w:val="TableParagraph"/>
              <w:ind w:left="289" w:right="273"/>
              <w:rPr>
                <w:sz w:val="18"/>
              </w:rPr>
            </w:pPr>
            <w:r>
              <w:rPr>
                <w:sz w:val="18"/>
              </w:rPr>
              <w:t>None</w:t>
            </w:r>
          </w:p>
        </w:tc>
        <w:tc>
          <w:tcPr>
            <w:tcW w:w="1593" w:type="dxa"/>
          </w:tcPr>
          <w:p>
            <w:pPr>
              <w:pStyle w:val="TableParagraph"/>
              <w:ind w:left="187" w:right="171"/>
              <w:rPr>
                <w:sz w:val="18"/>
              </w:rPr>
            </w:pPr>
            <w:r>
              <w:rPr>
                <w:sz w:val="18"/>
              </w:rPr>
              <w:t>00:00:10</w:t>
            </w:r>
          </w:p>
        </w:tc>
        <w:tc>
          <w:tcPr>
            <w:tcW w:w="992" w:type="dxa"/>
          </w:tcPr>
          <w:p>
            <w:pPr>
              <w:pStyle w:val="TableParagraph"/>
              <w:ind w:left="11"/>
              <w:rPr>
                <w:sz w:val="18"/>
              </w:rPr>
            </w:pPr>
            <w:r>
              <w:rPr>
                <w:sz w:val="18"/>
              </w:rPr>
              <w:t>1</w:t>
            </w:r>
          </w:p>
        </w:tc>
        <w:tc>
          <w:tcPr>
            <w:tcW w:w="1701" w:type="dxa"/>
          </w:tcPr>
          <w:p>
            <w:pPr>
              <w:pStyle w:val="TableParagraph"/>
              <w:ind w:left="285" w:right="270"/>
              <w:rPr>
                <w:sz w:val="18"/>
              </w:rPr>
            </w:pPr>
            <w:r>
              <w:rPr>
                <w:sz w:val="18"/>
              </w:rPr>
              <w:t>None</w:t>
            </w:r>
          </w:p>
        </w:tc>
      </w:tr>
    </w:tbl>
    <w:p>
      <w:pPr>
        <w:pStyle w:val="BodyText"/>
        <w:spacing w:line="171" w:lineRule="exact"/>
        <w:ind w:left="460"/>
      </w:pPr>
      <w:r>
        <w:rPr/>
        <w:t>设置完毕，保存文件，运行反应程序。</w:t>
      </w:r>
    </w:p>
    <w:p>
      <w:pPr>
        <w:pStyle w:val="ListParagraph"/>
        <w:numPr>
          <w:ilvl w:val="0"/>
          <w:numId w:val="3"/>
        </w:numPr>
        <w:tabs>
          <w:tab w:pos="324" w:val="left" w:leader="none"/>
        </w:tabs>
        <w:spacing w:line="190" w:lineRule="exact" w:before="0" w:after="0"/>
        <w:ind w:left="323" w:right="0" w:hanging="217"/>
        <w:jc w:val="left"/>
        <w:rPr>
          <w:sz w:val="18"/>
        </w:rPr>
      </w:pPr>
      <w:r>
        <w:rPr>
          <w:b/>
          <w:spacing w:val="-5"/>
          <w:sz w:val="18"/>
        </w:rPr>
        <w:t>结果分析</w:t>
      </w:r>
      <w:r>
        <w:rPr>
          <w:spacing w:val="-3"/>
          <w:sz w:val="18"/>
        </w:rPr>
        <w:t>（请参照各仪器使用说明书进行设置，以下分析以</w:t>
      </w:r>
      <w:r>
        <w:rPr>
          <w:rFonts w:ascii="Times New Roman" w:eastAsia="Times New Roman"/>
          <w:sz w:val="18"/>
        </w:rPr>
        <w:t>ABI</w:t>
      </w:r>
      <w:r>
        <w:rPr>
          <w:rFonts w:ascii="Times New Roman" w:eastAsia="Times New Roman"/>
          <w:spacing w:val="-6"/>
          <w:sz w:val="18"/>
        </w:rPr>
        <w:t> </w:t>
      </w:r>
      <w:r>
        <w:rPr>
          <w:spacing w:val="-5"/>
          <w:sz w:val="18"/>
        </w:rPr>
        <w:t>系列仪器为例</w:t>
      </w:r>
      <w:r>
        <w:rPr>
          <w:sz w:val="18"/>
        </w:rPr>
        <w:t>）</w:t>
      </w:r>
    </w:p>
    <w:p>
      <w:pPr>
        <w:pStyle w:val="BodyText"/>
        <w:spacing w:line="196" w:lineRule="auto" w:before="12"/>
        <w:ind w:right="129" w:firstLine="352"/>
      </w:pPr>
      <w:r>
        <w:rPr>
          <w:spacing w:val="-3"/>
        </w:rPr>
        <w:t>反应结束后自动保存结果，根据分析后图像调节</w:t>
      </w:r>
      <w:r>
        <w:rPr>
          <w:rFonts w:ascii="Times New Roman" w:hAnsi="Times New Roman" w:eastAsia="Times New Roman"/>
        </w:rPr>
        <w:t>Baseline </w:t>
      </w:r>
      <w:r>
        <w:rPr>
          <w:spacing w:val="38"/>
        </w:rPr>
        <w:t>的</w:t>
      </w:r>
      <w:r>
        <w:rPr>
          <w:rFonts w:ascii="Times New Roman" w:hAnsi="Times New Roman" w:eastAsia="Times New Roman"/>
        </w:rPr>
        <w:t>Start </w:t>
      </w:r>
      <w:r>
        <w:rPr>
          <w:spacing w:val="-4"/>
        </w:rPr>
        <w:t>值、</w:t>
      </w:r>
      <w:r>
        <w:rPr>
          <w:rFonts w:ascii="Times New Roman" w:hAnsi="Times New Roman" w:eastAsia="Times New Roman"/>
        </w:rPr>
        <w:t>End </w:t>
      </w:r>
      <w:r>
        <w:rPr>
          <w:spacing w:val="10"/>
        </w:rPr>
        <w:t>值以及</w:t>
      </w:r>
      <w:r>
        <w:rPr>
          <w:rFonts w:ascii="Times New Roman" w:hAnsi="Times New Roman" w:eastAsia="Times New Roman"/>
        </w:rPr>
        <w:t>Threshold </w:t>
      </w:r>
      <w:r>
        <w:rPr>
          <w:spacing w:val="-5"/>
        </w:rPr>
        <w:t>值</w:t>
      </w:r>
      <w:r>
        <w:rPr>
          <w:spacing w:val="-3"/>
        </w:rPr>
        <w:t>（</w:t>
      </w:r>
      <w:r>
        <w:rPr>
          <w:spacing w:val="-5"/>
        </w:rPr>
        <w:t>用户可根据实际情况自行调整， </w:t>
      </w:r>
      <w:r>
        <w:rPr>
          <w:rFonts w:ascii="Times New Roman" w:hAnsi="Times New Roman" w:eastAsia="Times New Roman"/>
          <w:spacing w:val="-5"/>
        </w:rPr>
        <w:t>Start </w:t>
      </w:r>
      <w:r>
        <w:rPr>
          <w:spacing w:val="-14"/>
        </w:rPr>
        <w:t>值可以在 </w:t>
      </w:r>
      <w:r>
        <w:rPr>
          <w:rFonts w:ascii="Times New Roman" w:hAnsi="Times New Roman" w:eastAsia="Times New Roman"/>
          <w:spacing w:val="-3"/>
        </w:rPr>
        <w:t>3</w:t>
      </w:r>
      <w:r>
        <w:rPr>
          <w:spacing w:val="-3"/>
        </w:rPr>
        <w:t>～</w:t>
      </w:r>
      <w:r>
        <w:rPr>
          <w:rFonts w:ascii="Times New Roman" w:hAnsi="Times New Roman" w:eastAsia="Times New Roman"/>
          <w:spacing w:val="-3"/>
        </w:rPr>
        <w:t>15</w:t>
      </w:r>
      <w:r>
        <w:rPr>
          <w:spacing w:val="-24"/>
        </w:rPr>
        <w:t>、</w:t>
      </w:r>
      <w:r>
        <w:rPr>
          <w:rFonts w:ascii="Times New Roman" w:hAnsi="Times New Roman" w:eastAsia="Times New Roman"/>
        </w:rPr>
        <w:t>End </w:t>
      </w:r>
      <w:r>
        <w:rPr>
          <w:spacing w:val="-14"/>
        </w:rPr>
        <w:t>值可设在 </w:t>
      </w:r>
      <w:r>
        <w:rPr>
          <w:rFonts w:ascii="Times New Roman" w:hAnsi="Times New Roman" w:eastAsia="Times New Roman"/>
          <w:spacing w:val="-8"/>
        </w:rPr>
        <w:t>5</w:t>
      </w:r>
      <w:r>
        <w:rPr>
          <w:spacing w:val="-8"/>
        </w:rPr>
        <w:t>～</w:t>
      </w:r>
      <w:r>
        <w:rPr>
          <w:rFonts w:ascii="Times New Roman" w:hAnsi="Times New Roman" w:eastAsia="Times New Roman"/>
          <w:spacing w:val="-8"/>
        </w:rPr>
        <w:t>20</w:t>
      </w:r>
      <w:r>
        <w:rPr>
          <w:spacing w:val="-6"/>
        </w:rPr>
        <w:t>，调整阴性对照的扩增曲线平直或低于阈值线</w:t>
      </w:r>
      <w:r>
        <w:rPr>
          <w:spacing w:val="-60"/>
        </w:rPr>
        <w:t>）</w:t>
      </w:r>
      <w:r>
        <w:rPr>
          <w:spacing w:val="-30"/>
        </w:rPr>
        <w:t>，点击 </w:t>
      </w:r>
      <w:r>
        <w:rPr>
          <w:rFonts w:ascii="Times New Roman" w:hAnsi="Times New Roman" w:eastAsia="Times New Roman"/>
        </w:rPr>
        <w:t>Analyze </w:t>
      </w:r>
      <w:r>
        <w:rPr>
          <w:spacing w:val="-9"/>
        </w:rPr>
        <w:t>进行分析，使各项参数符合</w:t>
      </w:r>
      <w:r>
        <w:rPr>
          <w:spacing w:val="-4"/>
        </w:rPr>
        <w:t>下述“</w:t>
      </w:r>
      <w:r>
        <w:rPr>
          <w:rFonts w:ascii="Times New Roman" w:hAnsi="Times New Roman" w:eastAsia="Times New Roman"/>
          <w:spacing w:val="-3"/>
        </w:rPr>
        <w:t>5</w:t>
      </w:r>
      <w:r>
        <w:rPr>
          <w:rFonts w:ascii="Times New Roman" w:hAnsi="Times New Roman" w:eastAsia="Times New Roman"/>
          <w:spacing w:val="16"/>
        </w:rPr>
        <w:t>. </w:t>
      </w:r>
      <w:r>
        <w:rPr>
          <w:spacing w:val="-2"/>
        </w:rPr>
        <w:t>质量控制”中的要求，然后到</w:t>
      </w:r>
      <w:r>
        <w:rPr>
          <w:rFonts w:ascii="Times New Roman" w:hAnsi="Times New Roman" w:eastAsia="Times New Roman"/>
        </w:rPr>
        <w:t>Plate </w:t>
      </w:r>
      <w:r>
        <w:rPr>
          <w:spacing w:val="4"/>
        </w:rPr>
        <w:t>窗口下记录</w:t>
      </w:r>
      <w:r>
        <w:rPr>
          <w:rFonts w:ascii="Times New Roman" w:hAnsi="Times New Roman" w:eastAsia="Times New Roman"/>
        </w:rPr>
        <w:t>Ct </w:t>
      </w:r>
      <w:r>
        <w:rPr>
          <w:spacing w:val="-3"/>
        </w:rPr>
        <w:t>值。</w:t>
      </w:r>
    </w:p>
    <w:p>
      <w:pPr>
        <w:pStyle w:val="Heading1"/>
        <w:numPr>
          <w:ilvl w:val="0"/>
          <w:numId w:val="3"/>
        </w:numPr>
        <w:tabs>
          <w:tab w:pos="324" w:val="left" w:leader="none"/>
        </w:tabs>
        <w:spacing w:line="180" w:lineRule="exact" w:before="0" w:after="0"/>
        <w:ind w:left="323" w:right="0" w:hanging="217"/>
        <w:jc w:val="left"/>
      </w:pPr>
      <w:r>
        <w:rPr>
          <w:spacing w:val="-3"/>
        </w:rPr>
        <w:t>质量控制</w:t>
      </w:r>
    </w:p>
    <w:p>
      <w:pPr>
        <w:pStyle w:val="ListParagraph"/>
        <w:numPr>
          <w:ilvl w:val="1"/>
          <w:numId w:val="3"/>
        </w:numPr>
        <w:tabs>
          <w:tab w:pos="412" w:val="left" w:leader="none"/>
        </w:tabs>
        <w:spacing w:line="191" w:lineRule="exact" w:before="0" w:after="0"/>
        <w:ind w:left="412" w:right="0" w:hanging="305"/>
        <w:jc w:val="left"/>
        <w:rPr>
          <w:sz w:val="18"/>
        </w:rPr>
      </w:pPr>
      <w:r>
        <w:rPr>
          <w:spacing w:val="-12"/>
          <w:sz w:val="18"/>
        </w:rPr>
        <w:t>人乳头瘤病毒 </w:t>
      </w:r>
      <w:r>
        <w:rPr>
          <w:rFonts w:ascii="Times New Roman" w:hAnsi="Times New Roman" w:eastAsia="Times New Roman"/>
          <w:spacing w:val="-3"/>
          <w:sz w:val="18"/>
        </w:rPr>
        <w:t>16/18-</w:t>
      </w:r>
      <w:r>
        <w:rPr>
          <w:spacing w:val="-4"/>
          <w:sz w:val="18"/>
        </w:rPr>
        <w:t>阴性对照：</w:t>
      </w:r>
      <w:r>
        <w:rPr>
          <w:rFonts w:ascii="Times New Roman" w:hAnsi="Times New Roman" w:eastAsia="Times New Roman"/>
          <w:sz w:val="18"/>
        </w:rPr>
        <w:t>Ct</w:t>
      </w:r>
      <w:r>
        <w:rPr>
          <w:rFonts w:ascii="Times New Roman" w:hAnsi="Times New Roman" w:eastAsia="Times New Roman"/>
          <w:spacing w:val="-4"/>
          <w:sz w:val="18"/>
        </w:rPr>
        <w:t> </w:t>
      </w:r>
      <w:r>
        <w:rPr>
          <w:spacing w:val="-2"/>
          <w:sz w:val="18"/>
        </w:rPr>
        <w:t>值无显示；但内标检测为阳性，且</w:t>
      </w:r>
      <w:r>
        <w:rPr>
          <w:rFonts w:ascii="Times New Roman" w:hAnsi="Times New Roman" w:eastAsia="Times New Roman"/>
          <w:sz w:val="18"/>
        </w:rPr>
        <w:t>Ct</w:t>
      </w:r>
      <w:r>
        <w:rPr>
          <w:rFonts w:ascii="Times New Roman" w:hAnsi="Times New Roman" w:eastAsia="Times New Roman"/>
          <w:spacing w:val="-4"/>
          <w:sz w:val="18"/>
        </w:rPr>
        <w:t> </w:t>
      </w:r>
      <w:r>
        <w:rPr>
          <w:spacing w:val="-4"/>
          <w:sz w:val="18"/>
        </w:rPr>
        <w:t>值≤</w:t>
      </w:r>
      <w:r>
        <w:rPr>
          <w:rFonts w:ascii="Times New Roman" w:hAnsi="Times New Roman" w:eastAsia="Times New Roman"/>
          <w:spacing w:val="-2"/>
          <w:sz w:val="18"/>
        </w:rPr>
        <w:t>40</w:t>
      </w:r>
      <w:r>
        <w:rPr>
          <w:sz w:val="18"/>
        </w:rPr>
        <w:t>。</w:t>
      </w:r>
    </w:p>
    <w:p>
      <w:pPr>
        <w:pStyle w:val="ListParagraph"/>
        <w:numPr>
          <w:ilvl w:val="1"/>
          <w:numId w:val="3"/>
        </w:numPr>
        <w:tabs>
          <w:tab w:pos="412" w:val="left" w:leader="none"/>
        </w:tabs>
        <w:spacing w:line="190" w:lineRule="exact" w:before="0" w:after="0"/>
        <w:ind w:left="412" w:right="0" w:hanging="305"/>
        <w:jc w:val="left"/>
        <w:rPr>
          <w:sz w:val="18"/>
        </w:rPr>
      </w:pPr>
      <w:r>
        <w:rPr>
          <w:spacing w:val="-12"/>
          <w:sz w:val="18"/>
        </w:rPr>
        <w:t>人乳头瘤病毒 </w:t>
      </w:r>
      <w:r>
        <w:rPr>
          <w:rFonts w:ascii="Times New Roman" w:hAnsi="Times New Roman" w:eastAsia="Times New Roman"/>
          <w:spacing w:val="-3"/>
          <w:sz w:val="18"/>
        </w:rPr>
        <w:t>16/18-</w:t>
      </w:r>
      <w:r>
        <w:rPr>
          <w:spacing w:val="1"/>
          <w:sz w:val="18"/>
        </w:rPr>
        <w:t>阳性对照：检测</w:t>
      </w:r>
      <w:r>
        <w:rPr>
          <w:rFonts w:ascii="Times New Roman" w:hAnsi="Times New Roman" w:eastAsia="Times New Roman"/>
          <w:sz w:val="18"/>
        </w:rPr>
        <w:t>Ct</w:t>
      </w:r>
      <w:r>
        <w:rPr>
          <w:rFonts w:ascii="Times New Roman" w:hAnsi="Times New Roman" w:eastAsia="Times New Roman"/>
          <w:spacing w:val="-4"/>
          <w:sz w:val="18"/>
        </w:rPr>
        <w:t> </w:t>
      </w:r>
      <w:r>
        <w:rPr>
          <w:spacing w:val="-3"/>
          <w:sz w:val="18"/>
        </w:rPr>
        <w:t>值≤</w:t>
      </w:r>
      <w:r>
        <w:rPr>
          <w:rFonts w:ascii="Times New Roman" w:hAnsi="Times New Roman" w:eastAsia="Times New Roman"/>
          <w:spacing w:val="-3"/>
          <w:sz w:val="18"/>
        </w:rPr>
        <w:t>30</w:t>
      </w:r>
      <w:r>
        <w:rPr>
          <w:sz w:val="18"/>
        </w:rPr>
        <w:t>。</w:t>
      </w:r>
    </w:p>
    <w:p>
      <w:pPr>
        <w:pStyle w:val="ListParagraph"/>
        <w:numPr>
          <w:ilvl w:val="1"/>
          <w:numId w:val="3"/>
        </w:numPr>
        <w:tabs>
          <w:tab w:pos="369" w:val="left" w:leader="none"/>
        </w:tabs>
        <w:spacing w:line="190" w:lineRule="exact" w:before="0" w:after="0"/>
        <w:ind w:left="368" w:right="0" w:hanging="262"/>
        <w:jc w:val="left"/>
        <w:rPr>
          <w:sz w:val="18"/>
        </w:rPr>
      </w:pPr>
      <w:r>
        <w:rPr>
          <w:spacing w:val="-11"/>
          <w:sz w:val="18"/>
        </w:rPr>
        <w:t>四个人乳头瘤病毒 </w:t>
      </w:r>
      <w:r>
        <w:rPr>
          <w:rFonts w:ascii="Times New Roman" w:eastAsia="Times New Roman"/>
          <w:sz w:val="18"/>
        </w:rPr>
        <w:t>16/18</w:t>
      </w:r>
      <w:r>
        <w:rPr>
          <w:rFonts w:ascii="Times New Roman" w:eastAsia="Times New Roman"/>
          <w:spacing w:val="-6"/>
          <w:sz w:val="18"/>
        </w:rPr>
        <w:t> </w:t>
      </w:r>
      <w:r>
        <w:rPr>
          <w:spacing w:val="-5"/>
          <w:sz w:val="18"/>
        </w:rPr>
        <w:t>阳性参照品：均检测为阳性。</w:t>
      </w:r>
    </w:p>
    <w:p>
      <w:pPr>
        <w:pStyle w:val="ListParagraph"/>
        <w:numPr>
          <w:ilvl w:val="1"/>
          <w:numId w:val="3"/>
        </w:numPr>
        <w:tabs>
          <w:tab w:pos="369" w:val="left" w:leader="none"/>
        </w:tabs>
        <w:spacing w:line="190" w:lineRule="exact" w:before="0" w:after="0"/>
        <w:ind w:left="368" w:right="0" w:hanging="262"/>
        <w:jc w:val="left"/>
        <w:rPr>
          <w:sz w:val="18"/>
        </w:rPr>
      </w:pPr>
      <w:r>
        <w:rPr>
          <w:spacing w:val="-5"/>
          <w:sz w:val="18"/>
        </w:rPr>
        <w:t>以上要求需在同一次实验中同时满足，否则，本次实验无效，需重新进行。</w:t>
      </w:r>
    </w:p>
    <w:p>
      <w:pPr>
        <w:pStyle w:val="Heading1"/>
      </w:pPr>
      <w:r>
        <w:rPr/>
        <w:t>【阳性判断值 】</w:t>
      </w:r>
    </w:p>
    <w:p>
      <w:pPr>
        <w:pStyle w:val="BodyText"/>
        <w:spacing w:line="191" w:lineRule="exact"/>
        <w:ind w:left="460"/>
      </w:pPr>
      <w:r>
        <w:rPr/>
        <w:t>通过参考值的研究确定本试剂盒检测目标基因的</w:t>
      </w:r>
      <w:r>
        <w:rPr>
          <w:rFonts w:ascii="Times New Roman" w:eastAsia="Times New Roman"/>
        </w:rPr>
        <w:t>Ct </w:t>
      </w:r>
      <w:r>
        <w:rPr/>
        <w:t>阳性判断值为 </w:t>
      </w:r>
      <w:r>
        <w:rPr>
          <w:rFonts w:ascii="Times New Roman" w:eastAsia="Times New Roman"/>
        </w:rPr>
        <w:t>39</w:t>
      </w:r>
      <w:r>
        <w:rPr/>
        <w:t>，检测内标的</w:t>
      </w:r>
      <w:r>
        <w:rPr>
          <w:rFonts w:ascii="Times New Roman" w:eastAsia="Times New Roman"/>
        </w:rPr>
        <w:t>Ct </w:t>
      </w:r>
      <w:r>
        <w:rPr/>
        <w:t>阳性判断值为 </w:t>
      </w:r>
      <w:r>
        <w:rPr>
          <w:rFonts w:ascii="Times New Roman" w:eastAsia="Times New Roman"/>
        </w:rPr>
        <w:t>40</w:t>
      </w:r>
      <w:r>
        <w:rPr/>
        <w:t>。</w:t>
      </w:r>
    </w:p>
    <w:p>
      <w:pPr>
        <w:pStyle w:val="Heading1"/>
        <w:spacing w:line="191" w:lineRule="exact"/>
      </w:pPr>
      <w:r>
        <w:rPr/>
        <w:t>【检验结果的解释】</w:t>
      </w:r>
    </w:p>
    <w:p>
      <w:pPr>
        <w:pStyle w:val="ListParagraph"/>
        <w:numPr>
          <w:ilvl w:val="0"/>
          <w:numId w:val="4"/>
        </w:numPr>
        <w:tabs>
          <w:tab w:pos="367" w:val="left" w:leader="none"/>
        </w:tabs>
        <w:spacing w:line="190" w:lineRule="exact" w:before="0" w:after="0"/>
        <w:ind w:left="366" w:right="0" w:hanging="260"/>
        <w:jc w:val="left"/>
        <w:rPr>
          <w:sz w:val="18"/>
        </w:rPr>
      </w:pPr>
      <w:r>
        <w:rPr>
          <w:spacing w:val="-5"/>
          <w:sz w:val="18"/>
        </w:rPr>
        <w:t>阴阳性判断：</w:t>
      </w:r>
    </w:p>
    <w:p>
      <w:pPr>
        <w:pStyle w:val="ListParagraph"/>
        <w:numPr>
          <w:ilvl w:val="1"/>
          <w:numId w:val="4"/>
        </w:numPr>
        <w:tabs>
          <w:tab w:pos="412" w:val="left" w:leader="none"/>
        </w:tabs>
        <w:spacing w:line="190" w:lineRule="exact" w:before="0" w:after="0"/>
        <w:ind w:left="412" w:right="0" w:hanging="305"/>
        <w:jc w:val="left"/>
        <w:rPr>
          <w:sz w:val="18"/>
        </w:rPr>
      </w:pPr>
      <w:r>
        <w:rPr>
          <w:spacing w:val="6"/>
          <w:sz w:val="18"/>
        </w:rPr>
        <w:t>对于测定</w:t>
      </w:r>
      <w:r>
        <w:rPr>
          <w:rFonts w:ascii="Times New Roman" w:hAnsi="Times New Roman" w:eastAsia="Times New Roman"/>
          <w:sz w:val="18"/>
        </w:rPr>
        <w:t>Ct</w:t>
      </w:r>
      <w:r>
        <w:rPr>
          <w:rFonts w:ascii="Times New Roman" w:hAnsi="Times New Roman" w:eastAsia="Times New Roman"/>
          <w:spacing w:val="-5"/>
          <w:sz w:val="18"/>
        </w:rPr>
        <w:t> </w:t>
      </w:r>
      <w:r>
        <w:rPr>
          <w:spacing w:val="-3"/>
          <w:sz w:val="18"/>
        </w:rPr>
        <w:t>值≤</w:t>
      </w:r>
      <w:r>
        <w:rPr>
          <w:rFonts w:ascii="Times New Roman" w:hAnsi="Times New Roman" w:eastAsia="Times New Roman"/>
          <w:sz w:val="18"/>
        </w:rPr>
        <w:t>39</w:t>
      </w:r>
      <w:r>
        <w:rPr>
          <w:rFonts w:ascii="Times New Roman" w:hAnsi="Times New Roman" w:eastAsia="Times New Roman"/>
          <w:spacing w:val="-6"/>
          <w:sz w:val="18"/>
        </w:rPr>
        <w:t> </w:t>
      </w:r>
      <w:r>
        <w:rPr>
          <w:spacing w:val="-9"/>
          <w:sz w:val="18"/>
        </w:rPr>
        <w:t>的样本，报告为人乳头瘤病毒 </w:t>
      </w:r>
      <w:r>
        <w:rPr>
          <w:rFonts w:ascii="Times New Roman" w:hAnsi="Times New Roman" w:eastAsia="Times New Roman"/>
          <w:sz w:val="18"/>
        </w:rPr>
        <w:t>16/18</w:t>
      </w:r>
      <w:r>
        <w:rPr>
          <w:rFonts w:ascii="Times New Roman" w:hAnsi="Times New Roman" w:eastAsia="Times New Roman"/>
          <w:spacing w:val="35"/>
          <w:sz w:val="18"/>
        </w:rPr>
        <w:t> </w:t>
      </w:r>
      <w:r>
        <w:rPr>
          <w:spacing w:val="-3"/>
          <w:sz w:val="18"/>
        </w:rPr>
        <w:t>阳性；</w:t>
      </w:r>
    </w:p>
    <w:p>
      <w:pPr>
        <w:pStyle w:val="ListParagraph"/>
        <w:numPr>
          <w:ilvl w:val="1"/>
          <w:numId w:val="4"/>
        </w:numPr>
        <w:tabs>
          <w:tab w:pos="415" w:val="left" w:leader="none"/>
        </w:tabs>
        <w:spacing w:line="196" w:lineRule="auto" w:before="11" w:after="0"/>
        <w:ind w:left="460" w:right="111" w:hanging="353"/>
        <w:jc w:val="left"/>
        <w:rPr>
          <w:sz w:val="18"/>
        </w:rPr>
      </w:pPr>
      <w:r>
        <w:rPr>
          <w:spacing w:val="9"/>
          <w:sz w:val="18"/>
        </w:rPr>
        <w:t>对于测定</w:t>
      </w:r>
      <w:r>
        <w:rPr>
          <w:rFonts w:ascii="Times New Roman" w:hAnsi="Times New Roman" w:eastAsia="Times New Roman"/>
          <w:spacing w:val="-1"/>
          <w:sz w:val="18"/>
        </w:rPr>
        <w:t>C</w:t>
      </w:r>
      <w:r>
        <w:rPr>
          <w:rFonts w:ascii="Times New Roman" w:hAnsi="Times New Roman" w:eastAsia="Times New Roman"/>
          <w:sz w:val="18"/>
        </w:rPr>
        <w:t>t</w:t>
      </w:r>
      <w:r>
        <w:rPr>
          <w:rFonts w:ascii="Times New Roman" w:hAnsi="Times New Roman" w:eastAsia="Times New Roman"/>
          <w:spacing w:val="-2"/>
          <w:sz w:val="18"/>
        </w:rPr>
        <w:t> </w:t>
      </w:r>
      <w:r>
        <w:rPr>
          <w:spacing w:val="-3"/>
          <w:sz w:val="18"/>
        </w:rPr>
        <w:t>值</w:t>
      </w:r>
      <w:r>
        <w:rPr>
          <w:rFonts w:ascii="Times New Roman" w:hAnsi="Times New Roman" w:eastAsia="Times New Roman"/>
          <w:spacing w:val="-4"/>
          <w:sz w:val="18"/>
        </w:rPr>
        <w:t>&gt;</w:t>
      </w:r>
      <w:r>
        <w:rPr>
          <w:rFonts w:ascii="Times New Roman" w:hAnsi="Times New Roman" w:eastAsia="Times New Roman"/>
          <w:spacing w:val="-2"/>
          <w:sz w:val="18"/>
        </w:rPr>
        <w:t>3</w:t>
      </w:r>
      <w:r>
        <w:rPr>
          <w:rFonts w:ascii="Times New Roman" w:hAnsi="Times New Roman" w:eastAsia="Times New Roman"/>
          <w:sz w:val="18"/>
        </w:rPr>
        <w:t>9</w:t>
      </w:r>
      <w:r>
        <w:rPr>
          <w:rFonts w:ascii="Times New Roman" w:hAnsi="Times New Roman" w:eastAsia="Times New Roman"/>
          <w:spacing w:val="-1"/>
          <w:sz w:val="18"/>
        </w:rPr>
        <w:t> </w:t>
      </w:r>
      <w:r>
        <w:rPr>
          <w:spacing w:val="-3"/>
          <w:sz w:val="18"/>
        </w:rPr>
        <w:t>的样本，同时，内标检测为阳性</w:t>
      </w:r>
      <w:r>
        <w:rPr>
          <w:sz w:val="18"/>
        </w:rPr>
        <w:t>（</w:t>
      </w:r>
      <w:r>
        <w:rPr>
          <w:rFonts w:ascii="Times New Roman" w:hAnsi="Times New Roman" w:eastAsia="Times New Roman"/>
          <w:spacing w:val="-3"/>
          <w:sz w:val="18"/>
        </w:rPr>
        <w:t>C</w:t>
      </w:r>
      <w:r>
        <w:rPr>
          <w:rFonts w:ascii="Times New Roman" w:hAnsi="Times New Roman" w:eastAsia="Times New Roman"/>
          <w:sz w:val="18"/>
        </w:rPr>
        <w:t>t</w:t>
      </w:r>
      <w:r>
        <w:rPr>
          <w:rFonts w:ascii="Times New Roman" w:hAnsi="Times New Roman" w:eastAsia="Times New Roman"/>
          <w:spacing w:val="-2"/>
          <w:sz w:val="18"/>
        </w:rPr>
        <w:t> </w:t>
      </w:r>
      <w:r>
        <w:rPr>
          <w:spacing w:val="-2"/>
          <w:sz w:val="18"/>
        </w:rPr>
        <w:t>值≤</w:t>
      </w:r>
      <w:r>
        <w:rPr>
          <w:rFonts w:ascii="Times New Roman" w:hAnsi="Times New Roman" w:eastAsia="Times New Roman"/>
          <w:spacing w:val="-2"/>
          <w:sz w:val="18"/>
        </w:rPr>
        <w:t>4</w:t>
      </w:r>
      <w:r>
        <w:rPr>
          <w:rFonts w:ascii="Times New Roman" w:hAnsi="Times New Roman" w:eastAsia="Times New Roman"/>
          <w:spacing w:val="1"/>
          <w:sz w:val="18"/>
        </w:rPr>
        <w:t>0</w:t>
      </w:r>
      <w:r>
        <w:rPr>
          <w:spacing w:val="-89"/>
          <w:sz w:val="18"/>
        </w:rPr>
        <w:t>）</w:t>
      </w:r>
      <w:r>
        <w:rPr>
          <w:spacing w:val="-7"/>
          <w:sz w:val="18"/>
        </w:rPr>
        <w:t>，报告注明人乳头瘤病毒 </w:t>
      </w:r>
      <w:r>
        <w:rPr>
          <w:rFonts w:ascii="Times New Roman" w:hAnsi="Times New Roman" w:eastAsia="Times New Roman"/>
          <w:spacing w:val="-2"/>
          <w:sz w:val="18"/>
        </w:rPr>
        <w:t>16/1</w:t>
      </w:r>
      <w:r>
        <w:rPr>
          <w:rFonts w:ascii="Times New Roman" w:hAnsi="Times New Roman" w:eastAsia="Times New Roman"/>
          <w:sz w:val="18"/>
        </w:rPr>
        <w:t>8</w:t>
      </w:r>
      <w:r>
        <w:rPr>
          <w:rFonts w:ascii="Times New Roman" w:hAnsi="Times New Roman" w:eastAsia="Times New Roman"/>
          <w:spacing w:val="-1"/>
          <w:sz w:val="18"/>
        </w:rPr>
        <w:t> </w:t>
      </w:r>
      <w:r>
        <w:rPr>
          <w:spacing w:val="-3"/>
          <w:sz w:val="18"/>
        </w:rPr>
        <w:t>低于试剂盒检测下限；若内标 </w:t>
      </w:r>
      <w:r>
        <w:rPr>
          <w:rFonts w:ascii="Times New Roman" w:hAnsi="Times New Roman" w:eastAsia="Times New Roman"/>
          <w:sz w:val="18"/>
        </w:rPr>
        <w:t>Ct</w:t>
      </w:r>
      <w:r>
        <w:rPr>
          <w:rFonts w:ascii="Times New Roman" w:hAnsi="Times New Roman" w:eastAsia="Times New Roman"/>
          <w:spacing w:val="-6"/>
          <w:sz w:val="18"/>
        </w:rPr>
        <w:t> </w:t>
      </w:r>
      <w:r>
        <w:rPr>
          <w:spacing w:val="-5"/>
          <w:sz w:val="18"/>
        </w:rPr>
        <w:t>值</w:t>
      </w:r>
      <w:r>
        <w:rPr>
          <w:rFonts w:ascii="Times New Roman" w:hAnsi="Times New Roman" w:eastAsia="Times New Roman"/>
          <w:spacing w:val="-2"/>
          <w:sz w:val="18"/>
        </w:rPr>
        <w:t>&gt; </w:t>
      </w:r>
      <w:r>
        <w:rPr>
          <w:rFonts w:ascii="Times New Roman" w:hAnsi="Times New Roman" w:eastAsia="Times New Roman"/>
          <w:sz w:val="18"/>
        </w:rPr>
        <w:t>40</w:t>
      </w:r>
      <w:r>
        <w:rPr>
          <w:rFonts w:ascii="Times New Roman" w:hAnsi="Times New Roman" w:eastAsia="Times New Roman"/>
          <w:spacing w:val="-8"/>
          <w:sz w:val="18"/>
        </w:rPr>
        <w:t> </w:t>
      </w:r>
      <w:r>
        <w:rPr>
          <w:spacing w:val="-12"/>
          <w:sz w:val="18"/>
        </w:rPr>
        <w:t>或无显示，则该样本的检测结果无效，应查找并排除原因，并对此样本进行重复实验</w:t>
      </w:r>
      <w:r>
        <w:rPr>
          <w:spacing w:val="-5"/>
          <w:sz w:val="18"/>
        </w:rPr>
        <w:t>（若重复试验的检测结果仍无效， 请与本公司联系</w:t>
      </w:r>
      <w:r>
        <w:rPr>
          <w:spacing w:val="-92"/>
          <w:sz w:val="18"/>
        </w:rPr>
        <w:t>）</w:t>
      </w:r>
      <w:r>
        <w:rPr>
          <w:sz w:val="18"/>
        </w:rPr>
        <w:t>。</w:t>
      </w:r>
    </w:p>
    <w:p>
      <w:pPr>
        <w:pStyle w:val="Heading1"/>
        <w:spacing w:line="182" w:lineRule="exact"/>
      </w:pPr>
      <w:r>
        <w:rPr/>
        <w:t>【检验方法的局限性】</w:t>
      </w:r>
    </w:p>
    <w:p>
      <w:pPr>
        <w:pStyle w:val="BodyText"/>
        <w:spacing w:line="196" w:lineRule="auto" w:before="12"/>
        <w:ind w:right="202" w:firstLine="352"/>
      </w:pPr>
      <w:r>
        <w:rPr>
          <w:spacing w:val="-5"/>
        </w:rPr>
        <w:t>样本检测结果与样本收集、处理、运送及保存质量有关，其中任何失误都将会导致结果不准确。如果样本处理时没有控制好交叉污染，可能出现假阳性结果。</w:t>
      </w:r>
    </w:p>
    <w:p>
      <w:pPr>
        <w:pStyle w:val="Heading1"/>
        <w:spacing w:line="179" w:lineRule="exact"/>
      </w:pPr>
      <w:r>
        <w:rPr/>
        <w:t>【产品性能指标】</w:t>
      </w:r>
    </w:p>
    <w:p>
      <w:pPr>
        <w:pStyle w:val="BodyText"/>
        <w:spacing w:line="199" w:lineRule="auto" w:before="10"/>
        <w:ind w:right="101" w:firstLine="352"/>
      </w:pPr>
      <w:r>
        <w:rPr>
          <w:spacing w:val="-7"/>
        </w:rPr>
        <w:t>本试剂盒检测企业工作参考品，阴、阳性符合率均为 </w:t>
      </w:r>
      <w:r>
        <w:rPr>
          <w:rFonts w:ascii="Times New Roman" w:eastAsia="Times New Roman"/>
          <w:spacing w:val="-3"/>
        </w:rPr>
        <w:t>100%</w:t>
      </w:r>
      <w:r>
        <w:rPr>
          <w:spacing w:val="-3"/>
        </w:rPr>
        <w:t>；精密度试验表明：批内和批间重复性好，检测结果</w:t>
      </w:r>
      <w:r>
        <w:rPr>
          <w:rFonts w:ascii="Times New Roman" w:eastAsia="Times New Roman"/>
        </w:rPr>
        <w:t>Ct </w:t>
      </w:r>
      <w:r>
        <w:rPr>
          <w:spacing w:val="-4"/>
        </w:rPr>
        <w:t>值的变异系数均</w:t>
      </w:r>
      <w:r>
        <w:rPr>
          <w:rFonts w:ascii="Times New Roman" w:eastAsia="Times New Roman"/>
          <w:spacing w:val="-7"/>
        </w:rPr>
        <w:t>&lt;10%</w:t>
      </w:r>
      <w:r>
        <w:rPr>
          <w:spacing w:val="-5"/>
        </w:rPr>
        <w:t>，浓度值变异系数均</w:t>
      </w:r>
      <w:r>
        <w:rPr>
          <w:rFonts w:ascii="Times New Roman" w:eastAsia="Times New Roman"/>
          <w:spacing w:val="-8"/>
        </w:rPr>
        <w:t>&lt;50%</w:t>
      </w:r>
      <w:r>
        <w:rPr>
          <w:spacing w:val="-10"/>
        </w:rPr>
        <w:t>；本试剂盒的检测灵敏度为 </w:t>
      </w:r>
      <w:r>
        <w:rPr>
          <w:rFonts w:ascii="Times New Roman" w:eastAsia="Times New Roman"/>
          <w:spacing w:val="-3"/>
        </w:rPr>
        <w:t>4.00E+02 </w:t>
      </w:r>
      <w:r>
        <w:rPr>
          <w:rFonts w:ascii="Times New Roman" w:eastAsia="Times New Roman"/>
          <w:spacing w:val="-5"/>
        </w:rPr>
        <w:t>copies/mL</w:t>
      </w:r>
      <w:r>
        <w:rPr>
          <w:spacing w:val="-8"/>
        </w:rPr>
        <w:t>；与常见性病病原体</w:t>
      </w:r>
      <w:r>
        <w:rPr>
          <w:spacing w:val="-5"/>
        </w:rPr>
        <w:t>（</w:t>
      </w:r>
      <w:r>
        <w:rPr>
          <w:spacing w:val="-9"/>
        </w:rPr>
        <w:t>沙眼衣原体、解脲脲原体、</w:t>
      </w:r>
      <w:r>
        <w:rPr>
          <w:spacing w:val="-5"/>
        </w:rPr>
        <w:t>淋球菌、单纯疱疹病毒等</w:t>
      </w:r>
      <w:r>
        <w:rPr>
          <w:spacing w:val="-94"/>
        </w:rPr>
        <w:t>）</w:t>
      </w:r>
      <w:r>
        <w:rPr>
          <w:spacing w:val="-5"/>
        </w:rPr>
        <w:t>、人乳头瘤病毒低危型</w:t>
      </w:r>
      <w:r>
        <w:rPr>
          <w:spacing w:val="-3"/>
        </w:rPr>
        <w:t>（</w:t>
      </w:r>
      <w:r>
        <w:rPr>
          <w:rFonts w:ascii="Times New Roman" w:eastAsia="Times New Roman"/>
          <w:spacing w:val="-3"/>
        </w:rPr>
        <w:t>6</w:t>
      </w:r>
      <w:r>
        <w:rPr>
          <w:spacing w:val="-5"/>
        </w:rPr>
        <w:t>、</w:t>
      </w:r>
      <w:r>
        <w:rPr>
          <w:rFonts w:ascii="Times New Roman" w:eastAsia="Times New Roman"/>
          <w:spacing w:val="-6"/>
        </w:rPr>
        <w:t>11</w:t>
      </w:r>
      <w:r>
        <w:rPr>
          <w:spacing w:val="-3"/>
        </w:rPr>
        <w:t>、</w:t>
      </w:r>
      <w:r>
        <w:rPr>
          <w:rFonts w:ascii="Times New Roman" w:eastAsia="Times New Roman"/>
          <w:spacing w:val="-3"/>
        </w:rPr>
        <w:t>40</w:t>
      </w:r>
      <w:r>
        <w:rPr>
          <w:spacing w:val="-5"/>
        </w:rPr>
        <w:t>、</w:t>
      </w:r>
      <w:r>
        <w:rPr>
          <w:rFonts w:ascii="Times New Roman" w:eastAsia="Times New Roman"/>
        </w:rPr>
        <w:t>42</w:t>
      </w:r>
      <w:r>
        <w:rPr>
          <w:spacing w:val="-5"/>
        </w:rPr>
        <w:t>、</w:t>
      </w:r>
      <w:r>
        <w:rPr>
          <w:rFonts w:ascii="Times New Roman" w:eastAsia="Times New Roman"/>
          <w:spacing w:val="-3"/>
        </w:rPr>
        <w:t>43</w:t>
      </w:r>
      <w:r>
        <w:rPr>
          <w:spacing w:val="-3"/>
        </w:rPr>
        <w:t>、</w:t>
      </w:r>
      <w:r>
        <w:rPr>
          <w:rFonts w:ascii="Times New Roman" w:eastAsia="Times New Roman"/>
        </w:rPr>
        <w:t>44 </w:t>
      </w:r>
      <w:r>
        <w:rPr>
          <w:spacing w:val="-5"/>
        </w:rPr>
        <w:t>等</w:t>
      </w:r>
      <w:r>
        <w:rPr>
          <w:spacing w:val="-3"/>
        </w:rPr>
        <w:t>）</w:t>
      </w:r>
      <w:r>
        <w:rPr>
          <w:spacing w:val="-5"/>
        </w:rPr>
        <w:t>无交叉反应。</w:t>
      </w:r>
    </w:p>
    <w:p>
      <w:pPr>
        <w:pStyle w:val="Heading1"/>
        <w:spacing w:line="176" w:lineRule="exact"/>
      </w:pPr>
      <w:r>
        <w:rPr/>
        <w:t>【注意事项】</w:t>
      </w:r>
    </w:p>
    <w:p>
      <w:pPr>
        <w:pStyle w:val="ListParagraph"/>
        <w:numPr>
          <w:ilvl w:val="0"/>
          <w:numId w:val="5"/>
        </w:numPr>
        <w:tabs>
          <w:tab w:pos="324" w:val="left" w:leader="none"/>
        </w:tabs>
        <w:spacing w:line="190" w:lineRule="exact" w:before="0" w:after="0"/>
        <w:ind w:left="323" w:right="0" w:hanging="217"/>
        <w:jc w:val="left"/>
        <w:rPr>
          <w:sz w:val="18"/>
        </w:rPr>
      </w:pPr>
      <w:r>
        <w:rPr>
          <w:spacing w:val="-5"/>
          <w:sz w:val="18"/>
        </w:rPr>
        <w:t>本品仅用于体外检测，使用前请仔细阅读本说明书。</w:t>
      </w:r>
    </w:p>
    <w:p>
      <w:pPr>
        <w:pStyle w:val="ListParagraph"/>
        <w:numPr>
          <w:ilvl w:val="0"/>
          <w:numId w:val="5"/>
        </w:numPr>
        <w:tabs>
          <w:tab w:pos="324" w:val="left" w:leader="none"/>
        </w:tabs>
        <w:spacing w:line="190" w:lineRule="exact" w:before="0" w:after="0"/>
        <w:ind w:left="323" w:right="0" w:hanging="217"/>
        <w:jc w:val="left"/>
        <w:rPr>
          <w:sz w:val="18"/>
        </w:rPr>
      </w:pPr>
      <w:r>
        <w:rPr>
          <w:spacing w:val="-5"/>
          <w:sz w:val="18"/>
        </w:rPr>
        <w:t>试验前请熟悉和掌握需使用的各种仪器的操作方法和注意事项，对每次实验进行质量控制。</w:t>
      </w:r>
    </w:p>
    <w:p>
      <w:pPr>
        <w:pStyle w:val="ListParagraph"/>
        <w:numPr>
          <w:ilvl w:val="0"/>
          <w:numId w:val="5"/>
        </w:numPr>
        <w:tabs>
          <w:tab w:pos="324" w:val="left" w:leader="none"/>
        </w:tabs>
        <w:spacing w:line="196" w:lineRule="auto" w:before="12" w:after="0"/>
        <w:ind w:left="282" w:right="200" w:hanging="176"/>
        <w:jc w:val="left"/>
        <w:rPr>
          <w:sz w:val="18"/>
        </w:rPr>
      </w:pPr>
      <w:r>
        <w:rPr/>
        <w:tab/>
      </w:r>
      <w:r>
        <w:rPr>
          <w:spacing w:val="-1"/>
          <w:sz w:val="18"/>
        </w:rPr>
        <w:t>实验室管理应严格按照</w:t>
      </w:r>
      <w:r>
        <w:rPr>
          <w:rFonts w:ascii="Times New Roman" w:eastAsia="Times New Roman"/>
          <w:sz w:val="18"/>
        </w:rPr>
        <w:t>PCR</w:t>
      </w:r>
      <w:r>
        <w:rPr>
          <w:rFonts w:ascii="Times New Roman" w:eastAsia="Times New Roman"/>
          <w:spacing w:val="-9"/>
          <w:sz w:val="18"/>
        </w:rPr>
        <w:t> </w:t>
      </w:r>
      <w:r>
        <w:rPr>
          <w:spacing w:val="-9"/>
          <w:sz w:val="18"/>
        </w:rPr>
        <w:t>基因扩增实验室的管理规范，实验人员必须进行专业培训，实验过程严格分区进行，所用消耗品应灭</w:t>
      </w:r>
      <w:r>
        <w:rPr>
          <w:spacing w:val="-5"/>
          <w:sz w:val="18"/>
        </w:rPr>
        <w:t>菌后一次性使用，实验操作的每个阶段使用专用的仪器和设备，各区各阶段用品不能交叉使用。</w:t>
      </w:r>
    </w:p>
    <w:p>
      <w:pPr>
        <w:pStyle w:val="ListParagraph"/>
        <w:numPr>
          <w:ilvl w:val="0"/>
          <w:numId w:val="5"/>
        </w:numPr>
        <w:tabs>
          <w:tab w:pos="324" w:val="left" w:leader="none"/>
        </w:tabs>
        <w:spacing w:line="196" w:lineRule="auto" w:before="4" w:after="0"/>
        <w:ind w:left="282" w:right="113" w:hanging="176"/>
        <w:jc w:val="left"/>
        <w:rPr>
          <w:sz w:val="18"/>
        </w:rPr>
      </w:pPr>
      <w:r>
        <w:rPr/>
        <w:tab/>
      </w:r>
      <w:r>
        <w:rPr>
          <w:spacing w:val="-9"/>
          <w:sz w:val="18"/>
        </w:rPr>
        <w:t>所有检测样品应视为具有传染性物质，实验过程中穿工作服，戴一次性手套并经常替换手套以避免样品间的交叉污染；样本操作、</w:t>
      </w:r>
      <w:r>
        <w:rPr>
          <w:spacing w:val="-7"/>
          <w:sz w:val="18"/>
        </w:rPr>
        <w:t>废弃物处理均需符合相关法规要求：卫生部《微生物生物医学实验室生物安全通用准则》和《医疗废物管理条例》。</w:t>
      </w:r>
    </w:p>
    <w:p>
      <w:pPr>
        <w:pStyle w:val="ListParagraph"/>
        <w:numPr>
          <w:ilvl w:val="0"/>
          <w:numId w:val="5"/>
        </w:numPr>
        <w:tabs>
          <w:tab w:pos="324" w:val="left" w:leader="none"/>
        </w:tabs>
        <w:spacing w:line="179" w:lineRule="exact" w:before="0" w:after="0"/>
        <w:ind w:left="323" w:right="0" w:hanging="217"/>
        <w:jc w:val="left"/>
        <w:rPr>
          <w:sz w:val="18"/>
        </w:rPr>
      </w:pPr>
      <w:r>
        <w:rPr>
          <w:spacing w:val="-5"/>
          <w:sz w:val="18"/>
        </w:rPr>
        <w:t>所有的试剂在使用前，均需在室温下充分融化、混匀后使用。</w:t>
      </w:r>
    </w:p>
    <w:p>
      <w:pPr>
        <w:pStyle w:val="Heading1"/>
      </w:pPr>
      <w:r>
        <w:rPr/>
        <w:t>【参考文献】</w:t>
      </w:r>
    </w:p>
    <w:p>
      <w:pPr>
        <w:pStyle w:val="ListParagraph"/>
        <w:numPr>
          <w:ilvl w:val="0"/>
          <w:numId w:val="6"/>
        </w:numPr>
        <w:tabs>
          <w:tab w:pos="396" w:val="left" w:leader="none"/>
        </w:tabs>
        <w:spacing w:line="196" w:lineRule="auto" w:before="12" w:after="0"/>
        <w:ind w:left="364" w:right="1784" w:hanging="257"/>
        <w:jc w:val="left"/>
        <w:rPr>
          <w:rFonts w:ascii="Times New Roman" w:eastAsia="Times New Roman"/>
          <w:sz w:val="18"/>
        </w:rPr>
      </w:pPr>
      <w:r>
        <w:rPr>
          <w:spacing w:val="-5"/>
          <w:sz w:val="18"/>
        </w:rPr>
        <w:t>邹先进</w:t>
      </w:r>
      <w:r>
        <w:rPr>
          <w:rFonts w:ascii="Times New Roman" w:eastAsia="Times New Roman"/>
          <w:sz w:val="18"/>
        </w:rPr>
        <w:t>,</w:t>
      </w:r>
      <w:r>
        <w:rPr>
          <w:spacing w:val="-4"/>
          <w:sz w:val="18"/>
        </w:rPr>
        <w:t>蔡兰</w:t>
      </w:r>
      <w:r>
        <w:rPr>
          <w:rFonts w:ascii="Times New Roman" w:eastAsia="Times New Roman"/>
          <w:sz w:val="18"/>
        </w:rPr>
        <w:t>,</w:t>
      </w:r>
      <w:r>
        <w:rPr>
          <w:spacing w:val="-5"/>
          <w:sz w:val="18"/>
        </w:rPr>
        <w:t>刘颖</w:t>
      </w:r>
      <w:r>
        <w:rPr>
          <w:rFonts w:ascii="Times New Roman" w:eastAsia="Times New Roman"/>
          <w:sz w:val="18"/>
        </w:rPr>
        <w:t>,</w:t>
      </w:r>
      <w:r>
        <w:rPr>
          <w:spacing w:val="-3"/>
          <w:sz w:val="18"/>
        </w:rPr>
        <w:t>等</w:t>
      </w:r>
      <w:r>
        <w:rPr>
          <w:rFonts w:ascii="Times New Roman" w:eastAsia="Times New Roman"/>
          <w:spacing w:val="17"/>
          <w:sz w:val="18"/>
        </w:rPr>
        <w:t>. </w:t>
      </w:r>
      <w:r>
        <w:rPr>
          <w:spacing w:val="-7"/>
          <w:sz w:val="18"/>
        </w:rPr>
        <w:t>应用实时荧光定量聚合酶链反应技术检测子宫颈人乳头状瘤病毒 </w:t>
      </w:r>
      <w:r>
        <w:rPr>
          <w:rFonts w:ascii="Times New Roman" w:eastAsia="Times New Roman"/>
          <w:spacing w:val="-3"/>
          <w:sz w:val="18"/>
        </w:rPr>
        <w:t>16</w:t>
      </w:r>
      <w:r>
        <w:rPr>
          <w:spacing w:val="-3"/>
          <w:sz w:val="18"/>
        </w:rPr>
        <w:t>、</w:t>
      </w:r>
      <w:r>
        <w:rPr>
          <w:rFonts w:ascii="Times New Roman" w:eastAsia="Times New Roman"/>
          <w:sz w:val="18"/>
        </w:rPr>
        <w:t>18</w:t>
      </w:r>
      <w:r>
        <w:rPr>
          <w:rFonts w:ascii="Times New Roman" w:eastAsia="Times New Roman"/>
          <w:spacing w:val="-7"/>
          <w:sz w:val="18"/>
        </w:rPr>
        <w:t> </w:t>
      </w:r>
      <w:r>
        <w:rPr>
          <w:spacing w:val="-3"/>
          <w:sz w:val="18"/>
        </w:rPr>
        <w:t>型</w:t>
      </w:r>
      <w:r>
        <w:rPr>
          <w:rFonts w:ascii="Times New Roman" w:eastAsia="Times New Roman"/>
          <w:spacing w:val="18"/>
          <w:sz w:val="18"/>
        </w:rPr>
        <w:t>. </w:t>
      </w:r>
      <w:r>
        <w:rPr>
          <w:spacing w:val="-4"/>
          <w:sz w:val="18"/>
        </w:rPr>
        <w:t>国妇产科杂志</w:t>
      </w:r>
      <w:r>
        <w:rPr>
          <w:rFonts w:ascii="Times New Roman" w:eastAsia="Times New Roman"/>
          <w:spacing w:val="-2"/>
          <w:sz w:val="18"/>
        </w:rPr>
        <w:t>, </w:t>
      </w:r>
      <w:r>
        <w:rPr>
          <w:rFonts w:ascii="Times New Roman" w:eastAsia="Times New Roman"/>
          <w:spacing w:val="-3"/>
          <w:sz w:val="18"/>
        </w:rPr>
        <w:t>2004,39</w:t>
      </w:r>
      <w:r>
        <w:rPr>
          <w:spacing w:val="-3"/>
          <w:sz w:val="18"/>
        </w:rPr>
        <w:t>（</w:t>
      </w:r>
      <w:r>
        <w:rPr>
          <w:rFonts w:ascii="Times New Roman" w:eastAsia="Times New Roman"/>
          <w:spacing w:val="-3"/>
          <w:sz w:val="18"/>
        </w:rPr>
        <w:t>1</w:t>
      </w:r>
      <w:r>
        <w:rPr>
          <w:spacing w:val="-3"/>
          <w:sz w:val="18"/>
        </w:rPr>
        <w:t>）</w:t>
      </w:r>
      <w:r>
        <w:rPr>
          <w:rFonts w:ascii="Times New Roman" w:eastAsia="Times New Roman"/>
          <w:spacing w:val="-3"/>
          <w:sz w:val="18"/>
        </w:rPr>
        <w:t>:52-53.</w:t>
      </w:r>
    </w:p>
    <w:p>
      <w:pPr>
        <w:pStyle w:val="ListParagraph"/>
        <w:numPr>
          <w:ilvl w:val="0"/>
          <w:numId w:val="6"/>
        </w:numPr>
        <w:tabs>
          <w:tab w:pos="352" w:val="left" w:leader="none"/>
        </w:tabs>
        <w:spacing w:line="211" w:lineRule="auto" w:before="0" w:after="0"/>
        <w:ind w:left="364" w:right="1895" w:hanging="257"/>
        <w:jc w:val="left"/>
        <w:rPr>
          <w:rFonts w:ascii="Times New Roman" w:eastAsia="Times New Roman"/>
          <w:sz w:val="18"/>
        </w:rPr>
      </w:pPr>
      <w:r>
        <w:rPr>
          <w:rFonts w:ascii="Times New Roman" w:eastAsia="Times New Roman"/>
          <w:sz w:val="18"/>
        </w:rPr>
        <w:t>Gravitt</w:t>
      </w:r>
      <w:r>
        <w:rPr>
          <w:rFonts w:ascii="Times New Roman" w:eastAsia="Times New Roman"/>
          <w:spacing w:val="-5"/>
          <w:sz w:val="18"/>
        </w:rPr>
        <w:t> </w:t>
      </w:r>
      <w:r>
        <w:rPr>
          <w:rFonts w:ascii="Times New Roman" w:eastAsia="Times New Roman"/>
          <w:spacing w:val="-3"/>
          <w:sz w:val="18"/>
        </w:rPr>
        <w:t>PE,Peyton</w:t>
      </w:r>
      <w:r>
        <w:rPr>
          <w:rFonts w:ascii="Times New Roman" w:eastAsia="Times New Roman"/>
          <w:spacing w:val="-7"/>
          <w:sz w:val="18"/>
        </w:rPr>
        <w:t> </w:t>
      </w:r>
      <w:r>
        <w:rPr>
          <w:rFonts w:ascii="Times New Roman" w:eastAsia="Times New Roman"/>
          <w:sz w:val="18"/>
        </w:rPr>
        <w:t>C,</w:t>
      </w:r>
      <w:r>
        <w:rPr>
          <w:rFonts w:ascii="Times New Roman" w:eastAsia="Times New Roman"/>
          <w:spacing w:val="-6"/>
          <w:sz w:val="18"/>
        </w:rPr>
        <w:t> </w:t>
      </w:r>
      <w:r>
        <w:rPr>
          <w:rFonts w:ascii="Times New Roman" w:eastAsia="Times New Roman"/>
          <w:spacing w:val="-3"/>
          <w:sz w:val="18"/>
        </w:rPr>
        <w:t>R'hceler</w:t>
      </w:r>
      <w:r>
        <w:rPr>
          <w:rFonts w:ascii="Times New Roman" w:eastAsia="Times New Roman"/>
          <w:spacing w:val="-6"/>
          <w:sz w:val="18"/>
        </w:rPr>
        <w:t> </w:t>
      </w:r>
      <w:r>
        <w:rPr>
          <w:rFonts w:ascii="Times New Roman" w:eastAsia="Times New Roman"/>
          <w:sz w:val="18"/>
        </w:rPr>
        <w:t>C.</w:t>
      </w:r>
      <w:r>
        <w:rPr>
          <w:rFonts w:ascii="Times New Roman" w:eastAsia="Times New Roman"/>
          <w:spacing w:val="-7"/>
          <w:sz w:val="18"/>
        </w:rPr>
        <w:t> </w:t>
      </w:r>
      <w:r>
        <w:rPr>
          <w:rFonts w:ascii="Times New Roman" w:eastAsia="Times New Roman"/>
          <w:sz w:val="18"/>
        </w:rPr>
        <w:t>et</w:t>
      </w:r>
      <w:r>
        <w:rPr>
          <w:rFonts w:ascii="Times New Roman" w:eastAsia="Times New Roman"/>
          <w:spacing w:val="-7"/>
          <w:sz w:val="18"/>
        </w:rPr>
        <w:t> </w:t>
      </w:r>
      <w:r>
        <w:rPr>
          <w:rFonts w:ascii="Times New Roman" w:eastAsia="Times New Roman"/>
          <w:sz w:val="18"/>
        </w:rPr>
        <w:t>al.</w:t>
      </w:r>
      <w:r>
        <w:rPr>
          <w:rFonts w:ascii="Times New Roman" w:eastAsia="Times New Roman"/>
          <w:spacing w:val="-5"/>
          <w:sz w:val="18"/>
        </w:rPr>
        <w:t> </w:t>
      </w:r>
      <w:r>
        <w:rPr>
          <w:rFonts w:ascii="Times New Roman" w:eastAsia="Times New Roman"/>
          <w:spacing w:val="-3"/>
          <w:sz w:val="18"/>
        </w:rPr>
        <w:t>Reproducibility</w:t>
      </w:r>
      <w:r>
        <w:rPr>
          <w:rFonts w:ascii="Times New Roman" w:eastAsia="Times New Roman"/>
          <w:spacing w:val="-9"/>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HPV</w:t>
      </w:r>
      <w:r>
        <w:rPr>
          <w:rFonts w:ascii="Times New Roman" w:eastAsia="Times New Roman"/>
          <w:spacing w:val="-11"/>
          <w:sz w:val="18"/>
        </w:rPr>
        <w:t> </w:t>
      </w:r>
      <w:r>
        <w:rPr>
          <w:rFonts w:ascii="Times New Roman" w:eastAsia="Times New Roman"/>
          <w:sz w:val="18"/>
        </w:rPr>
        <w:t>16</w:t>
      </w:r>
      <w:r>
        <w:rPr>
          <w:rFonts w:ascii="Times New Roman" w:eastAsia="Times New Roman"/>
          <w:spacing w:val="-6"/>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HPV</w:t>
      </w:r>
      <w:r>
        <w:rPr>
          <w:rFonts w:ascii="Times New Roman" w:eastAsia="Times New Roman"/>
          <w:spacing w:val="-11"/>
          <w:sz w:val="18"/>
        </w:rPr>
        <w:t> </w:t>
      </w:r>
      <w:r>
        <w:rPr>
          <w:rFonts w:ascii="Times New Roman" w:eastAsia="Times New Roman"/>
          <w:sz w:val="18"/>
        </w:rPr>
        <w:t>18</w:t>
      </w:r>
      <w:r>
        <w:rPr>
          <w:rFonts w:ascii="Times New Roman" w:eastAsia="Times New Roman"/>
          <w:spacing w:val="-6"/>
          <w:sz w:val="18"/>
        </w:rPr>
        <w:t> </w:t>
      </w:r>
      <w:r>
        <w:rPr>
          <w:rFonts w:ascii="Times New Roman" w:eastAsia="Times New Roman"/>
          <w:sz w:val="18"/>
        </w:rPr>
        <w:t>viral</w:t>
      </w:r>
      <w:r>
        <w:rPr>
          <w:rFonts w:ascii="Times New Roman" w:eastAsia="Times New Roman"/>
          <w:spacing w:val="-8"/>
          <w:sz w:val="18"/>
        </w:rPr>
        <w:t> </w:t>
      </w:r>
      <w:r>
        <w:rPr>
          <w:rFonts w:ascii="Times New Roman" w:eastAsia="Times New Roman"/>
          <w:sz w:val="18"/>
        </w:rPr>
        <w:t>load</w:t>
      </w:r>
      <w:r>
        <w:rPr>
          <w:rFonts w:ascii="Times New Roman" w:eastAsia="Times New Roman"/>
          <w:spacing w:val="-6"/>
          <w:sz w:val="18"/>
        </w:rPr>
        <w:t> </w:t>
      </w:r>
      <w:r>
        <w:rPr>
          <w:rFonts w:ascii="Times New Roman" w:eastAsia="Times New Roman"/>
          <w:spacing w:val="-3"/>
          <w:sz w:val="18"/>
        </w:rPr>
        <w:t>quantitation</w:t>
      </w:r>
      <w:r>
        <w:rPr>
          <w:rFonts w:ascii="Times New Roman" w:eastAsia="Times New Roman"/>
          <w:spacing w:val="-7"/>
          <w:sz w:val="18"/>
        </w:rPr>
        <w:t> </w:t>
      </w:r>
      <w:r>
        <w:rPr>
          <w:rFonts w:ascii="Times New Roman" w:eastAsia="Times New Roman"/>
          <w:sz w:val="18"/>
        </w:rPr>
        <w:t>using</w:t>
      </w:r>
      <w:r>
        <w:rPr>
          <w:rFonts w:ascii="Times New Roman" w:eastAsia="Times New Roman"/>
          <w:spacing w:val="-12"/>
          <w:sz w:val="18"/>
        </w:rPr>
        <w:t> </w:t>
      </w:r>
      <w:r>
        <w:rPr>
          <w:rFonts w:ascii="Times New Roman" w:eastAsia="Times New Roman"/>
          <w:spacing w:val="-5"/>
          <w:sz w:val="18"/>
        </w:rPr>
        <w:t>Taqman </w:t>
      </w:r>
      <w:r>
        <w:rPr>
          <w:rFonts w:ascii="Times New Roman" w:eastAsia="Times New Roman"/>
          <w:spacing w:val="-3"/>
          <w:sz w:val="18"/>
        </w:rPr>
        <w:t>real-time </w:t>
      </w:r>
      <w:r>
        <w:rPr>
          <w:rFonts w:ascii="Times New Roman" w:eastAsia="Times New Roman"/>
          <w:sz w:val="18"/>
        </w:rPr>
        <w:t>PCR </w:t>
      </w:r>
      <w:r>
        <w:rPr>
          <w:rFonts w:ascii="Times New Roman" w:eastAsia="Times New Roman"/>
          <w:spacing w:val="-3"/>
          <w:sz w:val="18"/>
        </w:rPr>
        <w:t>assay</w:t>
      </w:r>
      <w:r>
        <w:rPr>
          <w:spacing w:val="-3"/>
          <w:sz w:val="18"/>
        </w:rPr>
        <w:t>［</w:t>
      </w:r>
      <w:r>
        <w:rPr>
          <w:rFonts w:ascii="Times New Roman" w:eastAsia="Times New Roman"/>
          <w:spacing w:val="-3"/>
          <w:sz w:val="18"/>
        </w:rPr>
        <w:t>J</w:t>
      </w:r>
      <w:r>
        <w:rPr>
          <w:spacing w:val="-3"/>
          <w:sz w:val="18"/>
        </w:rPr>
        <w:t>］</w:t>
      </w:r>
      <w:r>
        <w:rPr>
          <w:rFonts w:ascii="Times New Roman" w:eastAsia="Times New Roman"/>
          <w:spacing w:val="-3"/>
          <w:sz w:val="18"/>
        </w:rPr>
        <w:t>. </w:t>
      </w:r>
      <w:r>
        <w:rPr>
          <w:rFonts w:ascii="Times New Roman" w:eastAsia="Times New Roman"/>
          <w:sz w:val="18"/>
        </w:rPr>
        <w:t>J </w:t>
      </w:r>
      <w:r>
        <w:rPr>
          <w:rFonts w:ascii="Times New Roman" w:eastAsia="Times New Roman"/>
          <w:spacing w:val="-4"/>
          <w:sz w:val="18"/>
        </w:rPr>
        <w:t>Virol </w:t>
      </w:r>
      <w:r>
        <w:rPr>
          <w:rFonts w:ascii="Times New Roman" w:eastAsia="Times New Roman"/>
          <w:spacing w:val="-3"/>
          <w:sz w:val="18"/>
        </w:rPr>
        <w:t>Methods,2003,112(12</w:t>
      </w:r>
      <w:r>
        <w:rPr>
          <w:rFonts w:ascii="Times New Roman" w:eastAsia="Times New Roman"/>
          <w:spacing w:val="-28"/>
          <w:sz w:val="18"/>
        </w:rPr>
        <w:t> </w:t>
      </w:r>
      <w:r>
        <w:rPr>
          <w:rFonts w:ascii="Times New Roman" w:eastAsia="Times New Roman"/>
          <w:sz w:val="18"/>
        </w:rPr>
        <w:t>):23-33.</w:t>
      </w:r>
    </w:p>
    <w:p>
      <w:pPr>
        <w:pStyle w:val="ListParagraph"/>
        <w:numPr>
          <w:ilvl w:val="0"/>
          <w:numId w:val="6"/>
        </w:numPr>
        <w:tabs>
          <w:tab w:pos="352" w:val="left" w:leader="none"/>
        </w:tabs>
        <w:spacing w:line="220" w:lineRule="auto" w:before="0" w:after="0"/>
        <w:ind w:left="364" w:right="1992" w:hanging="257"/>
        <w:jc w:val="left"/>
        <w:rPr>
          <w:rFonts w:ascii="Times New Roman"/>
          <w:sz w:val="18"/>
        </w:rPr>
      </w:pPr>
      <w:r>
        <w:rPr>
          <w:rFonts w:ascii="Times New Roman"/>
          <w:sz w:val="18"/>
        </w:rPr>
        <w:t>Marcel </w:t>
      </w:r>
      <w:r>
        <w:rPr>
          <w:rFonts w:ascii="Times New Roman"/>
          <w:spacing w:val="-11"/>
          <w:sz w:val="18"/>
        </w:rPr>
        <w:t>V. </w:t>
      </w:r>
      <w:r>
        <w:rPr>
          <w:rFonts w:ascii="Times New Roman"/>
          <w:sz w:val="18"/>
        </w:rPr>
        <w:t>Jacobs, Peter </w:t>
      </w:r>
      <w:r>
        <w:rPr>
          <w:rFonts w:ascii="Times New Roman"/>
          <w:spacing w:val="-5"/>
          <w:sz w:val="18"/>
        </w:rPr>
        <w:t>J.F. </w:t>
      </w:r>
      <w:r>
        <w:rPr>
          <w:rFonts w:ascii="Times New Roman"/>
          <w:spacing w:val="-3"/>
          <w:sz w:val="18"/>
        </w:rPr>
        <w:t>Snijders, </w:t>
      </w:r>
      <w:r>
        <w:rPr>
          <w:rFonts w:ascii="Times New Roman"/>
          <w:sz w:val="18"/>
        </w:rPr>
        <w:t>Adriaan J.C. </w:t>
      </w:r>
      <w:r>
        <w:rPr>
          <w:rFonts w:ascii="Times New Roman"/>
          <w:spacing w:val="-4"/>
          <w:sz w:val="18"/>
        </w:rPr>
        <w:t>Vandenbrule, </w:t>
      </w:r>
      <w:r>
        <w:rPr>
          <w:rFonts w:ascii="Times New Roman"/>
          <w:sz w:val="18"/>
        </w:rPr>
        <w:t>et al. A General </w:t>
      </w:r>
      <w:r>
        <w:rPr>
          <w:rFonts w:ascii="Times New Roman"/>
          <w:spacing w:val="-3"/>
          <w:sz w:val="18"/>
        </w:rPr>
        <w:t>Primer GP5+/GP6+-Mediated PCR-Enzyme</w:t>
      </w:r>
      <w:r>
        <w:rPr>
          <w:rFonts w:ascii="Times New Roman"/>
          <w:spacing w:val="-7"/>
          <w:sz w:val="18"/>
        </w:rPr>
        <w:t> </w:t>
      </w:r>
      <w:r>
        <w:rPr>
          <w:rFonts w:ascii="Times New Roman"/>
          <w:spacing w:val="-3"/>
          <w:sz w:val="18"/>
        </w:rPr>
        <w:t>Immunoassay</w:t>
      </w:r>
      <w:r>
        <w:rPr>
          <w:rFonts w:ascii="Times New Roman"/>
          <w:spacing w:val="-10"/>
          <w:sz w:val="18"/>
        </w:rPr>
        <w:t> </w:t>
      </w:r>
      <w:r>
        <w:rPr>
          <w:rFonts w:ascii="Times New Roman"/>
          <w:sz w:val="18"/>
        </w:rPr>
        <w:t>Method</w:t>
      </w:r>
      <w:r>
        <w:rPr>
          <w:rFonts w:ascii="Times New Roman"/>
          <w:spacing w:val="-9"/>
          <w:sz w:val="18"/>
        </w:rPr>
        <w:t> </w:t>
      </w:r>
      <w:r>
        <w:rPr>
          <w:rFonts w:ascii="Times New Roman"/>
          <w:sz w:val="18"/>
        </w:rPr>
        <w:t>for</w:t>
      </w:r>
      <w:r>
        <w:rPr>
          <w:rFonts w:ascii="Times New Roman"/>
          <w:spacing w:val="-9"/>
          <w:sz w:val="18"/>
        </w:rPr>
        <w:t> </w:t>
      </w:r>
      <w:r>
        <w:rPr>
          <w:rFonts w:ascii="Times New Roman"/>
          <w:sz w:val="18"/>
        </w:rPr>
        <w:t>Rapid</w:t>
      </w:r>
      <w:r>
        <w:rPr>
          <w:rFonts w:ascii="Times New Roman"/>
          <w:spacing w:val="-9"/>
          <w:sz w:val="18"/>
        </w:rPr>
        <w:t> </w:t>
      </w:r>
      <w:r>
        <w:rPr>
          <w:rFonts w:ascii="Times New Roman"/>
          <w:sz w:val="18"/>
        </w:rPr>
        <w:t>Detection</w:t>
      </w:r>
      <w:r>
        <w:rPr>
          <w:rFonts w:ascii="Times New Roman"/>
          <w:spacing w:val="-10"/>
          <w:sz w:val="18"/>
        </w:rPr>
        <w:t> </w:t>
      </w:r>
      <w:r>
        <w:rPr>
          <w:rFonts w:ascii="Times New Roman"/>
          <w:sz w:val="18"/>
        </w:rPr>
        <w:t>of</w:t>
      </w:r>
      <w:r>
        <w:rPr>
          <w:rFonts w:ascii="Times New Roman"/>
          <w:spacing w:val="-10"/>
          <w:sz w:val="18"/>
        </w:rPr>
        <w:t> </w:t>
      </w:r>
      <w:r>
        <w:rPr>
          <w:rFonts w:ascii="Times New Roman"/>
          <w:sz w:val="18"/>
        </w:rPr>
        <w:t>14</w:t>
      </w:r>
      <w:r>
        <w:rPr>
          <w:rFonts w:ascii="Times New Roman"/>
          <w:spacing w:val="-7"/>
          <w:sz w:val="18"/>
        </w:rPr>
        <w:t> </w:t>
      </w:r>
      <w:r>
        <w:rPr>
          <w:rFonts w:ascii="Times New Roman"/>
          <w:sz w:val="18"/>
        </w:rPr>
        <w:t>High-Risk</w:t>
      </w:r>
      <w:r>
        <w:rPr>
          <w:rFonts w:ascii="Times New Roman"/>
          <w:spacing w:val="-10"/>
          <w:sz w:val="18"/>
        </w:rPr>
        <w:t> </w:t>
      </w:r>
      <w:r>
        <w:rPr>
          <w:rFonts w:ascii="Times New Roman"/>
          <w:sz w:val="18"/>
        </w:rPr>
        <w:t>and</w:t>
      </w:r>
      <w:r>
        <w:rPr>
          <w:rFonts w:ascii="Times New Roman"/>
          <w:spacing w:val="-11"/>
          <w:sz w:val="18"/>
        </w:rPr>
        <w:t> </w:t>
      </w:r>
      <w:r>
        <w:rPr>
          <w:rFonts w:ascii="Times New Roman"/>
          <w:sz w:val="18"/>
        </w:rPr>
        <w:t>6</w:t>
      </w:r>
      <w:r>
        <w:rPr>
          <w:rFonts w:ascii="Times New Roman"/>
          <w:spacing w:val="-7"/>
          <w:sz w:val="18"/>
        </w:rPr>
        <w:t> </w:t>
      </w:r>
      <w:r>
        <w:rPr>
          <w:rFonts w:ascii="Times New Roman"/>
          <w:sz w:val="18"/>
        </w:rPr>
        <w:t>Low-Risk</w:t>
      </w:r>
      <w:r>
        <w:rPr>
          <w:rFonts w:ascii="Times New Roman"/>
          <w:spacing w:val="-9"/>
          <w:sz w:val="18"/>
        </w:rPr>
        <w:t> </w:t>
      </w:r>
      <w:r>
        <w:rPr>
          <w:rFonts w:ascii="Times New Roman"/>
          <w:spacing w:val="-3"/>
          <w:sz w:val="18"/>
        </w:rPr>
        <w:t>Human</w:t>
      </w:r>
      <w:r>
        <w:rPr>
          <w:rFonts w:ascii="Times New Roman"/>
          <w:spacing w:val="-7"/>
          <w:sz w:val="18"/>
        </w:rPr>
        <w:t> </w:t>
      </w:r>
      <w:r>
        <w:rPr>
          <w:rFonts w:ascii="Times New Roman"/>
          <w:spacing w:val="-3"/>
          <w:sz w:val="18"/>
        </w:rPr>
        <w:t>Papillomavirus Genotypes </w:t>
      </w:r>
      <w:r>
        <w:rPr>
          <w:rFonts w:ascii="Times New Roman"/>
          <w:sz w:val="18"/>
        </w:rPr>
        <w:t>in </w:t>
      </w:r>
      <w:r>
        <w:rPr>
          <w:rFonts w:ascii="Times New Roman"/>
          <w:spacing w:val="-3"/>
          <w:sz w:val="18"/>
        </w:rPr>
        <w:t>Cervical Scrapings. </w:t>
      </w:r>
      <w:r>
        <w:rPr>
          <w:rFonts w:ascii="Times New Roman"/>
          <w:sz w:val="18"/>
        </w:rPr>
        <w:t>Journal of </w:t>
      </w:r>
      <w:r>
        <w:rPr>
          <w:rFonts w:ascii="Times New Roman"/>
          <w:spacing w:val="-3"/>
          <w:sz w:val="18"/>
        </w:rPr>
        <w:t>Clinical Microbiology,1997,</w:t>
      </w:r>
      <w:r>
        <w:rPr>
          <w:rFonts w:ascii="Times New Roman"/>
          <w:spacing w:val="-31"/>
          <w:sz w:val="18"/>
        </w:rPr>
        <w:t> </w:t>
      </w:r>
      <w:r>
        <w:rPr>
          <w:rFonts w:ascii="Times New Roman"/>
          <w:spacing w:val="-3"/>
          <w:sz w:val="18"/>
        </w:rPr>
        <w:t>35(3):791-795.</w:t>
      </w:r>
    </w:p>
    <w:p>
      <w:pPr>
        <w:pStyle w:val="ListParagraph"/>
        <w:numPr>
          <w:ilvl w:val="0"/>
          <w:numId w:val="6"/>
        </w:numPr>
        <w:tabs>
          <w:tab w:pos="352" w:val="left" w:leader="none"/>
        </w:tabs>
        <w:spacing w:line="220" w:lineRule="auto" w:before="0" w:after="0"/>
        <w:ind w:left="364" w:right="1951" w:hanging="257"/>
        <w:jc w:val="left"/>
        <w:rPr>
          <w:rFonts w:ascii="Times New Roman"/>
          <w:sz w:val="18"/>
        </w:rPr>
      </w:pPr>
      <w:r>
        <w:rPr>
          <w:rFonts w:ascii="Times New Roman"/>
          <w:sz w:val="18"/>
        </w:rPr>
        <w:t>Magnus</w:t>
      </w:r>
      <w:r>
        <w:rPr>
          <w:rFonts w:ascii="Times New Roman"/>
          <w:spacing w:val="-7"/>
          <w:sz w:val="18"/>
        </w:rPr>
        <w:t> </w:t>
      </w:r>
      <w:r>
        <w:rPr>
          <w:rFonts w:ascii="Times New Roman"/>
          <w:sz w:val="18"/>
        </w:rPr>
        <w:t>Lindh,</w:t>
      </w:r>
      <w:r>
        <w:rPr>
          <w:rFonts w:ascii="Times New Roman"/>
          <w:spacing w:val="-8"/>
          <w:sz w:val="18"/>
        </w:rPr>
        <w:t> </w:t>
      </w:r>
      <w:r>
        <w:rPr>
          <w:rFonts w:ascii="Times New Roman"/>
          <w:spacing w:val="-3"/>
          <w:sz w:val="18"/>
        </w:rPr>
        <w:t>Staffan</w:t>
      </w:r>
      <w:r>
        <w:rPr>
          <w:rFonts w:ascii="Times New Roman"/>
          <w:spacing w:val="-8"/>
          <w:sz w:val="18"/>
        </w:rPr>
        <w:t> </w:t>
      </w:r>
      <w:r>
        <w:rPr>
          <w:rFonts w:ascii="Times New Roman"/>
          <w:spacing w:val="-3"/>
          <w:sz w:val="18"/>
        </w:rPr>
        <w:t>Gorander,</w:t>
      </w:r>
      <w:r>
        <w:rPr>
          <w:rFonts w:ascii="Times New Roman"/>
          <w:spacing w:val="-10"/>
          <w:sz w:val="18"/>
        </w:rPr>
        <w:t> </w:t>
      </w:r>
      <w:r>
        <w:rPr>
          <w:rFonts w:ascii="Times New Roman"/>
          <w:sz w:val="18"/>
        </w:rPr>
        <w:t>Elin</w:t>
      </w:r>
      <w:r>
        <w:rPr>
          <w:rFonts w:ascii="Times New Roman"/>
          <w:spacing w:val="-14"/>
          <w:sz w:val="18"/>
        </w:rPr>
        <w:t> </w:t>
      </w:r>
      <w:r>
        <w:rPr>
          <w:rFonts w:ascii="Times New Roman"/>
          <w:sz w:val="18"/>
        </w:rPr>
        <w:t>Anderson,</w:t>
      </w:r>
      <w:r>
        <w:rPr>
          <w:rFonts w:ascii="Times New Roman"/>
          <w:spacing w:val="-8"/>
          <w:sz w:val="18"/>
        </w:rPr>
        <w:t> </w:t>
      </w:r>
      <w:r>
        <w:rPr>
          <w:rFonts w:ascii="Times New Roman"/>
          <w:sz w:val="18"/>
        </w:rPr>
        <w:t>et</w:t>
      </w:r>
      <w:r>
        <w:rPr>
          <w:rFonts w:ascii="Times New Roman"/>
          <w:spacing w:val="-9"/>
          <w:sz w:val="18"/>
        </w:rPr>
        <w:t> </w:t>
      </w:r>
      <w:r>
        <w:rPr>
          <w:rFonts w:ascii="Times New Roman"/>
          <w:sz w:val="18"/>
        </w:rPr>
        <w:t>al.</w:t>
      </w:r>
      <w:r>
        <w:rPr>
          <w:rFonts w:ascii="Times New Roman"/>
          <w:spacing w:val="-7"/>
          <w:sz w:val="18"/>
        </w:rPr>
        <w:t> </w:t>
      </w:r>
      <w:r>
        <w:rPr>
          <w:rFonts w:ascii="Times New Roman"/>
          <w:spacing w:val="-3"/>
          <w:sz w:val="18"/>
        </w:rPr>
        <w:t>Real-time</w:t>
      </w:r>
      <w:r>
        <w:rPr>
          <w:rFonts w:ascii="Times New Roman"/>
          <w:spacing w:val="-10"/>
          <w:sz w:val="18"/>
        </w:rPr>
        <w:t> </w:t>
      </w:r>
      <w:r>
        <w:rPr>
          <w:rFonts w:ascii="Times New Roman"/>
          <w:spacing w:val="-5"/>
          <w:sz w:val="18"/>
        </w:rPr>
        <w:t>Taqman </w:t>
      </w:r>
      <w:r>
        <w:rPr>
          <w:rFonts w:ascii="Times New Roman"/>
          <w:sz w:val="18"/>
        </w:rPr>
        <w:t>PCR</w:t>
      </w:r>
      <w:r>
        <w:rPr>
          <w:rFonts w:ascii="Times New Roman"/>
          <w:spacing w:val="-8"/>
          <w:sz w:val="18"/>
        </w:rPr>
        <w:t> </w:t>
      </w:r>
      <w:r>
        <w:rPr>
          <w:rFonts w:ascii="Times New Roman"/>
          <w:spacing w:val="-3"/>
          <w:sz w:val="18"/>
        </w:rPr>
        <w:t>targeting</w:t>
      </w:r>
      <w:r>
        <w:rPr>
          <w:rFonts w:ascii="Times New Roman"/>
          <w:spacing w:val="-10"/>
          <w:sz w:val="18"/>
        </w:rPr>
        <w:t> </w:t>
      </w:r>
      <w:r>
        <w:rPr>
          <w:rFonts w:ascii="Times New Roman"/>
          <w:sz w:val="18"/>
        </w:rPr>
        <w:t>14</w:t>
      </w:r>
      <w:r>
        <w:rPr>
          <w:rFonts w:ascii="Times New Roman"/>
          <w:spacing w:val="-5"/>
          <w:sz w:val="18"/>
        </w:rPr>
        <w:t> </w:t>
      </w:r>
      <w:r>
        <w:rPr>
          <w:rFonts w:ascii="Times New Roman"/>
          <w:spacing w:val="-3"/>
          <w:sz w:val="18"/>
        </w:rPr>
        <w:t>human</w:t>
      </w:r>
      <w:r>
        <w:rPr>
          <w:rFonts w:ascii="Times New Roman"/>
          <w:spacing w:val="-8"/>
          <w:sz w:val="18"/>
        </w:rPr>
        <w:t> </w:t>
      </w:r>
      <w:r>
        <w:rPr>
          <w:rFonts w:ascii="Times New Roman"/>
          <w:spacing w:val="-3"/>
          <w:sz w:val="18"/>
        </w:rPr>
        <w:t>papilloma</w:t>
      </w:r>
      <w:r>
        <w:rPr>
          <w:rFonts w:ascii="Times New Roman"/>
          <w:spacing w:val="-4"/>
          <w:sz w:val="18"/>
        </w:rPr>
        <w:t> </w:t>
      </w:r>
      <w:r>
        <w:rPr>
          <w:rFonts w:ascii="Times New Roman"/>
          <w:sz w:val="18"/>
        </w:rPr>
        <w:t>virus types. J Clin </w:t>
      </w:r>
      <w:r>
        <w:rPr>
          <w:rFonts w:ascii="Times New Roman"/>
          <w:spacing w:val="-5"/>
          <w:sz w:val="18"/>
        </w:rPr>
        <w:t>Virology, </w:t>
      </w:r>
      <w:r>
        <w:rPr>
          <w:rFonts w:ascii="Times New Roman"/>
          <w:sz w:val="18"/>
        </w:rPr>
        <w:t>2007,</w:t>
      </w:r>
      <w:r>
        <w:rPr>
          <w:rFonts w:ascii="Times New Roman"/>
          <w:spacing w:val="-28"/>
          <w:sz w:val="18"/>
        </w:rPr>
        <w:t> </w:t>
      </w:r>
      <w:r>
        <w:rPr>
          <w:rFonts w:ascii="Times New Roman"/>
          <w:spacing w:val="-3"/>
          <w:sz w:val="18"/>
        </w:rPr>
        <w:t>40:321-324.</w:t>
      </w:r>
    </w:p>
    <w:p>
      <w:pPr>
        <w:pStyle w:val="ListParagraph"/>
        <w:numPr>
          <w:ilvl w:val="0"/>
          <w:numId w:val="6"/>
        </w:numPr>
        <w:tabs>
          <w:tab w:pos="350" w:val="left" w:leader="none"/>
        </w:tabs>
        <w:spacing w:line="208" w:lineRule="auto" w:before="0" w:after="0"/>
        <w:ind w:left="364" w:right="1847" w:hanging="257"/>
        <w:jc w:val="left"/>
        <w:rPr>
          <w:rFonts w:ascii="Times New Roman" w:hAnsi="Times New Roman"/>
          <w:sz w:val="18"/>
        </w:rPr>
      </w:pPr>
      <w:r>
        <w:rPr>
          <w:rFonts w:ascii="Times New Roman" w:hAnsi="Times New Roman"/>
          <w:spacing w:val="-3"/>
          <w:sz w:val="18"/>
        </w:rPr>
        <w:t>Tibor</w:t>
      </w:r>
      <w:r>
        <w:rPr>
          <w:rFonts w:ascii="Times New Roman" w:hAnsi="Times New Roman"/>
          <w:spacing w:val="-15"/>
          <w:sz w:val="18"/>
        </w:rPr>
        <w:t> </w:t>
      </w:r>
      <w:r>
        <w:rPr>
          <w:rFonts w:ascii="Times New Roman" w:hAnsi="Times New Roman"/>
          <w:spacing w:val="-4"/>
          <w:sz w:val="18"/>
        </w:rPr>
        <w:t>Tak</w:t>
      </w:r>
      <w:r>
        <w:rPr>
          <w:spacing w:val="-4"/>
          <w:sz w:val="18"/>
        </w:rPr>
        <w:t>´</w:t>
      </w:r>
      <w:r>
        <w:rPr>
          <w:rFonts w:ascii="Times New Roman" w:hAnsi="Times New Roman"/>
          <w:spacing w:val="-4"/>
          <w:sz w:val="18"/>
        </w:rPr>
        <w:t>acs,</w:t>
      </w:r>
      <w:r>
        <w:rPr>
          <w:rFonts w:ascii="Times New Roman" w:hAnsi="Times New Roman"/>
          <w:spacing w:val="-9"/>
          <w:sz w:val="18"/>
        </w:rPr>
        <w:t> </w:t>
      </w:r>
      <w:r>
        <w:rPr>
          <w:rFonts w:ascii="Times New Roman" w:hAnsi="Times New Roman"/>
          <w:sz w:val="18"/>
        </w:rPr>
        <w:t>Csaba</w:t>
      </w:r>
      <w:r>
        <w:rPr>
          <w:rFonts w:ascii="Times New Roman" w:hAnsi="Times New Roman"/>
          <w:spacing w:val="-9"/>
          <w:sz w:val="18"/>
        </w:rPr>
        <w:t> </w:t>
      </w:r>
      <w:r>
        <w:rPr>
          <w:rFonts w:ascii="Times New Roman" w:hAnsi="Times New Roman"/>
          <w:spacing w:val="-4"/>
          <w:sz w:val="18"/>
        </w:rPr>
        <w:t>Jeney,</w:t>
      </w:r>
      <w:r>
        <w:rPr>
          <w:rFonts w:ascii="Times New Roman" w:hAnsi="Times New Roman"/>
          <w:spacing w:val="-9"/>
          <w:sz w:val="18"/>
        </w:rPr>
        <w:t> </w:t>
      </w:r>
      <w:r>
        <w:rPr>
          <w:rFonts w:ascii="Times New Roman" w:hAnsi="Times New Roman"/>
          <w:sz w:val="18"/>
        </w:rPr>
        <w:t>Laura</w:t>
      </w:r>
      <w:r>
        <w:rPr>
          <w:rFonts w:ascii="Times New Roman" w:hAnsi="Times New Roman"/>
          <w:spacing w:val="-11"/>
          <w:sz w:val="18"/>
        </w:rPr>
        <w:t> </w:t>
      </w:r>
      <w:r>
        <w:rPr>
          <w:rFonts w:ascii="Times New Roman" w:hAnsi="Times New Roman"/>
          <w:spacing w:val="-2"/>
          <w:sz w:val="18"/>
        </w:rPr>
        <w:t>Kov</w:t>
      </w:r>
      <w:r>
        <w:rPr>
          <w:spacing w:val="-2"/>
          <w:sz w:val="18"/>
        </w:rPr>
        <w:t>´</w:t>
      </w:r>
      <w:r>
        <w:rPr>
          <w:rFonts w:ascii="Times New Roman" w:hAnsi="Times New Roman"/>
          <w:spacing w:val="-2"/>
          <w:sz w:val="18"/>
        </w:rPr>
        <w:t>acs</w:t>
      </w:r>
      <w:r>
        <w:rPr>
          <w:rFonts w:ascii="Times New Roman" w:hAnsi="Times New Roman"/>
          <w:spacing w:val="-8"/>
          <w:sz w:val="18"/>
        </w:rPr>
        <w:t> </w:t>
      </w:r>
      <w:r>
        <w:rPr>
          <w:rFonts w:ascii="Times New Roman" w:hAnsi="Times New Roman"/>
          <w:sz w:val="18"/>
        </w:rPr>
        <w:t>et</w:t>
      </w:r>
      <w:r>
        <w:rPr>
          <w:rFonts w:ascii="Times New Roman" w:hAnsi="Times New Roman"/>
          <w:spacing w:val="-10"/>
          <w:sz w:val="18"/>
        </w:rPr>
        <w:t> </w:t>
      </w:r>
      <w:r>
        <w:rPr>
          <w:rFonts w:ascii="Times New Roman" w:hAnsi="Times New Roman"/>
          <w:sz w:val="18"/>
        </w:rPr>
        <w:t>al.</w:t>
      </w:r>
      <w:r>
        <w:rPr>
          <w:rFonts w:ascii="Times New Roman" w:hAnsi="Times New Roman"/>
          <w:spacing w:val="-8"/>
          <w:sz w:val="18"/>
        </w:rPr>
        <w:t> </w:t>
      </w:r>
      <w:r>
        <w:rPr>
          <w:rFonts w:ascii="Times New Roman" w:hAnsi="Times New Roman"/>
          <w:spacing w:val="-3"/>
          <w:sz w:val="18"/>
        </w:rPr>
        <w:t>Molecular</w:t>
      </w:r>
      <w:r>
        <w:rPr>
          <w:rFonts w:ascii="Times New Roman" w:hAnsi="Times New Roman"/>
          <w:spacing w:val="-10"/>
          <w:sz w:val="18"/>
        </w:rPr>
        <w:t> </w:t>
      </w:r>
      <w:r>
        <w:rPr>
          <w:rFonts w:ascii="Times New Roman" w:hAnsi="Times New Roman"/>
          <w:spacing w:val="-3"/>
          <w:sz w:val="18"/>
        </w:rPr>
        <w:t>beacon-based</w:t>
      </w:r>
      <w:r>
        <w:rPr>
          <w:rFonts w:ascii="Times New Roman" w:hAnsi="Times New Roman"/>
          <w:spacing w:val="-9"/>
          <w:sz w:val="18"/>
        </w:rPr>
        <w:t> </w:t>
      </w:r>
      <w:r>
        <w:rPr>
          <w:rFonts w:ascii="Times New Roman" w:hAnsi="Times New Roman"/>
          <w:sz w:val="18"/>
        </w:rPr>
        <w:t>real-time</w:t>
      </w:r>
      <w:r>
        <w:rPr>
          <w:rFonts w:ascii="Times New Roman" w:hAnsi="Times New Roman"/>
          <w:spacing w:val="-8"/>
          <w:sz w:val="18"/>
        </w:rPr>
        <w:t> </w:t>
      </w:r>
      <w:r>
        <w:rPr>
          <w:rFonts w:ascii="Times New Roman" w:hAnsi="Times New Roman"/>
          <w:sz w:val="18"/>
        </w:rPr>
        <w:t>PCR</w:t>
      </w:r>
      <w:r>
        <w:rPr>
          <w:rFonts w:ascii="Times New Roman" w:hAnsi="Times New Roman"/>
          <w:spacing w:val="-8"/>
          <w:sz w:val="18"/>
        </w:rPr>
        <w:t> </w:t>
      </w:r>
      <w:r>
        <w:rPr>
          <w:rFonts w:ascii="Times New Roman" w:hAnsi="Times New Roman"/>
          <w:sz w:val="18"/>
        </w:rPr>
        <w:t>method</w:t>
      </w:r>
      <w:r>
        <w:rPr>
          <w:rFonts w:ascii="Times New Roman" w:hAnsi="Times New Roman"/>
          <w:spacing w:val="-11"/>
          <w:sz w:val="18"/>
        </w:rPr>
        <w:t> </w:t>
      </w:r>
      <w:r>
        <w:rPr>
          <w:rFonts w:ascii="Times New Roman" w:hAnsi="Times New Roman"/>
          <w:sz w:val="18"/>
        </w:rPr>
        <w:t>for</w:t>
      </w:r>
      <w:r>
        <w:rPr>
          <w:rFonts w:ascii="Times New Roman" w:hAnsi="Times New Roman"/>
          <w:spacing w:val="-9"/>
          <w:sz w:val="18"/>
        </w:rPr>
        <w:t> </w:t>
      </w:r>
      <w:r>
        <w:rPr>
          <w:rFonts w:ascii="Times New Roman" w:hAnsi="Times New Roman"/>
          <w:sz w:val="18"/>
        </w:rPr>
        <w:t>detection</w:t>
      </w:r>
      <w:r>
        <w:rPr>
          <w:rFonts w:ascii="Times New Roman" w:hAnsi="Times New Roman"/>
          <w:spacing w:val="-11"/>
          <w:sz w:val="18"/>
        </w:rPr>
        <w:t> </w:t>
      </w:r>
      <w:r>
        <w:rPr>
          <w:rFonts w:ascii="Times New Roman" w:hAnsi="Times New Roman"/>
          <w:sz w:val="18"/>
        </w:rPr>
        <w:t>of</w:t>
      </w:r>
      <w:r>
        <w:rPr>
          <w:rFonts w:ascii="Times New Roman" w:hAnsi="Times New Roman"/>
          <w:spacing w:val="-8"/>
          <w:sz w:val="18"/>
        </w:rPr>
        <w:t> </w:t>
      </w:r>
      <w:r>
        <w:rPr>
          <w:rFonts w:ascii="Times New Roman" w:hAnsi="Times New Roman"/>
          <w:sz w:val="18"/>
        </w:rPr>
        <w:t>15 </w:t>
      </w:r>
      <w:r>
        <w:rPr>
          <w:rFonts w:ascii="Times New Roman" w:hAnsi="Times New Roman"/>
          <w:spacing w:val="-3"/>
          <w:sz w:val="18"/>
        </w:rPr>
        <w:t>high-risk</w:t>
      </w:r>
      <w:r>
        <w:rPr>
          <w:rFonts w:ascii="Times New Roman" w:hAnsi="Times New Roman"/>
          <w:spacing w:val="-7"/>
          <w:sz w:val="18"/>
        </w:rPr>
        <w:t> </w:t>
      </w:r>
      <w:r>
        <w:rPr>
          <w:rFonts w:ascii="Times New Roman" w:hAnsi="Times New Roman"/>
          <w:sz w:val="18"/>
        </w:rPr>
        <w:t>and</w:t>
      </w:r>
      <w:r>
        <w:rPr>
          <w:rFonts w:ascii="Times New Roman" w:hAnsi="Times New Roman"/>
          <w:spacing w:val="-6"/>
          <w:sz w:val="18"/>
        </w:rPr>
        <w:t> </w:t>
      </w:r>
      <w:r>
        <w:rPr>
          <w:rFonts w:ascii="Times New Roman" w:hAnsi="Times New Roman"/>
          <w:sz w:val="18"/>
        </w:rPr>
        <w:t>5</w:t>
      </w:r>
      <w:r>
        <w:rPr>
          <w:rFonts w:ascii="Times New Roman" w:hAnsi="Times New Roman"/>
          <w:spacing w:val="-3"/>
          <w:sz w:val="18"/>
        </w:rPr>
        <w:t> </w:t>
      </w:r>
      <w:r>
        <w:rPr>
          <w:rFonts w:ascii="Times New Roman" w:hAnsi="Times New Roman"/>
          <w:sz w:val="18"/>
        </w:rPr>
        <w:t>low-risk</w:t>
      </w:r>
      <w:r>
        <w:rPr>
          <w:rFonts w:ascii="Times New Roman" w:hAnsi="Times New Roman"/>
          <w:spacing w:val="-6"/>
          <w:sz w:val="18"/>
        </w:rPr>
        <w:t> </w:t>
      </w:r>
      <w:r>
        <w:rPr>
          <w:rFonts w:ascii="Times New Roman" w:hAnsi="Times New Roman"/>
          <w:sz w:val="18"/>
        </w:rPr>
        <w:t>HPV</w:t>
      </w:r>
      <w:r>
        <w:rPr>
          <w:rFonts w:ascii="Times New Roman" w:hAnsi="Times New Roman"/>
          <w:spacing w:val="-12"/>
          <w:sz w:val="18"/>
        </w:rPr>
        <w:t> </w:t>
      </w:r>
      <w:r>
        <w:rPr>
          <w:rFonts w:ascii="Times New Roman" w:hAnsi="Times New Roman"/>
          <w:spacing w:val="-3"/>
          <w:sz w:val="18"/>
        </w:rPr>
        <w:t>types[J].</w:t>
      </w:r>
      <w:r>
        <w:rPr>
          <w:rFonts w:ascii="Times New Roman" w:hAnsi="Times New Roman"/>
          <w:spacing w:val="-4"/>
          <w:sz w:val="18"/>
        </w:rPr>
        <w:t> </w:t>
      </w:r>
      <w:r>
        <w:rPr>
          <w:rFonts w:ascii="Times New Roman" w:hAnsi="Times New Roman"/>
          <w:sz w:val="18"/>
        </w:rPr>
        <w:t>Journal</w:t>
      </w:r>
      <w:r>
        <w:rPr>
          <w:rFonts w:ascii="Times New Roman" w:hAnsi="Times New Roman"/>
          <w:spacing w:val="-8"/>
          <w:sz w:val="18"/>
        </w:rPr>
        <w:t> </w:t>
      </w:r>
      <w:r>
        <w:rPr>
          <w:rFonts w:ascii="Times New Roman" w:hAnsi="Times New Roman"/>
          <w:sz w:val="18"/>
        </w:rPr>
        <w:t>of</w:t>
      </w:r>
      <w:r>
        <w:rPr>
          <w:rFonts w:ascii="Times New Roman" w:hAnsi="Times New Roman"/>
          <w:spacing w:val="-9"/>
          <w:sz w:val="18"/>
        </w:rPr>
        <w:t> </w:t>
      </w:r>
      <w:r>
        <w:rPr>
          <w:rFonts w:ascii="Times New Roman" w:hAnsi="Times New Roman"/>
          <w:spacing w:val="-4"/>
          <w:sz w:val="18"/>
        </w:rPr>
        <w:t>Virological </w:t>
      </w:r>
      <w:r>
        <w:rPr>
          <w:rFonts w:ascii="Times New Roman" w:hAnsi="Times New Roman"/>
          <w:sz w:val="18"/>
        </w:rPr>
        <w:t>Methods</w:t>
      </w:r>
      <w:r>
        <w:rPr>
          <w:rFonts w:ascii="Times New Roman" w:hAnsi="Times New Roman"/>
          <w:spacing w:val="-10"/>
          <w:sz w:val="18"/>
        </w:rPr>
        <w:t> </w:t>
      </w:r>
      <w:r>
        <w:rPr>
          <w:rFonts w:ascii="Times New Roman" w:hAnsi="Times New Roman"/>
          <w:spacing w:val="-3"/>
          <w:sz w:val="18"/>
        </w:rPr>
        <w:t>,2008,149:</w:t>
      </w:r>
      <w:r>
        <w:rPr>
          <w:rFonts w:ascii="Times New Roman" w:hAnsi="Times New Roman"/>
          <w:spacing w:val="-4"/>
          <w:sz w:val="18"/>
        </w:rPr>
        <w:t> </w:t>
      </w:r>
      <w:r>
        <w:rPr>
          <w:rFonts w:ascii="Times New Roman" w:hAnsi="Times New Roman"/>
          <w:spacing w:val="-3"/>
          <w:sz w:val="18"/>
        </w:rPr>
        <w:t>153-162.</w:t>
      </w:r>
    </w:p>
    <w:p>
      <w:pPr>
        <w:pStyle w:val="Heading1"/>
        <w:spacing w:line="185" w:lineRule="exact"/>
      </w:pPr>
      <w:r>
        <w:rPr/>
        <w:t>【基本信息】</w:t>
      </w:r>
    </w:p>
    <w:p>
      <w:pPr>
        <w:pStyle w:val="BodyText"/>
        <w:spacing w:line="196" w:lineRule="auto"/>
        <w:ind w:right="6286"/>
      </w:pPr>
      <w:r>
        <w:rPr/>
        <w:t>注册人</w:t>
      </w:r>
      <w:r>
        <w:rPr>
          <w:rFonts w:ascii="Times New Roman" w:eastAsia="Times New Roman"/>
        </w:rPr>
        <w:t>/</w:t>
      </w:r>
      <w:r>
        <w:rPr/>
        <w:t>生产企业名称：圣湘生物科技股份有限公司住所：长沙高新技术产业开发区麓松路 </w:t>
      </w:r>
      <w:r>
        <w:rPr>
          <w:rFonts w:ascii="Times New Roman" w:eastAsia="Times New Roman"/>
        </w:rPr>
        <w:t>680 </w:t>
      </w:r>
      <w:r>
        <w:rPr/>
        <w:t>号</w:t>
      </w:r>
    </w:p>
    <w:p>
      <w:pPr>
        <w:pStyle w:val="BodyText"/>
        <w:tabs>
          <w:tab w:pos="3649" w:val="left" w:leader="none"/>
        </w:tabs>
        <w:spacing w:line="193" w:lineRule="exact"/>
        <w:rPr>
          <w:rFonts w:ascii="Times New Roman" w:eastAsia="Times New Roman"/>
        </w:rPr>
      </w:pPr>
      <w:r>
        <w:rPr/>
        <w:t>联系方式</w:t>
      </w:r>
      <w:r>
        <w:rPr>
          <w:spacing w:val="-3"/>
        </w:rPr>
        <w:t>：</w:t>
      </w:r>
      <w:r>
        <w:rPr>
          <w:rFonts w:ascii="Times New Roman" w:eastAsia="Times New Roman"/>
          <w:spacing w:val="-3"/>
        </w:rPr>
        <w:t>0731-88883176</w:t>
        <w:tab/>
      </w:r>
      <w:r>
        <w:rPr/>
        <w:t>传真号码</w:t>
      </w:r>
      <w:r>
        <w:rPr>
          <w:spacing w:val="-3"/>
        </w:rPr>
        <w:t>：</w:t>
      </w:r>
      <w:r>
        <w:rPr>
          <w:rFonts w:ascii="Times New Roman" w:eastAsia="Times New Roman"/>
          <w:spacing w:val="-3"/>
        </w:rPr>
        <w:t>0731-88884876</w:t>
      </w:r>
    </w:p>
    <w:p>
      <w:pPr>
        <w:pStyle w:val="BodyText"/>
        <w:spacing w:line="200" w:lineRule="exact"/>
      </w:pPr>
      <w:r>
        <w:rPr/>
        <w:t>售后服务单位名称：圣湘生物科技股份有限公司</w:t>
      </w:r>
    </w:p>
    <w:p>
      <w:pPr>
        <w:pStyle w:val="BodyText"/>
        <w:tabs>
          <w:tab w:pos="3608" w:val="left" w:leader="none"/>
        </w:tabs>
        <w:spacing w:line="197" w:lineRule="exact"/>
        <w:rPr>
          <w:rFonts w:ascii="Times New Roman" w:eastAsia="Times New Roman"/>
        </w:rPr>
      </w:pPr>
      <w:r>
        <w:rPr/>
        <w:t>联系方式</w:t>
      </w:r>
      <w:r>
        <w:rPr>
          <w:rFonts w:ascii="Times New Roman" w:eastAsia="Times New Roman"/>
        </w:rPr>
        <w:t>:   </w:t>
      </w:r>
      <w:r>
        <w:rPr>
          <w:rFonts w:ascii="Times New Roman" w:eastAsia="Times New Roman"/>
          <w:spacing w:val="5"/>
        </w:rPr>
        <w:t> </w:t>
      </w:r>
      <w:r>
        <w:rPr>
          <w:rFonts w:ascii="Times New Roman" w:eastAsia="Times New Roman"/>
          <w:spacing w:val="-3"/>
        </w:rPr>
        <w:t>0731-88883176</w:t>
        <w:tab/>
      </w:r>
      <w:r>
        <w:rPr/>
        <w:t>传真号码</w:t>
      </w:r>
      <w:r>
        <w:rPr>
          <w:spacing w:val="-3"/>
        </w:rPr>
        <w:t>：</w:t>
      </w:r>
      <w:r>
        <w:rPr>
          <w:rFonts w:ascii="Times New Roman" w:eastAsia="Times New Roman"/>
          <w:spacing w:val="-3"/>
        </w:rPr>
        <w:t>0731-88884876</w:t>
      </w:r>
    </w:p>
    <w:p>
      <w:pPr>
        <w:pStyle w:val="BodyText"/>
        <w:spacing w:line="191" w:lineRule="exact"/>
      </w:pPr>
      <w:r>
        <w:rPr/>
        <w:t>生产地址：长沙高新技术产业开发区麓松路 </w:t>
      </w:r>
      <w:r>
        <w:rPr>
          <w:rFonts w:ascii="Times New Roman" w:eastAsia="Times New Roman"/>
        </w:rPr>
        <w:t>680 </w:t>
      </w:r>
      <w:r>
        <w:rPr/>
        <w:t>号</w:t>
      </w:r>
    </w:p>
    <w:p>
      <w:pPr>
        <w:pStyle w:val="BodyText"/>
        <w:spacing w:line="190" w:lineRule="exact"/>
      </w:pPr>
      <w:r>
        <w:rPr/>
        <w:t>生产许可证编号：湘食药监械生产许 </w:t>
      </w:r>
      <w:r>
        <w:rPr>
          <w:rFonts w:ascii="Times New Roman" w:eastAsia="Times New Roman"/>
        </w:rPr>
        <w:t>20150036 </w:t>
      </w:r>
      <w:r>
        <w:rPr/>
        <w:t>号</w:t>
      </w:r>
    </w:p>
    <w:p>
      <w:pPr>
        <w:pStyle w:val="Heading1"/>
        <w:rPr>
          <w:rFonts w:ascii="Times New Roman" w:eastAsia="Times New Roman"/>
        </w:rPr>
      </w:pPr>
      <w:r>
        <w:rPr/>
        <w:t>【医疗器械注册证书编号</w:t>
      </w:r>
      <w:r>
        <w:rPr>
          <w:rFonts w:ascii="Times New Roman" w:eastAsia="Times New Roman"/>
        </w:rPr>
        <w:t>/</w:t>
      </w:r>
      <w:r>
        <w:rPr/>
        <w:t>产品技术要求编号】国械注准 </w:t>
      </w:r>
      <w:r>
        <w:rPr>
          <w:rFonts w:ascii="Times New Roman" w:eastAsia="Times New Roman"/>
        </w:rPr>
        <w:t>20173400081</w:t>
      </w:r>
    </w:p>
    <w:p>
      <w:pPr>
        <w:spacing w:line="210" w:lineRule="exact" w:before="0"/>
        <w:ind w:left="107" w:right="0" w:firstLine="0"/>
        <w:jc w:val="left"/>
        <w:rPr>
          <w:b/>
          <w:sz w:val="18"/>
        </w:rPr>
      </w:pPr>
      <w:r>
        <w:rPr>
          <w:b/>
          <w:sz w:val="18"/>
        </w:rPr>
        <w:t>【说明书核准日期及修改日期】</w:t>
      </w:r>
      <w:r>
        <w:rPr>
          <w:rFonts w:ascii="Times New Roman" w:eastAsia="Times New Roman"/>
          <w:b/>
          <w:sz w:val="18"/>
        </w:rPr>
        <w:t>2019 </w:t>
      </w:r>
      <w:r>
        <w:rPr>
          <w:b/>
          <w:sz w:val="18"/>
        </w:rPr>
        <w:t>年 </w:t>
      </w:r>
      <w:r>
        <w:rPr>
          <w:rFonts w:ascii="Times New Roman" w:eastAsia="Times New Roman"/>
          <w:b/>
          <w:sz w:val="18"/>
        </w:rPr>
        <w:t>10 </w:t>
      </w:r>
      <w:r>
        <w:rPr>
          <w:b/>
          <w:sz w:val="18"/>
        </w:rPr>
        <w:t>月 </w:t>
      </w:r>
      <w:r>
        <w:rPr>
          <w:rFonts w:ascii="Times New Roman" w:eastAsia="Times New Roman"/>
          <w:b/>
          <w:sz w:val="18"/>
        </w:rPr>
        <w:t>10 </w:t>
      </w:r>
      <w:r>
        <w:rPr>
          <w:b/>
          <w:sz w:val="18"/>
        </w:rPr>
        <w:t>日</w:t>
      </w:r>
    </w:p>
    <w:sectPr>
      <w:pgSz w:w="11910" w:h="16840"/>
      <w:pgMar w:header="462" w:footer="465" w:top="660" w:bottom="660" w:left="800" w:right="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49.320007pt;margin-top:807.630005pt;width:96.7pt;height:12pt;mso-position-horizontal-relative:page;mso-position-vertical-relative:page;z-index:-252148736" type="#_x0000_t202" filled="false" stroked="false">
          <v:textbox inset="0,0,0,0">
            <w:txbxContent>
              <w:p>
                <w:pPr>
                  <w:pStyle w:val="BodyText"/>
                  <w:ind w:left="20"/>
                </w:pPr>
                <w:r>
                  <w:rPr>
                    <w:rFonts w:ascii="Times New Roman" w:eastAsia="Times New Roman"/>
                  </w:rPr>
                  <w:t>HPV16/18 </w:t>
                </w:r>
                <w:r>
                  <w:rPr/>
                  <w:t>型产品说明书</w:t>
                </w:r>
              </w:p>
            </w:txbxContent>
          </v:textbox>
          <w10:wrap type="none"/>
        </v:shape>
      </w:pict>
    </w:r>
    <w:r>
      <w:rPr/>
      <w:pict>
        <v:shape style="position:absolute;margin-left:538.23999pt;margin-top:810.030029pt;width:8.5pt;height:12pt;mso-position-horizontal-relative:page;mso-position-vertical-relative:page;z-index:-252147712" type="#_x0000_t202" filled="false" stroked="false">
          <v:textbox inset="0,0,0,0">
            <w:txbxContent>
              <w:p>
                <w:pPr>
                  <w:pStyle w:val="BodyText"/>
                  <w:spacing w:before="12"/>
                  <w:ind w:left="40"/>
                  <w:rPr>
                    <w:rFonts w:ascii="Times New Roman"/>
                  </w:rPr>
                </w:pPr>
                <w:r>
                  <w:rPr/>
                  <w:fldChar w:fldCharType="begin"/>
                </w:r>
                <w:r>
                  <w:rPr>
                    <w:rFonts w:ascii="Times New Roman"/>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440.959015pt;margin-top:23.11565pt;width:110pt;height:11pt;mso-position-horizontal-relative:page;mso-position-vertical-relative:page;z-index:-252149760" type="#_x0000_t202" filled="false" stroked="false">
          <v:textbox inset="0,0,0,0">
            <w:txbxContent>
              <w:p>
                <w:pPr>
                  <w:pStyle w:val="BodyText"/>
                  <w:spacing w:line="220" w:lineRule="exact"/>
                  <w:ind w:left="20"/>
                </w:pPr>
                <w:r>
                  <w:rPr/>
                  <w:t>圣湘生物科技股份有限公司</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364" w:hanging="288"/>
        <w:jc w:val="left"/>
      </w:pPr>
      <w:rPr>
        <w:rFonts w:hint="default" w:ascii="Times New Roman" w:hAnsi="Times New Roman" w:eastAsia="Times New Roman" w:cs="Times New Roman"/>
        <w:spacing w:val="-49"/>
        <w:w w:val="100"/>
        <w:sz w:val="18"/>
        <w:szCs w:val="18"/>
        <w:lang w:val="zh-CN" w:eastAsia="zh-CN" w:bidi="zh-CN"/>
      </w:rPr>
    </w:lvl>
    <w:lvl w:ilvl="1">
      <w:start w:val="0"/>
      <w:numFmt w:val="bullet"/>
      <w:lvlText w:val="•"/>
      <w:lvlJc w:val="left"/>
      <w:pPr>
        <w:ind w:left="1364" w:hanging="288"/>
      </w:pPr>
      <w:rPr>
        <w:rFonts w:hint="default"/>
        <w:lang w:val="zh-CN" w:eastAsia="zh-CN" w:bidi="zh-CN"/>
      </w:rPr>
    </w:lvl>
    <w:lvl w:ilvl="2">
      <w:start w:val="0"/>
      <w:numFmt w:val="bullet"/>
      <w:lvlText w:val="•"/>
      <w:lvlJc w:val="left"/>
      <w:pPr>
        <w:ind w:left="2369" w:hanging="288"/>
      </w:pPr>
      <w:rPr>
        <w:rFonts w:hint="default"/>
        <w:lang w:val="zh-CN" w:eastAsia="zh-CN" w:bidi="zh-CN"/>
      </w:rPr>
    </w:lvl>
    <w:lvl w:ilvl="3">
      <w:start w:val="0"/>
      <w:numFmt w:val="bullet"/>
      <w:lvlText w:val="•"/>
      <w:lvlJc w:val="left"/>
      <w:pPr>
        <w:ind w:left="3373" w:hanging="288"/>
      </w:pPr>
      <w:rPr>
        <w:rFonts w:hint="default"/>
        <w:lang w:val="zh-CN" w:eastAsia="zh-CN" w:bidi="zh-CN"/>
      </w:rPr>
    </w:lvl>
    <w:lvl w:ilvl="4">
      <w:start w:val="0"/>
      <w:numFmt w:val="bullet"/>
      <w:lvlText w:val="•"/>
      <w:lvlJc w:val="left"/>
      <w:pPr>
        <w:ind w:left="4378" w:hanging="288"/>
      </w:pPr>
      <w:rPr>
        <w:rFonts w:hint="default"/>
        <w:lang w:val="zh-CN" w:eastAsia="zh-CN" w:bidi="zh-CN"/>
      </w:rPr>
    </w:lvl>
    <w:lvl w:ilvl="5">
      <w:start w:val="0"/>
      <w:numFmt w:val="bullet"/>
      <w:lvlText w:val="•"/>
      <w:lvlJc w:val="left"/>
      <w:pPr>
        <w:ind w:left="5383" w:hanging="288"/>
      </w:pPr>
      <w:rPr>
        <w:rFonts w:hint="default"/>
        <w:lang w:val="zh-CN" w:eastAsia="zh-CN" w:bidi="zh-CN"/>
      </w:rPr>
    </w:lvl>
    <w:lvl w:ilvl="6">
      <w:start w:val="0"/>
      <w:numFmt w:val="bullet"/>
      <w:lvlText w:val="•"/>
      <w:lvlJc w:val="left"/>
      <w:pPr>
        <w:ind w:left="6387" w:hanging="288"/>
      </w:pPr>
      <w:rPr>
        <w:rFonts w:hint="default"/>
        <w:lang w:val="zh-CN" w:eastAsia="zh-CN" w:bidi="zh-CN"/>
      </w:rPr>
    </w:lvl>
    <w:lvl w:ilvl="7">
      <w:start w:val="0"/>
      <w:numFmt w:val="bullet"/>
      <w:lvlText w:val="•"/>
      <w:lvlJc w:val="left"/>
      <w:pPr>
        <w:ind w:left="7392" w:hanging="288"/>
      </w:pPr>
      <w:rPr>
        <w:rFonts w:hint="default"/>
        <w:lang w:val="zh-CN" w:eastAsia="zh-CN" w:bidi="zh-CN"/>
      </w:rPr>
    </w:lvl>
    <w:lvl w:ilvl="8">
      <w:start w:val="0"/>
      <w:numFmt w:val="bullet"/>
      <w:lvlText w:val="•"/>
      <w:lvlJc w:val="left"/>
      <w:pPr>
        <w:ind w:left="8396" w:hanging="288"/>
      </w:pPr>
      <w:rPr>
        <w:rFonts w:hint="default"/>
        <w:lang w:val="zh-CN" w:eastAsia="zh-CN" w:bidi="zh-CN"/>
      </w:rPr>
    </w:lvl>
  </w:abstractNum>
  <w:abstractNum w:abstractNumId="4">
    <w:multiLevelType w:val="hybridMultilevel"/>
    <w:lvl w:ilvl="0">
      <w:start w:val="1"/>
      <w:numFmt w:val="decimal"/>
      <w:lvlText w:val="%1."/>
      <w:lvlJc w:val="left"/>
      <w:pPr>
        <w:ind w:left="323" w:hanging="216"/>
        <w:jc w:val="left"/>
      </w:pPr>
      <w:rPr>
        <w:rFonts w:hint="default" w:ascii="Times New Roman" w:hAnsi="Times New Roman" w:eastAsia="Times New Roman" w:cs="Times New Roman"/>
        <w:spacing w:val="-8"/>
        <w:w w:val="100"/>
        <w:sz w:val="18"/>
        <w:szCs w:val="18"/>
        <w:lang w:val="zh-CN" w:eastAsia="zh-CN" w:bidi="zh-CN"/>
      </w:rPr>
    </w:lvl>
    <w:lvl w:ilvl="1">
      <w:start w:val="0"/>
      <w:numFmt w:val="bullet"/>
      <w:lvlText w:val="•"/>
      <w:lvlJc w:val="left"/>
      <w:pPr>
        <w:ind w:left="1328" w:hanging="216"/>
      </w:pPr>
      <w:rPr>
        <w:rFonts w:hint="default"/>
        <w:lang w:val="zh-CN" w:eastAsia="zh-CN" w:bidi="zh-CN"/>
      </w:rPr>
    </w:lvl>
    <w:lvl w:ilvl="2">
      <w:start w:val="0"/>
      <w:numFmt w:val="bullet"/>
      <w:lvlText w:val="•"/>
      <w:lvlJc w:val="left"/>
      <w:pPr>
        <w:ind w:left="2337" w:hanging="216"/>
      </w:pPr>
      <w:rPr>
        <w:rFonts w:hint="default"/>
        <w:lang w:val="zh-CN" w:eastAsia="zh-CN" w:bidi="zh-CN"/>
      </w:rPr>
    </w:lvl>
    <w:lvl w:ilvl="3">
      <w:start w:val="0"/>
      <w:numFmt w:val="bullet"/>
      <w:lvlText w:val="•"/>
      <w:lvlJc w:val="left"/>
      <w:pPr>
        <w:ind w:left="3345" w:hanging="216"/>
      </w:pPr>
      <w:rPr>
        <w:rFonts w:hint="default"/>
        <w:lang w:val="zh-CN" w:eastAsia="zh-CN" w:bidi="zh-CN"/>
      </w:rPr>
    </w:lvl>
    <w:lvl w:ilvl="4">
      <w:start w:val="0"/>
      <w:numFmt w:val="bullet"/>
      <w:lvlText w:val="•"/>
      <w:lvlJc w:val="left"/>
      <w:pPr>
        <w:ind w:left="4354" w:hanging="216"/>
      </w:pPr>
      <w:rPr>
        <w:rFonts w:hint="default"/>
        <w:lang w:val="zh-CN" w:eastAsia="zh-CN" w:bidi="zh-CN"/>
      </w:rPr>
    </w:lvl>
    <w:lvl w:ilvl="5">
      <w:start w:val="0"/>
      <w:numFmt w:val="bullet"/>
      <w:lvlText w:val="•"/>
      <w:lvlJc w:val="left"/>
      <w:pPr>
        <w:ind w:left="5363" w:hanging="216"/>
      </w:pPr>
      <w:rPr>
        <w:rFonts w:hint="default"/>
        <w:lang w:val="zh-CN" w:eastAsia="zh-CN" w:bidi="zh-CN"/>
      </w:rPr>
    </w:lvl>
    <w:lvl w:ilvl="6">
      <w:start w:val="0"/>
      <w:numFmt w:val="bullet"/>
      <w:lvlText w:val="•"/>
      <w:lvlJc w:val="left"/>
      <w:pPr>
        <w:ind w:left="6371" w:hanging="216"/>
      </w:pPr>
      <w:rPr>
        <w:rFonts w:hint="default"/>
        <w:lang w:val="zh-CN" w:eastAsia="zh-CN" w:bidi="zh-CN"/>
      </w:rPr>
    </w:lvl>
    <w:lvl w:ilvl="7">
      <w:start w:val="0"/>
      <w:numFmt w:val="bullet"/>
      <w:lvlText w:val="•"/>
      <w:lvlJc w:val="left"/>
      <w:pPr>
        <w:ind w:left="7380" w:hanging="216"/>
      </w:pPr>
      <w:rPr>
        <w:rFonts w:hint="default"/>
        <w:lang w:val="zh-CN" w:eastAsia="zh-CN" w:bidi="zh-CN"/>
      </w:rPr>
    </w:lvl>
    <w:lvl w:ilvl="8">
      <w:start w:val="0"/>
      <w:numFmt w:val="bullet"/>
      <w:lvlText w:val="•"/>
      <w:lvlJc w:val="left"/>
      <w:pPr>
        <w:ind w:left="8388" w:hanging="216"/>
      </w:pPr>
      <w:rPr>
        <w:rFonts w:hint="default"/>
        <w:lang w:val="zh-CN" w:eastAsia="zh-CN" w:bidi="zh-CN"/>
      </w:rPr>
    </w:lvl>
  </w:abstractNum>
  <w:abstractNum w:abstractNumId="3">
    <w:multiLevelType w:val="hybridMultilevel"/>
    <w:lvl w:ilvl="0">
      <w:start w:val="1"/>
      <w:numFmt w:val="decimal"/>
      <w:lvlText w:val="%1"/>
      <w:lvlJc w:val="left"/>
      <w:pPr>
        <w:ind w:left="366" w:hanging="260"/>
        <w:jc w:val="left"/>
      </w:pPr>
      <w:rPr>
        <w:rFonts w:hint="default" w:ascii="Times New Roman" w:hAnsi="Times New Roman" w:eastAsia="Times New Roman" w:cs="Times New Roman"/>
        <w:spacing w:val="-11"/>
        <w:w w:val="100"/>
        <w:sz w:val="18"/>
        <w:szCs w:val="18"/>
        <w:lang w:val="zh-CN" w:eastAsia="zh-CN" w:bidi="zh-CN"/>
      </w:rPr>
    </w:lvl>
    <w:lvl w:ilvl="1">
      <w:start w:val="1"/>
      <w:numFmt w:val="decimal"/>
      <w:lvlText w:val="%1.%2"/>
      <w:lvlJc w:val="left"/>
      <w:pPr>
        <w:ind w:left="412" w:hanging="305"/>
        <w:jc w:val="left"/>
      </w:pPr>
      <w:rPr>
        <w:rFonts w:hint="default" w:ascii="Times New Roman" w:hAnsi="Times New Roman" w:eastAsia="Times New Roman" w:cs="Times New Roman"/>
        <w:spacing w:val="-50"/>
        <w:w w:val="100"/>
        <w:sz w:val="18"/>
        <w:szCs w:val="18"/>
        <w:lang w:val="zh-CN" w:eastAsia="zh-CN" w:bidi="zh-CN"/>
      </w:rPr>
    </w:lvl>
    <w:lvl w:ilvl="2">
      <w:start w:val="0"/>
      <w:numFmt w:val="bullet"/>
      <w:lvlText w:val="•"/>
      <w:lvlJc w:val="left"/>
      <w:pPr>
        <w:ind w:left="1529" w:hanging="305"/>
      </w:pPr>
      <w:rPr>
        <w:rFonts w:hint="default"/>
        <w:lang w:val="zh-CN" w:eastAsia="zh-CN" w:bidi="zh-CN"/>
      </w:rPr>
    </w:lvl>
    <w:lvl w:ilvl="3">
      <w:start w:val="0"/>
      <w:numFmt w:val="bullet"/>
      <w:lvlText w:val="•"/>
      <w:lvlJc w:val="left"/>
      <w:pPr>
        <w:ind w:left="2639" w:hanging="305"/>
      </w:pPr>
      <w:rPr>
        <w:rFonts w:hint="default"/>
        <w:lang w:val="zh-CN" w:eastAsia="zh-CN" w:bidi="zh-CN"/>
      </w:rPr>
    </w:lvl>
    <w:lvl w:ilvl="4">
      <w:start w:val="0"/>
      <w:numFmt w:val="bullet"/>
      <w:lvlText w:val="•"/>
      <w:lvlJc w:val="left"/>
      <w:pPr>
        <w:ind w:left="3748" w:hanging="305"/>
      </w:pPr>
      <w:rPr>
        <w:rFonts w:hint="default"/>
        <w:lang w:val="zh-CN" w:eastAsia="zh-CN" w:bidi="zh-CN"/>
      </w:rPr>
    </w:lvl>
    <w:lvl w:ilvl="5">
      <w:start w:val="0"/>
      <w:numFmt w:val="bullet"/>
      <w:lvlText w:val="•"/>
      <w:lvlJc w:val="left"/>
      <w:pPr>
        <w:ind w:left="4858" w:hanging="305"/>
      </w:pPr>
      <w:rPr>
        <w:rFonts w:hint="default"/>
        <w:lang w:val="zh-CN" w:eastAsia="zh-CN" w:bidi="zh-CN"/>
      </w:rPr>
    </w:lvl>
    <w:lvl w:ilvl="6">
      <w:start w:val="0"/>
      <w:numFmt w:val="bullet"/>
      <w:lvlText w:val="•"/>
      <w:lvlJc w:val="left"/>
      <w:pPr>
        <w:ind w:left="5967" w:hanging="305"/>
      </w:pPr>
      <w:rPr>
        <w:rFonts w:hint="default"/>
        <w:lang w:val="zh-CN" w:eastAsia="zh-CN" w:bidi="zh-CN"/>
      </w:rPr>
    </w:lvl>
    <w:lvl w:ilvl="7">
      <w:start w:val="0"/>
      <w:numFmt w:val="bullet"/>
      <w:lvlText w:val="•"/>
      <w:lvlJc w:val="left"/>
      <w:pPr>
        <w:ind w:left="7077" w:hanging="305"/>
      </w:pPr>
      <w:rPr>
        <w:rFonts w:hint="default"/>
        <w:lang w:val="zh-CN" w:eastAsia="zh-CN" w:bidi="zh-CN"/>
      </w:rPr>
    </w:lvl>
    <w:lvl w:ilvl="8">
      <w:start w:val="0"/>
      <w:numFmt w:val="bullet"/>
      <w:lvlText w:val="•"/>
      <w:lvlJc w:val="left"/>
      <w:pPr>
        <w:ind w:left="8186" w:hanging="305"/>
      </w:pPr>
      <w:rPr>
        <w:rFonts w:hint="default"/>
        <w:lang w:val="zh-CN" w:eastAsia="zh-CN" w:bidi="zh-CN"/>
      </w:rPr>
    </w:lvl>
  </w:abstractNum>
  <w:abstractNum w:abstractNumId="2">
    <w:multiLevelType w:val="hybridMultilevel"/>
    <w:lvl w:ilvl="0">
      <w:start w:val="1"/>
      <w:numFmt w:val="decimal"/>
      <w:lvlText w:val="%1."/>
      <w:lvlJc w:val="left"/>
      <w:pPr>
        <w:ind w:left="323" w:hanging="216"/>
        <w:jc w:val="left"/>
      </w:pPr>
      <w:rPr>
        <w:rFonts w:hint="default" w:ascii="Times New Roman" w:hAnsi="Times New Roman" w:eastAsia="Times New Roman" w:cs="Times New Roman"/>
        <w:b/>
        <w:bCs/>
        <w:spacing w:val="-8"/>
        <w:w w:val="99"/>
        <w:sz w:val="18"/>
        <w:szCs w:val="18"/>
        <w:lang w:val="zh-CN" w:eastAsia="zh-CN" w:bidi="zh-CN"/>
      </w:rPr>
    </w:lvl>
    <w:lvl w:ilvl="1">
      <w:start w:val="1"/>
      <w:numFmt w:val="decimal"/>
      <w:lvlText w:val="%1.%2"/>
      <w:lvlJc w:val="left"/>
      <w:pPr>
        <w:ind w:left="412" w:hanging="305"/>
        <w:jc w:val="left"/>
      </w:pPr>
      <w:rPr>
        <w:rFonts w:hint="default" w:ascii="Times New Roman" w:hAnsi="Times New Roman" w:eastAsia="Times New Roman" w:cs="Times New Roman"/>
        <w:spacing w:val="-8"/>
        <w:w w:val="100"/>
        <w:sz w:val="18"/>
        <w:szCs w:val="18"/>
        <w:lang w:val="zh-CN" w:eastAsia="zh-CN" w:bidi="zh-CN"/>
      </w:rPr>
    </w:lvl>
    <w:lvl w:ilvl="2">
      <w:start w:val="1"/>
      <w:numFmt w:val="decimal"/>
      <w:lvlText w:val="%1.%2.%3"/>
      <w:lvlJc w:val="left"/>
      <w:pPr>
        <w:ind w:left="460" w:hanging="394"/>
        <w:jc w:val="left"/>
      </w:pPr>
      <w:rPr>
        <w:rFonts w:hint="default" w:ascii="Times New Roman" w:hAnsi="Times New Roman" w:eastAsia="Times New Roman" w:cs="Times New Roman"/>
        <w:spacing w:val="-2"/>
        <w:w w:val="100"/>
        <w:sz w:val="18"/>
        <w:szCs w:val="18"/>
        <w:lang w:val="zh-CN" w:eastAsia="zh-CN" w:bidi="zh-CN"/>
      </w:rPr>
    </w:lvl>
    <w:lvl w:ilvl="3">
      <w:start w:val="0"/>
      <w:numFmt w:val="bullet"/>
      <w:lvlText w:val="•"/>
      <w:lvlJc w:val="left"/>
      <w:pPr>
        <w:ind w:left="460" w:hanging="394"/>
      </w:pPr>
      <w:rPr>
        <w:rFonts w:hint="default"/>
        <w:lang w:val="zh-CN" w:eastAsia="zh-CN" w:bidi="zh-CN"/>
      </w:rPr>
    </w:lvl>
    <w:lvl w:ilvl="4">
      <w:start w:val="0"/>
      <w:numFmt w:val="bullet"/>
      <w:lvlText w:val="•"/>
      <w:lvlJc w:val="left"/>
      <w:pPr>
        <w:ind w:left="480" w:hanging="394"/>
      </w:pPr>
      <w:rPr>
        <w:rFonts w:hint="default"/>
        <w:lang w:val="zh-CN" w:eastAsia="zh-CN" w:bidi="zh-CN"/>
      </w:rPr>
    </w:lvl>
    <w:lvl w:ilvl="5">
      <w:start w:val="0"/>
      <w:numFmt w:val="bullet"/>
      <w:lvlText w:val="•"/>
      <w:lvlJc w:val="left"/>
      <w:pPr>
        <w:ind w:left="620" w:hanging="394"/>
      </w:pPr>
      <w:rPr>
        <w:rFonts w:hint="default"/>
        <w:lang w:val="zh-CN" w:eastAsia="zh-CN" w:bidi="zh-CN"/>
      </w:rPr>
    </w:lvl>
    <w:lvl w:ilvl="6">
      <w:start w:val="0"/>
      <w:numFmt w:val="bullet"/>
      <w:lvlText w:val="•"/>
      <w:lvlJc w:val="left"/>
      <w:pPr>
        <w:ind w:left="2577" w:hanging="394"/>
      </w:pPr>
      <w:rPr>
        <w:rFonts w:hint="default"/>
        <w:lang w:val="zh-CN" w:eastAsia="zh-CN" w:bidi="zh-CN"/>
      </w:rPr>
    </w:lvl>
    <w:lvl w:ilvl="7">
      <w:start w:val="0"/>
      <w:numFmt w:val="bullet"/>
      <w:lvlText w:val="•"/>
      <w:lvlJc w:val="left"/>
      <w:pPr>
        <w:ind w:left="4534" w:hanging="394"/>
      </w:pPr>
      <w:rPr>
        <w:rFonts w:hint="default"/>
        <w:lang w:val="zh-CN" w:eastAsia="zh-CN" w:bidi="zh-CN"/>
      </w:rPr>
    </w:lvl>
    <w:lvl w:ilvl="8">
      <w:start w:val="0"/>
      <w:numFmt w:val="bullet"/>
      <w:lvlText w:val="•"/>
      <w:lvlJc w:val="left"/>
      <w:pPr>
        <w:ind w:left="6491" w:hanging="394"/>
      </w:pPr>
      <w:rPr>
        <w:rFonts w:hint="default"/>
        <w:lang w:val="zh-CN" w:eastAsia="zh-CN" w:bidi="zh-CN"/>
      </w:rPr>
    </w:lvl>
  </w:abstractNum>
  <w:abstractNum w:abstractNumId="1">
    <w:multiLevelType w:val="hybridMultilevel"/>
    <w:lvl w:ilvl="0">
      <w:start w:val="1"/>
      <w:numFmt w:val="decimal"/>
      <w:lvlText w:val="%1."/>
      <w:lvlJc w:val="left"/>
      <w:pPr>
        <w:ind w:left="323" w:hanging="216"/>
        <w:jc w:val="left"/>
      </w:pPr>
      <w:rPr>
        <w:rFonts w:hint="default" w:ascii="Times New Roman" w:hAnsi="Times New Roman" w:eastAsia="Times New Roman" w:cs="Times New Roman"/>
        <w:spacing w:val="-8"/>
        <w:w w:val="100"/>
        <w:sz w:val="18"/>
        <w:szCs w:val="18"/>
        <w:lang w:val="zh-CN" w:eastAsia="zh-CN" w:bidi="zh-CN"/>
      </w:rPr>
    </w:lvl>
    <w:lvl w:ilvl="1">
      <w:start w:val="0"/>
      <w:numFmt w:val="bullet"/>
      <w:lvlText w:val="•"/>
      <w:lvlJc w:val="left"/>
      <w:pPr>
        <w:ind w:left="1328" w:hanging="216"/>
      </w:pPr>
      <w:rPr>
        <w:rFonts w:hint="default"/>
        <w:lang w:val="zh-CN" w:eastAsia="zh-CN" w:bidi="zh-CN"/>
      </w:rPr>
    </w:lvl>
    <w:lvl w:ilvl="2">
      <w:start w:val="0"/>
      <w:numFmt w:val="bullet"/>
      <w:lvlText w:val="•"/>
      <w:lvlJc w:val="left"/>
      <w:pPr>
        <w:ind w:left="2337" w:hanging="216"/>
      </w:pPr>
      <w:rPr>
        <w:rFonts w:hint="default"/>
        <w:lang w:val="zh-CN" w:eastAsia="zh-CN" w:bidi="zh-CN"/>
      </w:rPr>
    </w:lvl>
    <w:lvl w:ilvl="3">
      <w:start w:val="0"/>
      <w:numFmt w:val="bullet"/>
      <w:lvlText w:val="•"/>
      <w:lvlJc w:val="left"/>
      <w:pPr>
        <w:ind w:left="3345" w:hanging="216"/>
      </w:pPr>
      <w:rPr>
        <w:rFonts w:hint="default"/>
        <w:lang w:val="zh-CN" w:eastAsia="zh-CN" w:bidi="zh-CN"/>
      </w:rPr>
    </w:lvl>
    <w:lvl w:ilvl="4">
      <w:start w:val="0"/>
      <w:numFmt w:val="bullet"/>
      <w:lvlText w:val="•"/>
      <w:lvlJc w:val="left"/>
      <w:pPr>
        <w:ind w:left="4354" w:hanging="216"/>
      </w:pPr>
      <w:rPr>
        <w:rFonts w:hint="default"/>
        <w:lang w:val="zh-CN" w:eastAsia="zh-CN" w:bidi="zh-CN"/>
      </w:rPr>
    </w:lvl>
    <w:lvl w:ilvl="5">
      <w:start w:val="0"/>
      <w:numFmt w:val="bullet"/>
      <w:lvlText w:val="•"/>
      <w:lvlJc w:val="left"/>
      <w:pPr>
        <w:ind w:left="5363" w:hanging="216"/>
      </w:pPr>
      <w:rPr>
        <w:rFonts w:hint="default"/>
        <w:lang w:val="zh-CN" w:eastAsia="zh-CN" w:bidi="zh-CN"/>
      </w:rPr>
    </w:lvl>
    <w:lvl w:ilvl="6">
      <w:start w:val="0"/>
      <w:numFmt w:val="bullet"/>
      <w:lvlText w:val="•"/>
      <w:lvlJc w:val="left"/>
      <w:pPr>
        <w:ind w:left="6371" w:hanging="216"/>
      </w:pPr>
      <w:rPr>
        <w:rFonts w:hint="default"/>
        <w:lang w:val="zh-CN" w:eastAsia="zh-CN" w:bidi="zh-CN"/>
      </w:rPr>
    </w:lvl>
    <w:lvl w:ilvl="7">
      <w:start w:val="0"/>
      <w:numFmt w:val="bullet"/>
      <w:lvlText w:val="•"/>
      <w:lvlJc w:val="left"/>
      <w:pPr>
        <w:ind w:left="7380" w:hanging="216"/>
      </w:pPr>
      <w:rPr>
        <w:rFonts w:hint="default"/>
        <w:lang w:val="zh-CN" w:eastAsia="zh-CN" w:bidi="zh-CN"/>
      </w:rPr>
    </w:lvl>
    <w:lvl w:ilvl="8">
      <w:start w:val="0"/>
      <w:numFmt w:val="bullet"/>
      <w:lvlText w:val="•"/>
      <w:lvlJc w:val="left"/>
      <w:pPr>
        <w:ind w:left="8388" w:hanging="216"/>
      </w:pPr>
      <w:rPr>
        <w:rFonts w:hint="default"/>
        <w:lang w:val="zh-CN" w:eastAsia="zh-CN" w:bidi="zh-CN"/>
      </w:rPr>
    </w:lvl>
  </w:abstractNum>
  <w:abstractNum w:abstractNumId="0">
    <w:multiLevelType w:val="hybridMultilevel"/>
    <w:lvl w:ilvl="0">
      <w:start w:val="1"/>
      <w:numFmt w:val="decimal"/>
      <w:lvlText w:val="%1）"/>
      <w:lvlJc w:val="left"/>
      <w:pPr>
        <w:ind w:left="720" w:hanging="268"/>
        <w:jc w:val="left"/>
      </w:pPr>
      <w:rPr>
        <w:rFonts w:hint="default"/>
        <w:b/>
        <w:bCs/>
        <w:spacing w:val="-4"/>
        <w:w w:val="99"/>
        <w:lang w:val="zh-CN" w:eastAsia="zh-CN" w:bidi="zh-CN"/>
      </w:rPr>
    </w:lvl>
    <w:lvl w:ilvl="1">
      <w:start w:val="0"/>
      <w:numFmt w:val="bullet"/>
      <w:lvlText w:val="•"/>
      <w:lvlJc w:val="left"/>
      <w:pPr>
        <w:ind w:left="1688" w:hanging="268"/>
      </w:pPr>
      <w:rPr>
        <w:rFonts w:hint="default"/>
        <w:lang w:val="zh-CN" w:eastAsia="zh-CN" w:bidi="zh-CN"/>
      </w:rPr>
    </w:lvl>
    <w:lvl w:ilvl="2">
      <w:start w:val="0"/>
      <w:numFmt w:val="bullet"/>
      <w:lvlText w:val="•"/>
      <w:lvlJc w:val="left"/>
      <w:pPr>
        <w:ind w:left="2657" w:hanging="268"/>
      </w:pPr>
      <w:rPr>
        <w:rFonts w:hint="default"/>
        <w:lang w:val="zh-CN" w:eastAsia="zh-CN" w:bidi="zh-CN"/>
      </w:rPr>
    </w:lvl>
    <w:lvl w:ilvl="3">
      <w:start w:val="0"/>
      <w:numFmt w:val="bullet"/>
      <w:lvlText w:val="•"/>
      <w:lvlJc w:val="left"/>
      <w:pPr>
        <w:ind w:left="3625" w:hanging="268"/>
      </w:pPr>
      <w:rPr>
        <w:rFonts w:hint="default"/>
        <w:lang w:val="zh-CN" w:eastAsia="zh-CN" w:bidi="zh-CN"/>
      </w:rPr>
    </w:lvl>
    <w:lvl w:ilvl="4">
      <w:start w:val="0"/>
      <w:numFmt w:val="bullet"/>
      <w:lvlText w:val="•"/>
      <w:lvlJc w:val="left"/>
      <w:pPr>
        <w:ind w:left="4594" w:hanging="268"/>
      </w:pPr>
      <w:rPr>
        <w:rFonts w:hint="default"/>
        <w:lang w:val="zh-CN" w:eastAsia="zh-CN" w:bidi="zh-CN"/>
      </w:rPr>
    </w:lvl>
    <w:lvl w:ilvl="5">
      <w:start w:val="0"/>
      <w:numFmt w:val="bullet"/>
      <w:lvlText w:val="•"/>
      <w:lvlJc w:val="left"/>
      <w:pPr>
        <w:ind w:left="5563" w:hanging="268"/>
      </w:pPr>
      <w:rPr>
        <w:rFonts w:hint="default"/>
        <w:lang w:val="zh-CN" w:eastAsia="zh-CN" w:bidi="zh-CN"/>
      </w:rPr>
    </w:lvl>
    <w:lvl w:ilvl="6">
      <w:start w:val="0"/>
      <w:numFmt w:val="bullet"/>
      <w:lvlText w:val="•"/>
      <w:lvlJc w:val="left"/>
      <w:pPr>
        <w:ind w:left="6531" w:hanging="268"/>
      </w:pPr>
      <w:rPr>
        <w:rFonts w:hint="default"/>
        <w:lang w:val="zh-CN" w:eastAsia="zh-CN" w:bidi="zh-CN"/>
      </w:rPr>
    </w:lvl>
    <w:lvl w:ilvl="7">
      <w:start w:val="0"/>
      <w:numFmt w:val="bullet"/>
      <w:lvlText w:val="•"/>
      <w:lvlJc w:val="left"/>
      <w:pPr>
        <w:ind w:left="7500" w:hanging="268"/>
      </w:pPr>
      <w:rPr>
        <w:rFonts w:hint="default"/>
        <w:lang w:val="zh-CN" w:eastAsia="zh-CN" w:bidi="zh-CN"/>
      </w:rPr>
    </w:lvl>
    <w:lvl w:ilvl="8">
      <w:start w:val="0"/>
      <w:numFmt w:val="bullet"/>
      <w:lvlText w:val="•"/>
      <w:lvlJc w:val="left"/>
      <w:pPr>
        <w:ind w:left="8468" w:hanging="268"/>
      </w:pPr>
      <w:rPr>
        <w:rFonts w:hint="default"/>
        <w:lang w:val="zh-CN" w:eastAsia="zh-CN" w:bidi="zh-CN"/>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ind w:left="107"/>
    </w:pPr>
    <w:rPr>
      <w:rFonts w:ascii="宋体" w:hAnsi="宋体" w:eastAsia="宋体" w:cs="宋体"/>
      <w:sz w:val="18"/>
      <w:szCs w:val="18"/>
      <w:lang w:val="zh-CN" w:eastAsia="zh-CN" w:bidi="zh-CN"/>
    </w:rPr>
  </w:style>
  <w:style w:styleId="Heading1" w:type="paragraph">
    <w:name w:val="Heading 1"/>
    <w:basedOn w:val="Normal"/>
    <w:uiPriority w:val="1"/>
    <w:qFormat/>
    <w:pPr>
      <w:spacing w:line="190" w:lineRule="exact"/>
      <w:ind w:left="107"/>
      <w:outlineLvl w:val="1"/>
    </w:pPr>
    <w:rPr>
      <w:rFonts w:ascii="宋体" w:hAnsi="宋体" w:eastAsia="宋体" w:cs="宋体"/>
      <w:b/>
      <w:bCs/>
      <w:sz w:val="18"/>
      <w:szCs w:val="18"/>
      <w:lang w:val="zh-CN" w:eastAsia="zh-CN" w:bidi="zh-CN"/>
    </w:rPr>
  </w:style>
  <w:style w:styleId="ListParagraph" w:type="paragraph">
    <w:name w:val="List Paragraph"/>
    <w:basedOn w:val="Normal"/>
    <w:uiPriority w:val="1"/>
    <w:qFormat/>
    <w:pPr>
      <w:spacing w:line="190" w:lineRule="exact"/>
      <w:ind w:left="323" w:hanging="305"/>
    </w:pPr>
    <w:rPr>
      <w:rFonts w:ascii="宋体" w:hAnsi="宋体" w:eastAsia="宋体" w:cs="宋体"/>
      <w:lang w:val="zh-CN" w:eastAsia="zh-CN" w:bidi="zh-CN"/>
    </w:rPr>
  </w:style>
  <w:style w:styleId="TableParagraph" w:type="paragraph">
    <w:name w:val="Table Paragraph"/>
    <w:basedOn w:val="Normal"/>
    <w:uiPriority w:val="1"/>
    <w:qFormat/>
    <w:pPr>
      <w:spacing w:line="170" w:lineRule="exact"/>
      <w:ind w:left="109"/>
      <w:jc w:val="center"/>
    </w:pPr>
    <w:rPr>
      <w:rFonts w:ascii="Times New Roman" w:hAnsi="Times New Roman" w:eastAsia="Times New Roman" w:cs="Times New Roman"/>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dc:creator>
  <dc:title>医疗器械注册产品标准</dc:title>
  <dcterms:created xsi:type="dcterms:W3CDTF">2021-04-21T13:46:26Z</dcterms:created>
  <dcterms:modified xsi:type="dcterms:W3CDTF">2021-04-21T13:46:26Z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WPS 文字</vt:lpwstr>
  </property>
  <property fmtid="{D5CDD505-2E9C-101B-9397-08002B2CF9AE}" pid="4" name="LastSaved">
    <vt:filetime>2021-04-21T00:00:00Z</vt:filetime>
  </property>
</Properties>
</file>