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left="0"/>
        <w:rPr>
          <w:rFonts w:ascii="Times New Roman"/>
        </w:rPr>
      </w:pPr>
    </w:p>
    <w:p>
      <w:pPr>
        <w:pStyle w:val="BodyText"/>
        <w:spacing w:line="240" w:lineRule="auto" w:before="3"/>
        <w:ind w:left="0"/>
        <w:rPr>
          <w:rFonts w:ascii="Times New Roman"/>
          <w:sz w:val="20"/>
        </w:rPr>
      </w:pPr>
    </w:p>
    <w:p>
      <w:pPr>
        <w:pStyle w:val="Heading1"/>
        <w:spacing w:line="219" w:lineRule="exact"/>
      </w:pPr>
      <w:r>
        <w:rPr/>
        <w:t>【产品名称】</w:t>
      </w:r>
    </w:p>
    <w:p>
      <w:pPr>
        <w:spacing w:before="110"/>
        <w:ind w:left="127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sz w:val="21"/>
        </w:rPr>
        <w:t>单纯疱疹病毒</w:t>
      </w:r>
      <w:r>
        <w:rPr>
          <w:rFonts w:ascii="Times New Roman" w:eastAsia="Times New Roman"/>
          <w:b/>
          <w:sz w:val="21"/>
        </w:rPr>
        <w:t>2</w:t>
      </w:r>
      <w:r>
        <w:rPr>
          <w:b/>
          <w:sz w:val="21"/>
        </w:rPr>
        <w:t>型核酸检测试剂盒（</w:t>
      </w:r>
      <w:r>
        <w:rPr>
          <w:rFonts w:ascii="Times New Roman" w:eastAsia="Times New Roman"/>
          <w:b/>
          <w:sz w:val="21"/>
        </w:rPr>
        <w:t>PCR-</w:t>
      </w:r>
      <w:r>
        <w:rPr>
          <w:b/>
          <w:sz w:val="21"/>
        </w:rPr>
        <w:t>荧光探针法）说明书</w:t>
      </w:r>
    </w:p>
    <w:p>
      <w:pPr>
        <w:spacing w:after="0"/>
        <w:jc w:val="left"/>
        <w:rPr>
          <w:sz w:val="21"/>
        </w:rPr>
        <w:sectPr>
          <w:headerReference w:type="default" r:id="rId5"/>
          <w:footerReference w:type="default" r:id="rId6"/>
          <w:type w:val="continuous"/>
          <w:pgSz w:w="11910" w:h="16840"/>
          <w:pgMar w:header="462" w:footer="460" w:top="660" w:bottom="640" w:left="780" w:right="680"/>
          <w:pgNumType w:start="1"/>
          <w:cols w:num="2" w:equalWidth="0">
            <w:col w:w="1231" w:space="994"/>
            <w:col w:w="8225"/>
          </w:cols>
        </w:sectPr>
      </w:pPr>
    </w:p>
    <w:p>
      <w:pPr>
        <w:pStyle w:val="BodyText"/>
        <w:spacing w:line="197" w:lineRule="exact"/>
        <w:rPr>
          <w:rFonts w:ascii="Times New Roman" w:eastAsia="Times New Roman"/>
        </w:rPr>
      </w:pPr>
      <w:r>
        <w:rPr/>
        <w:pict>
          <v:line style="position:absolute;mso-position-horizontal-relative:page;mso-position-vertical-relative:page;z-index:251658240" from="45.349998pt,35.710026pt" to="549.949998pt,35.710026pt" stroked="true" strokeweight=".72pt" strokecolor="#000000">
            <v:stroke dashstyle="solid"/>
            <w10:wrap type="none"/>
          </v:line>
        </w:pict>
      </w:r>
      <w:r>
        <w:rPr/>
        <w:t>通用名称：单纯疱疹病毒 </w:t>
      </w:r>
      <w:r>
        <w:rPr>
          <w:rFonts w:ascii="Times New Roman" w:eastAsia="Times New Roman"/>
        </w:rPr>
        <w:t>2 </w:t>
      </w:r>
      <w:r>
        <w:rPr/>
        <w:t>型核酸检测试剂盒</w:t>
      </w:r>
      <w:r>
        <w:rPr>
          <w:rFonts w:ascii="Times New Roman" w:eastAsia="Times New Roman"/>
        </w:rPr>
        <w:t>(PCR-</w:t>
      </w:r>
      <w:r>
        <w:rPr/>
        <w:t>荧光探针法</w:t>
      </w:r>
      <w:r>
        <w:rPr>
          <w:rFonts w:ascii="Times New Roman" w:eastAsia="Times New Roman"/>
        </w:rPr>
        <w:t>)</w:t>
      </w:r>
    </w:p>
    <w:p>
      <w:pPr>
        <w:spacing w:line="200" w:lineRule="exact" w:before="0"/>
        <w:ind w:left="127" w:right="0" w:firstLine="0"/>
        <w:jc w:val="left"/>
        <w:rPr>
          <w:sz w:val="18"/>
        </w:rPr>
      </w:pPr>
      <w:r>
        <w:rPr>
          <w:b/>
          <w:sz w:val="18"/>
        </w:rPr>
        <w:t>【包装规格】</w:t>
      </w:r>
      <w:r>
        <w:rPr>
          <w:rFonts w:ascii="Times New Roman" w:eastAsia="Times New Roman"/>
          <w:sz w:val="18"/>
        </w:rPr>
        <w:t>48 </w:t>
      </w:r>
      <w:r>
        <w:rPr>
          <w:sz w:val="18"/>
        </w:rPr>
        <w:t>人份</w:t>
      </w:r>
      <w:r>
        <w:rPr>
          <w:rFonts w:ascii="Times New Roman" w:eastAsia="Times New Roman"/>
          <w:sz w:val="18"/>
        </w:rPr>
        <w:t>/</w:t>
      </w:r>
      <w:r>
        <w:rPr>
          <w:sz w:val="18"/>
        </w:rPr>
        <w:t>盒</w:t>
      </w:r>
    </w:p>
    <w:p>
      <w:pPr>
        <w:pStyle w:val="Heading1"/>
      </w:pPr>
      <w:r>
        <w:rPr/>
        <w:t>【预期用途】</w:t>
      </w:r>
    </w:p>
    <w:p>
      <w:pPr>
        <w:pStyle w:val="BodyText"/>
        <w:ind w:left="480"/>
      </w:pPr>
      <w:r>
        <w:rPr/>
        <w:t>本试剂盒适用于定性检测男性尿道拭子样本、女性宫颈拭子样本中的单纯疱疹病毒 </w:t>
      </w:r>
      <w:r>
        <w:rPr>
          <w:rFonts w:ascii="Times New Roman" w:eastAsia="Times New Roman"/>
        </w:rPr>
        <w:t>2 </w:t>
      </w:r>
      <w:r>
        <w:rPr/>
        <w:t>型（</w:t>
      </w:r>
      <w:r>
        <w:rPr>
          <w:rFonts w:ascii="Times New Roman" w:eastAsia="Times New Roman"/>
        </w:rPr>
        <w:t>HSV-2</w:t>
      </w:r>
      <w:r>
        <w:rPr/>
        <w:t>）</w:t>
      </w:r>
      <w:r>
        <w:rPr>
          <w:rFonts w:ascii="Times New Roman" w:eastAsia="Times New Roman"/>
        </w:rPr>
        <w:t>DNA</w:t>
      </w:r>
      <w:r>
        <w:rPr/>
        <w:t>。</w:t>
      </w:r>
    </w:p>
    <w:p>
      <w:pPr>
        <w:pStyle w:val="BodyText"/>
        <w:ind w:left="480"/>
      </w:pPr>
      <w:r>
        <w:rPr>
          <w:spacing w:val="-9"/>
        </w:rPr>
        <w:t>检测结果可用于单纯疱疹病毒 </w:t>
      </w:r>
      <w:r>
        <w:rPr>
          <w:rFonts w:ascii="Times New Roman" w:eastAsia="Times New Roman"/>
        </w:rPr>
        <w:t>2 </w:t>
      </w:r>
      <w:r>
        <w:rPr>
          <w:spacing w:val="-5"/>
        </w:rPr>
        <w:t>型</w:t>
      </w:r>
      <w:r>
        <w:rPr>
          <w:spacing w:val="-6"/>
        </w:rPr>
        <w:t>（</w:t>
      </w:r>
      <w:r>
        <w:rPr>
          <w:rFonts w:ascii="Times New Roman" w:eastAsia="Times New Roman"/>
          <w:spacing w:val="-6"/>
        </w:rPr>
        <w:t>HSV-2</w:t>
      </w:r>
      <w:r>
        <w:rPr>
          <w:spacing w:val="-6"/>
        </w:rPr>
        <w:t>）</w:t>
      </w:r>
      <w:r>
        <w:rPr>
          <w:spacing w:val="-5"/>
        </w:rPr>
        <w:t>感染的辅助诊断，为性病的早期诊断以及性病高危人群的初筛提供分子诊断依据。</w:t>
      </w:r>
    </w:p>
    <w:p>
      <w:pPr>
        <w:pStyle w:val="Heading1"/>
      </w:pPr>
      <w:r>
        <w:rPr/>
        <w:t>【检验原理】</w:t>
      </w:r>
    </w:p>
    <w:p>
      <w:pPr>
        <w:pStyle w:val="BodyText"/>
        <w:spacing w:line="208" w:lineRule="auto" w:before="7"/>
        <w:ind w:right="220" w:firstLine="352"/>
        <w:jc w:val="both"/>
      </w:pPr>
      <w:r>
        <w:rPr>
          <w:spacing w:val="-7"/>
        </w:rPr>
        <w:t>本试剂盒采用核酸释放剂快速裂解、释放生殖道分泌物样本中的单纯疱疹病毒 </w:t>
      </w:r>
      <w:r>
        <w:rPr>
          <w:rFonts w:ascii="Times New Roman" w:eastAsia="Times New Roman"/>
        </w:rPr>
        <w:t>2 </w:t>
      </w:r>
      <w:r>
        <w:rPr>
          <w:spacing w:val="-5"/>
        </w:rPr>
        <w:t>型（</w:t>
      </w:r>
      <w:r>
        <w:rPr>
          <w:rFonts w:ascii="Times New Roman" w:eastAsia="Times New Roman"/>
          <w:spacing w:val="-5"/>
        </w:rPr>
        <w:t>HSV-2</w:t>
      </w:r>
      <w:r>
        <w:rPr>
          <w:spacing w:val="-5"/>
        </w:rPr>
        <w:t>） </w:t>
      </w:r>
      <w:r>
        <w:rPr>
          <w:rFonts w:ascii="Times New Roman" w:eastAsia="Times New Roman"/>
          <w:spacing w:val="-3"/>
        </w:rPr>
        <w:t>DNA</w:t>
      </w:r>
      <w:r>
        <w:rPr>
          <w:spacing w:val="-9"/>
        </w:rPr>
        <w:t>，利用针对单纯疱疹病毒 </w:t>
      </w:r>
      <w:r>
        <w:rPr>
          <w:rFonts w:ascii="Times New Roman" w:eastAsia="Times New Roman"/>
        </w:rPr>
        <w:t>2 </w:t>
      </w:r>
      <w:r>
        <w:rPr>
          <w:spacing w:val="-10"/>
        </w:rPr>
        <w:t>型</w:t>
      </w:r>
      <w:r>
        <w:rPr>
          <w:spacing w:val="-7"/>
        </w:rPr>
        <w:t>（</w:t>
      </w:r>
      <w:r>
        <w:rPr>
          <w:rFonts w:ascii="Times New Roman" w:eastAsia="Times New Roman"/>
          <w:spacing w:val="-7"/>
        </w:rPr>
        <w:t>HSV-2</w:t>
      </w:r>
      <w:r>
        <w:rPr>
          <w:spacing w:val="-7"/>
        </w:rPr>
        <w:t>）</w:t>
      </w:r>
      <w:r>
        <w:rPr>
          <w:spacing w:val="-6"/>
        </w:rPr>
        <w:t>核酸保守区设计的一对特异性引物、一条特异荧光探针，配以</w:t>
      </w:r>
      <w:r>
        <w:rPr>
          <w:rFonts w:ascii="Times New Roman" w:eastAsia="Times New Roman"/>
        </w:rPr>
        <w:t>PCR </w:t>
      </w:r>
      <w:r>
        <w:rPr>
          <w:spacing w:val="-3"/>
        </w:rPr>
        <w:t>反应液等组分，在荧光定量</w:t>
      </w:r>
      <w:r>
        <w:rPr>
          <w:rFonts w:ascii="Times New Roman" w:eastAsia="Times New Roman"/>
        </w:rPr>
        <w:t>PCR </w:t>
      </w:r>
      <w:r>
        <w:rPr>
          <w:spacing w:val="-7"/>
        </w:rPr>
        <w:t>仪上，应用实时荧</w:t>
      </w:r>
      <w:r>
        <w:rPr>
          <w:spacing w:val="10"/>
        </w:rPr>
        <w:t>光定量</w:t>
      </w:r>
      <w:r>
        <w:rPr>
          <w:rFonts w:ascii="Times New Roman" w:eastAsia="Times New Roman"/>
        </w:rPr>
        <w:t>PCR </w:t>
      </w:r>
      <w:r>
        <w:rPr>
          <w:spacing w:val="-8"/>
        </w:rPr>
        <w:t>检测技术，通过荧光信号的变化实现单纯疱疹病毒 </w:t>
      </w:r>
      <w:r>
        <w:rPr>
          <w:rFonts w:ascii="Times New Roman" w:eastAsia="Times New Roman"/>
        </w:rPr>
        <w:t>2 </w:t>
      </w:r>
      <w:r>
        <w:rPr>
          <w:spacing w:val="-5"/>
        </w:rPr>
        <w:t>型（</w:t>
      </w:r>
      <w:r>
        <w:rPr>
          <w:rFonts w:ascii="Times New Roman" w:eastAsia="Times New Roman"/>
          <w:spacing w:val="-5"/>
        </w:rPr>
        <w:t>HSV-2</w:t>
      </w:r>
      <w:r>
        <w:rPr>
          <w:spacing w:val="-5"/>
        </w:rPr>
        <w:t>） </w:t>
      </w:r>
      <w:r>
        <w:rPr>
          <w:rFonts w:ascii="Times New Roman" w:eastAsia="Times New Roman"/>
        </w:rPr>
        <w:t>DNA </w:t>
      </w:r>
      <w:r>
        <w:rPr>
          <w:spacing w:val="-5"/>
        </w:rPr>
        <w:t>的快速检测。</w:t>
      </w:r>
    </w:p>
    <w:p>
      <w:pPr>
        <w:pStyle w:val="BodyText"/>
        <w:spacing w:line="208" w:lineRule="auto"/>
        <w:ind w:right="217" w:firstLine="352"/>
        <w:jc w:val="both"/>
      </w:pPr>
      <w:r>
        <w:rPr>
          <w:spacing w:val="-3"/>
        </w:rPr>
        <w:t>整个试验过程无须单独提取样本中的</w:t>
      </w:r>
      <w:r>
        <w:rPr>
          <w:rFonts w:ascii="Times New Roman" w:eastAsia="Times New Roman"/>
          <w:spacing w:val="-3"/>
        </w:rPr>
        <w:t>DNA</w:t>
      </w:r>
      <w:r>
        <w:rPr>
          <w:spacing w:val="-2"/>
        </w:rPr>
        <w:t>，只需将样本洗脱液直接加入</w:t>
      </w:r>
      <w:r>
        <w:rPr>
          <w:rFonts w:ascii="Times New Roman" w:eastAsia="Times New Roman"/>
        </w:rPr>
        <w:t>PCR </w:t>
      </w:r>
      <w:r>
        <w:rPr>
          <w:spacing w:val="-3"/>
        </w:rPr>
        <w:t>反应管中与核酸释放剂充分混合即可作为</w:t>
      </w:r>
      <w:r>
        <w:rPr>
          <w:rFonts w:ascii="Times New Roman" w:eastAsia="Times New Roman"/>
        </w:rPr>
        <w:t>PCR </w:t>
      </w:r>
      <w:r>
        <w:rPr/>
        <w:t>扩</w:t>
      </w:r>
      <w:r>
        <w:rPr>
          <w:spacing w:val="-5"/>
        </w:rPr>
        <w:t>增的模板，避免了常规核酸提取过程中的环境污染。</w:t>
      </w:r>
    </w:p>
    <w:p>
      <w:pPr>
        <w:pStyle w:val="BodyText"/>
        <w:spacing w:line="191" w:lineRule="exact"/>
        <w:ind w:left="480"/>
        <w:jc w:val="both"/>
      </w:pPr>
      <w:r>
        <w:rPr>
          <w:rFonts w:ascii="Times New Roman" w:eastAsia="Times New Roman"/>
        </w:rPr>
        <w:t>PCR </w:t>
      </w:r>
      <w:r>
        <w:rPr/>
        <w:t>检测体系含有</w:t>
      </w:r>
      <w:r>
        <w:rPr>
          <w:rFonts w:ascii="Times New Roman" w:eastAsia="Times New Roman"/>
        </w:rPr>
        <w:t>UNG </w:t>
      </w:r>
      <w:r>
        <w:rPr/>
        <w:t>酶</w:t>
      </w:r>
      <w:r>
        <w:rPr>
          <w:rFonts w:ascii="Times New Roman" w:eastAsia="Times New Roman"/>
        </w:rPr>
        <w:t>+dUTP </w:t>
      </w:r>
      <w:r>
        <w:rPr/>
        <w:t>防污染措施，将可能的产物污染充分降解，避免假阳性结果。</w:t>
      </w:r>
    </w:p>
    <w:p>
      <w:pPr>
        <w:pStyle w:val="BodyText"/>
        <w:ind w:left="480"/>
        <w:jc w:val="both"/>
      </w:pPr>
      <w:r>
        <w:rPr>
          <w:rFonts w:ascii="Times New Roman" w:eastAsia="Times New Roman"/>
        </w:rPr>
        <w:t>P</w:t>
      </w:r>
      <w:r>
        <w:rPr>
          <w:rFonts w:ascii="Times New Roman" w:eastAsia="Times New Roman"/>
          <w:spacing w:val="-3"/>
        </w:rPr>
        <w:t>C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7"/>
        </w:rPr>
        <w:t> </w:t>
      </w:r>
      <w:r>
        <w:rPr>
          <w:spacing w:val="-5"/>
        </w:rPr>
        <w:t>检测体系含有阳性内对照（</w:t>
      </w:r>
      <w:r>
        <w:rPr>
          <w:spacing w:val="-4"/>
        </w:rPr>
        <w:t>内标</w:t>
      </w:r>
      <w:r>
        <w:rPr>
          <w:spacing w:val="-94"/>
        </w:rPr>
        <w:t>）</w:t>
      </w:r>
      <w:r>
        <w:rPr>
          <w:spacing w:val="-7"/>
        </w:rPr>
        <w:t>，通过检测内标是否正常来监测待测样本中是否具有 </w:t>
      </w:r>
      <w:r>
        <w:rPr>
          <w:rFonts w:ascii="Times New Roman" w:eastAsia="Times New Roman"/>
        </w:rPr>
        <w:t>P</w:t>
      </w:r>
      <w:r>
        <w:rPr>
          <w:rFonts w:ascii="Times New Roman" w:eastAsia="Times New Roman"/>
          <w:spacing w:val="-3"/>
        </w:rPr>
        <w:t>C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5"/>
        </w:rPr>
        <w:t> </w:t>
      </w:r>
      <w:r>
        <w:rPr>
          <w:spacing w:val="2"/>
        </w:rPr>
        <w:t>抑制物，避免</w:t>
      </w:r>
      <w:r>
        <w:rPr>
          <w:rFonts w:ascii="Times New Roman" w:eastAsia="Times New Roman"/>
        </w:rPr>
        <w:t>P</w:t>
      </w:r>
      <w:r>
        <w:rPr>
          <w:rFonts w:ascii="Times New Roman" w:eastAsia="Times New Roman"/>
          <w:spacing w:val="-3"/>
        </w:rPr>
        <w:t>C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5"/>
        </w:rPr>
        <w:t> </w:t>
      </w:r>
      <w:r>
        <w:rPr>
          <w:spacing w:val="-4"/>
        </w:rPr>
        <w:t>假阴性。</w:t>
      </w:r>
    </w:p>
    <w:p>
      <w:pPr>
        <w:pStyle w:val="Heading1"/>
        <w:spacing w:line="216" w:lineRule="exact"/>
      </w:pPr>
      <w:r>
        <w:rPr/>
        <w:t>【主要组成成分】</w:t>
      </w:r>
    </w:p>
    <w:tbl>
      <w:tblPr>
        <w:tblW w:w="0" w:type="auto"/>
        <w:jc w:val="left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8"/>
        <w:gridCol w:w="3504"/>
        <w:gridCol w:w="1406"/>
        <w:gridCol w:w="4570"/>
      </w:tblGrid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15" w:right="98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序号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试剂名称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规格与装量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3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主要成分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04" w:type="dxa"/>
          </w:tcPr>
          <w:p>
            <w:pPr>
              <w:pStyle w:val="TableParagraph"/>
              <w:ind w:left="76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性病（</w:t>
            </w:r>
            <w:r>
              <w:rPr>
                <w:sz w:val="18"/>
              </w:rPr>
              <w:t>STD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核酸释放剂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240μL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氯化钾、十二烷基硫酸钠、莎梵婷、无水乙醇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04" w:type="dxa"/>
          </w:tcPr>
          <w:p>
            <w:pPr>
              <w:pStyle w:val="TableParagraph"/>
              <w:ind w:left="76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性病（</w:t>
            </w:r>
            <w:r>
              <w:rPr>
                <w:sz w:val="18"/>
              </w:rPr>
              <w:t>STD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内标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pacing w:val="-5"/>
                <w:sz w:val="18"/>
              </w:rPr>
              <w:t>重组质粒（不含单纯疱疹病毒</w:t>
            </w:r>
            <w:r>
              <w:rPr>
                <w:spacing w:val="-4"/>
                <w:sz w:val="18"/>
              </w:rPr>
              <w:t>2</w:t>
            </w:r>
            <w:r>
              <w:rPr>
                <w:rFonts w:ascii="宋体" w:eastAsia="宋体" w:hint="eastAsia"/>
                <w:spacing w:val="-3"/>
                <w:sz w:val="18"/>
              </w:rPr>
              <w:t>型</w:t>
            </w:r>
            <w:r>
              <w:rPr>
                <w:rFonts w:ascii="宋体" w:eastAsia="宋体" w:hint="eastAsia"/>
                <w:spacing w:val="-6"/>
                <w:sz w:val="18"/>
              </w:rPr>
              <w:t>（</w:t>
            </w:r>
            <w:r>
              <w:rPr>
                <w:spacing w:val="-6"/>
                <w:sz w:val="18"/>
              </w:rPr>
              <w:t>HSV-2</w:t>
            </w:r>
            <w:r>
              <w:rPr>
                <w:rFonts w:ascii="宋体" w:eastAsia="宋体" w:hint="eastAsia"/>
                <w:spacing w:val="-6"/>
                <w:sz w:val="18"/>
              </w:rPr>
              <w:t>）</w:t>
            </w:r>
            <w:r>
              <w:rPr>
                <w:rFonts w:ascii="宋体" w:eastAsia="宋体" w:hint="eastAsia"/>
                <w:spacing w:val="-5"/>
                <w:sz w:val="18"/>
              </w:rPr>
              <w:t>扩增靶序列</w:t>
            </w:r>
            <w:r>
              <w:rPr>
                <w:rFonts w:ascii="宋体" w:eastAsia="宋体" w:hint="eastAsia"/>
                <w:sz w:val="18"/>
              </w:rPr>
              <w:t>）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酶混合液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120μL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8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Taq</w:t>
            </w:r>
            <w:r>
              <w:rPr>
                <w:rFonts w:ascii="宋体" w:eastAsia="宋体" w:hint="eastAsia"/>
                <w:sz w:val="18"/>
              </w:rPr>
              <w:t>酶、</w:t>
            </w:r>
            <w:r>
              <w:rPr>
                <w:sz w:val="18"/>
              </w:rPr>
              <w:t>UNG</w:t>
            </w:r>
            <w:r>
              <w:rPr>
                <w:rFonts w:ascii="宋体" w:eastAsia="宋体" w:hint="eastAsia"/>
                <w:sz w:val="18"/>
              </w:rPr>
              <w:t>酶</w:t>
            </w:r>
          </w:p>
        </w:tc>
      </w:tr>
      <w:tr>
        <w:trPr>
          <w:trHeight w:val="199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-PCR</w:t>
            </w:r>
            <w:r>
              <w:rPr>
                <w:rFonts w:ascii="宋体" w:eastAsia="宋体" w:hint="eastAsia"/>
                <w:sz w:val="18"/>
              </w:rPr>
              <w:t>反应液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912μL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×2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20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引物、探针、</w:t>
            </w:r>
            <w:r>
              <w:rPr>
                <w:sz w:val="18"/>
              </w:rPr>
              <w:t>dNTPs</w:t>
            </w:r>
            <w:r>
              <w:rPr>
                <w:rFonts w:ascii="宋体" w:eastAsia="宋体" w:hint="eastAsia"/>
                <w:sz w:val="18"/>
              </w:rPr>
              <w:t>、</w:t>
            </w:r>
            <w:r>
              <w:rPr>
                <w:sz w:val="18"/>
              </w:rPr>
              <w:t>Mg</w:t>
            </w:r>
            <w:r>
              <w:rPr>
                <w:position w:val="6"/>
                <w:sz w:val="11"/>
              </w:rPr>
              <w:t>2+</w:t>
            </w:r>
            <w:r>
              <w:rPr>
                <w:rFonts w:ascii="宋体" w:eastAsia="宋体" w:hint="eastAsia"/>
                <w:sz w:val="18"/>
              </w:rPr>
              <w:t>、</w:t>
            </w:r>
            <w:r>
              <w:rPr>
                <w:sz w:val="18"/>
              </w:rPr>
              <w:t>PCR buffer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A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）扩增靶序列的重组质粒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B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）扩增靶序列的重组质粒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C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）扩增靶序列的重组质粒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D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）扩增靶序列的重组质粒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阴性对照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8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）临床阴性样本（已灭活）</w:t>
            </w:r>
          </w:p>
        </w:tc>
      </w:tr>
      <w:tr>
        <w:trPr>
          <w:trHeight w:val="200" w:hRule="atLeast"/>
        </w:trPr>
        <w:tc>
          <w:tcPr>
            <w:tcW w:w="628" w:type="dxa"/>
          </w:tcPr>
          <w:p>
            <w:pPr>
              <w:pStyle w:val="TableParagraph"/>
              <w:ind w:left="115" w:right="97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04" w:type="dxa"/>
          </w:tcPr>
          <w:p>
            <w:pPr>
              <w:pStyle w:val="TableParagraph"/>
              <w:ind w:left="79" w:right="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阳性对照</w:t>
            </w:r>
          </w:p>
        </w:tc>
        <w:tc>
          <w:tcPr>
            <w:tcW w:w="1406" w:type="dxa"/>
          </w:tcPr>
          <w:p>
            <w:pPr>
              <w:pStyle w:val="TableParagraph"/>
              <w:ind w:right="10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45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8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单纯疱疹病毒</w:t>
            </w:r>
            <w:r>
              <w:rPr>
                <w:sz w:val="18"/>
              </w:rPr>
              <w:t>2</w:t>
            </w:r>
            <w:r>
              <w:rPr>
                <w:rFonts w:ascii="宋体" w:eastAsia="宋体" w:hint="eastAsia"/>
                <w:sz w:val="18"/>
              </w:rPr>
              <w:t>型（</w:t>
            </w:r>
            <w:r>
              <w:rPr>
                <w:sz w:val="18"/>
              </w:rPr>
              <w:t>HSV-2</w:t>
            </w:r>
            <w:r>
              <w:rPr>
                <w:rFonts w:ascii="宋体" w:eastAsia="宋体" w:hint="eastAsia"/>
                <w:sz w:val="18"/>
              </w:rPr>
              <w:t>）临床阳性样本（已灭活）</w:t>
            </w:r>
          </w:p>
        </w:tc>
      </w:tr>
    </w:tbl>
    <w:p>
      <w:pPr>
        <w:spacing w:line="183" w:lineRule="exact" w:before="0"/>
        <w:ind w:left="127" w:right="0" w:firstLine="0"/>
        <w:jc w:val="left"/>
        <w:rPr>
          <w:b/>
          <w:sz w:val="18"/>
        </w:rPr>
      </w:pPr>
      <w:r>
        <w:rPr>
          <w:b/>
          <w:sz w:val="18"/>
        </w:rPr>
        <w:t>备注：</w:t>
      </w:r>
      <w:r>
        <w:rPr>
          <w:rFonts w:ascii="Times New Roman" w:eastAsia="Times New Roman"/>
          <w:b/>
          <w:sz w:val="18"/>
        </w:rPr>
        <w:t>1</w:t>
      </w:r>
      <w:r>
        <w:rPr>
          <w:b/>
          <w:sz w:val="18"/>
        </w:rPr>
        <w:t>）不同批号产品的成分之间不可以混用或互换。</w:t>
      </w:r>
    </w:p>
    <w:p>
      <w:pPr>
        <w:pStyle w:val="ListParagraph"/>
        <w:numPr>
          <w:ilvl w:val="0"/>
          <w:numId w:val="1"/>
        </w:numPr>
        <w:tabs>
          <w:tab w:pos="913" w:val="left" w:leader="none"/>
        </w:tabs>
        <w:spacing w:line="199" w:lineRule="exact" w:before="0" w:after="0"/>
        <w:ind w:left="913" w:right="0" w:hanging="270"/>
        <w:jc w:val="left"/>
        <w:rPr>
          <w:sz w:val="18"/>
        </w:rPr>
      </w:pPr>
      <w:r>
        <w:rPr>
          <w:spacing w:val="-5"/>
          <w:sz w:val="18"/>
        </w:rPr>
        <w:t>试剂盒内的生物样本均已经灭活处理；</w:t>
      </w:r>
      <w:r>
        <w:rPr>
          <w:rFonts w:ascii="Times New Roman" w:eastAsia="Times New Roman"/>
          <w:spacing w:val="-5"/>
          <w:sz w:val="18"/>
        </w:rPr>
        <w:t>HSV-2</w:t>
      </w:r>
      <w:r>
        <w:rPr>
          <w:rFonts w:ascii="Times New Roman" w:eastAsia="Times New Roman"/>
          <w:spacing w:val="-7"/>
          <w:sz w:val="18"/>
        </w:rPr>
        <w:t> </w:t>
      </w:r>
      <w:r>
        <w:rPr>
          <w:spacing w:val="4"/>
          <w:sz w:val="18"/>
        </w:rPr>
        <w:t>定量参考品</w:t>
      </w:r>
      <w:r>
        <w:rPr>
          <w:rFonts w:ascii="Times New Roman" w:eastAsia="Times New Roman"/>
          <w:sz w:val="18"/>
        </w:rPr>
        <w:t>A</w:t>
      </w:r>
      <w:r>
        <w:rPr>
          <w:sz w:val="18"/>
        </w:rPr>
        <w:t>～</w:t>
      </w:r>
      <w:r>
        <w:rPr>
          <w:rFonts w:ascii="Times New Roman" w:eastAsia="Times New Roman"/>
          <w:sz w:val="18"/>
        </w:rPr>
        <w:t>D</w:t>
      </w:r>
      <w:r>
        <w:rPr>
          <w:rFonts w:asci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的具体浓度请参照试剂盒内给定值。</w:t>
      </w:r>
    </w:p>
    <w:p>
      <w:pPr>
        <w:pStyle w:val="ListParagraph"/>
        <w:numPr>
          <w:ilvl w:val="0"/>
          <w:numId w:val="1"/>
        </w:numPr>
        <w:tabs>
          <w:tab w:pos="913" w:val="left" w:leader="none"/>
        </w:tabs>
        <w:spacing w:line="200" w:lineRule="exact" w:before="0" w:after="0"/>
        <w:ind w:left="913" w:right="0" w:hanging="270"/>
        <w:jc w:val="left"/>
        <w:rPr>
          <w:sz w:val="18"/>
        </w:rPr>
      </w:pPr>
      <w:r>
        <w:rPr>
          <w:spacing w:val="-5"/>
          <w:sz w:val="18"/>
        </w:rPr>
        <w:t>自备试剂：灭菌生理盐水。</w:t>
      </w:r>
    </w:p>
    <w:p>
      <w:pPr>
        <w:pStyle w:val="Heading1"/>
        <w:spacing w:line="200" w:lineRule="exact"/>
      </w:pPr>
      <w:r>
        <w:rPr/>
        <w:t>【储存条件及有效期】</w:t>
      </w:r>
    </w:p>
    <w:p>
      <w:pPr>
        <w:pStyle w:val="BodyText"/>
        <w:spacing w:line="199" w:lineRule="exact"/>
        <w:ind w:left="484"/>
      </w:pPr>
      <w:r>
        <w:rPr/>
        <w:t>试剂应避光密闭储存于</w:t>
      </w:r>
      <w:r>
        <w:rPr>
          <w:rFonts w:ascii="Times New Roman" w:hAnsi="Times New Roman" w:eastAsia="Times New Roman"/>
        </w:rPr>
        <w:t>-20±5</w:t>
      </w:r>
      <w:r>
        <w:rPr/>
        <w:t>℃；试剂盒有效期为 </w:t>
      </w:r>
      <w:r>
        <w:rPr>
          <w:rFonts w:ascii="Times New Roman" w:hAnsi="Times New Roman" w:eastAsia="Times New Roman"/>
        </w:rPr>
        <w:t>12 </w:t>
      </w:r>
      <w:r>
        <w:rPr/>
        <w:t>个月，避免反复冻融。生产日期，失效日期请见外包装盒。</w:t>
      </w:r>
    </w:p>
    <w:p>
      <w:pPr>
        <w:pStyle w:val="Heading1"/>
        <w:spacing w:line="200" w:lineRule="exact"/>
      </w:pPr>
      <w:r>
        <w:rPr/>
        <w:t>【适用仪器】</w:t>
      </w:r>
    </w:p>
    <w:p>
      <w:pPr>
        <w:pStyle w:val="BodyText"/>
        <w:ind w:left="484"/>
        <w:jc w:val="both"/>
      </w:pPr>
      <w:r>
        <w:rPr/>
        <w:t>适用于</w:t>
      </w:r>
      <w:r>
        <w:rPr>
          <w:rFonts w:ascii="Times New Roman" w:eastAsia="Times New Roman"/>
        </w:rPr>
        <w:t>ABI 7500 </w:t>
      </w:r>
      <w:r>
        <w:rPr/>
        <w:t>荧光</w:t>
      </w:r>
      <w:r>
        <w:rPr>
          <w:rFonts w:ascii="Times New Roman" w:eastAsia="Times New Roman"/>
        </w:rPr>
        <w:t>PCR </w:t>
      </w:r>
      <w:r>
        <w:rPr/>
        <w:t>仪、</w:t>
      </w:r>
      <w:r>
        <w:rPr>
          <w:rFonts w:ascii="Times New Roman" w:eastAsia="Times New Roman"/>
        </w:rPr>
        <w:t>Stratagene Mx3000P </w:t>
      </w:r>
      <w:r>
        <w:rPr/>
        <w:t>荧光</w:t>
      </w:r>
      <w:r>
        <w:rPr>
          <w:rFonts w:ascii="Times New Roman" w:eastAsia="Times New Roman"/>
        </w:rPr>
        <w:t>PCR </w:t>
      </w:r>
      <w:r>
        <w:rPr/>
        <w:t>仪、</w:t>
      </w:r>
      <w:r>
        <w:rPr>
          <w:rFonts w:ascii="Times New Roman" w:eastAsia="Times New Roman"/>
        </w:rPr>
        <w:t>Roche Light Cycler 480 </w:t>
      </w:r>
      <w:r>
        <w:rPr/>
        <w:t>荧光</w:t>
      </w:r>
      <w:r>
        <w:rPr>
          <w:rFonts w:ascii="Times New Roman" w:eastAsia="Times New Roman"/>
        </w:rPr>
        <w:t>PCR </w:t>
      </w:r>
      <w:r>
        <w:rPr/>
        <w:t>仪。</w:t>
      </w:r>
    </w:p>
    <w:p>
      <w:pPr>
        <w:pStyle w:val="Heading1"/>
      </w:pPr>
      <w:r>
        <w:rPr/>
        <w:t>【样本要求】</w:t>
      </w:r>
    </w:p>
    <w:p>
      <w:pPr>
        <w:pStyle w:val="ListParagraph"/>
        <w:numPr>
          <w:ilvl w:val="0"/>
          <w:numId w:val="2"/>
        </w:numPr>
        <w:tabs>
          <w:tab w:pos="300" w:val="left" w:leader="none"/>
        </w:tabs>
        <w:spacing w:line="200" w:lineRule="exact" w:before="0" w:after="0"/>
        <w:ind w:left="300" w:right="0" w:hanging="173"/>
        <w:jc w:val="left"/>
        <w:rPr>
          <w:sz w:val="18"/>
        </w:rPr>
      </w:pPr>
      <w:r>
        <w:rPr>
          <w:spacing w:val="-5"/>
          <w:sz w:val="18"/>
        </w:rPr>
        <w:t>适用样本类型：生殖道分泌物样本。</w:t>
      </w:r>
    </w:p>
    <w:p>
      <w:pPr>
        <w:pStyle w:val="ListParagraph"/>
        <w:numPr>
          <w:ilvl w:val="0"/>
          <w:numId w:val="2"/>
        </w:numPr>
        <w:tabs>
          <w:tab w:pos="300" w:val="left" w:leader="none"/>
        </w:tabs>
        <w:spacing w:line="200" w:lineRule="exact" w:before="0" w:after="0"/>
        <w:ind w:left="300" w:right="0" w:hanging="173"/>
        <w:jc w:val="left"/>
        <w:rPr>
          <w:sz w:val="18"/>
        </w:rPr>
      </w:pPr>
      <w:r>
        <w:rPr>
          <w:spacing w:val="-5"/>
          <w:sz w:val="18"/>
        </w:rPr>
        <w:t>样本采集（</w:t>
      </w:r>
      <w:r>
        <w:rPr>
          <w:spacing w:val="-11"/>
          <w:sz w:val="18"/>
        </w:rPr>
        <w:t>要求病人在采样前 </w:t>
      </w:r>
      <w:r>
        <w:rPr>
          <w:rFonts w:ascii="Times New Roman" w:eastAsia="Times New Roman"/>
          <w:sz w:val="18"/>
        </w:rPr>
        <w:t>2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小时内不能排尿，采样方法参照后续参考文献</w:t>
      </w:r>
      <w:r>
        <w:rPr>
          <w:rFonts w:ascii="Times New Roman" w:eastAsia="Times New Roman"/>
          <w:sz w:val="18"/>
        </w:rPr>
        <w:t>[</w:t>
      </w:r>
      <w:r>
        <w:rPr>
          <w:rFonts w:ascii="Times New Roman" w:eastAsia="Times New Roman"/>
          <w:spacing w:val="-2"/>
          <w:sz w:val="18"/>
        </w:rPr>
        <w:t>1</w:t>
      </w:r>
      <w:r>
        <w:rPr>
          <w:rFonts w:ascii="Times New Roman" w:eastAsia="Times New Roman"/>
          <w:spacing w:val="-8"/>
          <w:sz w:val="18"/>
        </w:rPr>
        <w:t>]</w:t>
      </w:r>
      <w:r>
        <w:rPr>
          <w:spacing w:val="-92"/>
          <w:sz w:val="18"/>
        </w:rPr>
        <w:t>）</w:t>
      </w:r>
      <w:r>
        <w:rPr>
          <w:sz w:val="18"/>
        </w:rPr>
        <w:t>：</w:t>
      </w:r>
    </w:p>
    <w:p>
      <w:pPr>
        <w:pStyle w:val="BodyText"/>
        <w:spacing w:line="199" w:lineRule="exact"/>
        <w:ind w:left="302"/>
      </w:pPr>
      <w:r>
        <w:rPr/>
        <w:t>男性：先用灭菌盐水清洁尿道口，将男性用无菌藻酸钙拭子伸入尿道 </w:t>
      </w:r>
      <w:r>
        <w:rPr>
          <w:rFonts w:ascii="Times New Roman" w:eastAsia="Times New Roman"/>
        </w:rPr>
        <w:t>2-3cm</w:t>
      </w:r>
      <w:r>
        <w:rPr/>
        <w:t>，用力转 </w:t>
      </w:r>
      <w:r>
        <w:rPr>
          <w:rFonts w:ascii="Times New Roman" w:eastAsia="Times New Roman"/>
        </w:rPr>
        <w:t>1-2 </w:t>
      </w:r>
      <w:r>
        <w:rPr/>
        <w:t>圈，取出拭子；</w:t>
      </w:r>
    </w:p>
    <w:p>
      <w:pPr>
        <w:pStyle w:val="BodyText"/>
        <w:spacing w:line="208" w:lineRule="auto" w:before="7"/>
        <w:ind w:left="302" w:right="1758" w:hanging="3"/>
      </w:pPr>
      <w:r>
        <w:rPr>
          <w:spacing w:val="-7"/>
        </w:rPr>
        <w:t>女性：先清洁宫颈口过多的分泌物，将女性用无菌藻酸钙拭子深入宫颈内 </w:t>
      </w:r>
      <w:r>
        <w:rPr>
          <w:rFonts w:ascii="Times New Roman" w:eastAsia="Times New Roman"/>
          <w:spacing w:val="-4"/>
        </w:rPr>
        <w:t>2-3cm</w:t>
      </w:r>
      <w:r>
        <w:rPr>
          <w:spacing w:val="-14"/>
        </w:rPr>
        <w:t>，用力转 </w:t>
      </w:r>
      <w:r>
        <w:rPr>
          <w:rFonts w:ascii="Times New Roman" w:eastAsia="Times New Roman"/>
        </w:rPr>
        <w:t>1-2 </w:t>
      </w:r>
      <w:r>
        <w:rPr>
          <w:spacing w:val="-5"/>
        </w:rPr>
        <w:t>圈，取出拭子； 取出的分泌物应略带粘膜，采集后的棉拭子置入无菌收集管中，密闭送检。</w:t>
      </w:r>
    </w:p>
    <w:p>
      <w:pPr>
        <w:pStyle w:val="ListParagraph"/>
        <w:numPr>
          <w:ilvl w:val="0"/>
          <w:numId w:val="2"/>
        </w:numPr>
        <w:tabs>
          <w:tab w:pos="300" w:val="left" w:leader="none"/>
        </w:tabs>
        <w:spacing w:line="206" w:lineRule="auto" w:before="2" w:after="0"/>
        <w:ind w:left="302" w:right="220" w:hanging="176"/>
        <w:jc w:val="left"/>
        <w:rPr>
          <w:sz w:val="18"/>
        </w:rPr>
      </w:pPr>
      <w:r>
        <w:rPr>
          <w:spacing w:val="-7"/>
          <w:sz w:val="18"/>
        </w:rPr>
        <w:t>样本保存和运送：上述采集的样本可立即用于检测，或 </w:t>
      </w:r>
      <w:r>
        <w:rPr>
          <w:rFonts w:ascii="Times New Roman" w:hAnsi="Times New Roman" w:eastAsia="Times New Roman"/>
          <w:spacing w:val="-2"/>
          <w:sz w:val="18"/>
        </w:rPr>
        <w:t>2~</w:t>
      </w:r>
      <w:r>
        <w:rPr>
          <w:rFonts w:ascii="Times New Roman" w:hAnsi="Times New Roman" w:eastAsia="Times New Roman"/>
          <w:spacing w:val="-4"/>
          <w:sz w:val="18"/>
        </w:rPr>
        <w:t>8</w:t>
      </w:r>
      <w:r>
        <w:rPr>
          <w:spacing w:val="-3"/>
          <w:sz w:val="18"/>
        </w:rPr>
        <w:t>℃保存（</w:t>
      </w:r>
      <w:r>
        <w:rPr>
          <w:spacing w:val="-15"/>
          <w:sz w:val="18"/>
        </w:rPr>
        <w:t>不超过 </w:t>
      </w:r>
      <w:r>
        <w:rPr>
          <w:rFonts w:ascii="Times New Roman" w:hAnsi="Times New Roman" w:eastAsia="Times New Roman"/>
          <w:spacing w:val="-2"/>
          <w:sz w:val="18"/>
        </w:rPr>
        <w:t>2</w:t>
      </w:r>
      <w:r>
        <w:rPr>
          <w:rFonts w:ascii="Times New Roman" w:hAnsi="Times New Roman" w:eastAsia="Times New Roman"/>
          <w:sz w:val="18"/>
        </w:rPr>
        <w:t>4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4"/>
          <w:sz w:val="18"/>
        </w:rPr>
        <w:t>小时</w:t>
      </w:r>
      <w:r>
        <w:rPr>
          <w:spacing w:val="-92"/>
          <w:sz w:val="18"/>
        </w:rPr>
        <w:t>）</w:t>
      </w:r>
      <w:r>
        <w:rPr>
          <w:spacing w:val="-5"/>
          <w:sz w:val="18"/>
        </w:rPr>
        <w:t>，长期保存请置于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rFonts w:ascii="Times New Roman" w:hAnsi="Times New Roman" w:eastAsia="Times New Roman"/>
          <w:spacing w:val="-2"/>
          <w:sz w:val="18"/>
        </w:rPr>
        <w:t>2</w:t>
      </w:r>
      <w:r>
        <w:rPr>
          <w:rFonts w:ascii="Times New Roman" w:hAnsi="Times New Roman" w:eastAsia="Times New Roman"/>
          <w:spacing w:val="-4"/>
          <w:sz w:val="18"/>
        </w:rPr>
        <w:t>0</w:t>
      </w:r>
      <w:r>
        <w:rPr>
          <w:spacing w:val="-5"/>
          <w:sz w:val="18"/>
        </w:rPr>
        <w:t>℃以下。标本运送采用冰壶加冰或泡沫箱加冰密封进行运输。</w:t>
      </w:r>
    </w:p>
    <w:p>
      <w:pPr>
        <w:pStyle w:val="Heading1"/>
        <w:spacing w:line="194" w:lineRule="exact"/>
      </w:pPr>
      <w:r>
        <w:rPr/>
        <w:t>【检验方法】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199" w:lineRule="exact" w:before="0" w:after="0"/>
        <w:ind w:left="300" w:right="0" w:hanging="173"/>
        <w:jc w:val="left"/>
        <w:rPr>
          <w:b/>
          <w:sz w:val="18"/>
        </w:rPr>
      </w:pPr>
      <w:r>
        <w:rPr>
          <w:b/>
          <w:spacing w:val="-5"/>
          <w:sz w:val="18"/>
        </w:rPr>
        <w:t>样本前处理</w:t>
      </w:r>
      <w:r>
        <w:rPr>
          <w:b/>
          <w:spacing w:val="-3"/>
          <w:sz w:val="18"/>
        </w:rPr>
        <w:t>（</w:t>
      </w:r>
      <w:r>
        <w:rPr>
          <w:b/>
          <w:spacing w:val="-5"/>
          <w:sz w:val="18"/>
        </w:rPr>
        <w:t>在样本处理区进行</w:t>
      </w:r>
      <w:r>
        <w:rPr>
          <w:b/>
          <w:sz w:val="18"/>
        </w:rPr>
        <w:t>）</w:t>
      </w:r>
    </w:p>
    <w:p>
      <w:pPr>
        <w:pStyle w:val="BodyText"/>
        <w:spacing w:line="208" w:lineRule="auto" w:before="7"/>
        <w:ind w:right="217" w:firstLine="357"/>
      </w:pPr>
      <w:r>
        <w:rPr>
          <w:spacing w:val="-10"/>
        </w:rPr>
        <w:t>往样本收集管中加入 </w:t>
      </w:r>
      <w:r>
        <w:rPr>
          <w:rFonts w:ascii="Times New Roman" w:eastAsia="Times New Roman"/>
          <w:spacing w:val="-3"/>
        </w:rPr>
        <w:t>1mL </w:t>
      </w:r>
      <w:r>
        <w:rPr>
          <w:spacing w:val="-8"/>
        </w:rPr>
        <w:t>无菌生理盐水，充分振荡混匀，然后把全部液体</w:t>
      </w:r>
      <w:r>
        <w:rPr>
          <w:spacing w:val="-5"/>
        </w:rPr>
        <w:t>（样本洗脱液</w:t>
      </w:r>
      <w:r>
        <w:rPr>
          <w:spacing w:val="-12"/>
        </w:rPr>
        <w:t>）</w:t>
      </w:r>
      <w:r>
        <w:rPr>
          <w:spacing w:val="-19"/>
        </w:rPr>
        <w:t>倒入 </w:t>
      </w:r>
      <w:r>
        <w:rPr>
          <w:rFonts w:ascii="Times New Roman" w:eastAsia="Times New Roman"/>
          <w:spacing w:val="-3"/>
        </w:rPr>
        <w:t>1.5mL </w:t>
      </w:r>
      <w:r>
        <w:rPr>
          <w:spacing w:val="-7"/>
        </w:rPr>
        <w:t>灭菌离心管中</w:t>
      </w:r>
      <w:r>
        <w:rPr>
          <w:spacing w:val="-5"/>
        </w:rPr>
        <w:t>（</w:t>
      </w:r>
      <w:r>
        <w:rPr>
          <w:spacing w:val="-4"/>
        </w:rPr>
        <w:t>棉拭子靠</w:t>
      </w:r>
      <w:r>
        <w:rPr>
          <w:spacing w:val="-5"/>
        </w:rPr>
        <w:t>离心管壁挤干后丢弃</w:t>
      </w:r>
      <w:r>
        <w:rPr>
          <w:spacing w:val="-92"/>
        </w:rPr>
        <w:t>）</w:t>
      </w:r>
      <w:r>
        <w:rPr>
          <w:spacing w:val="-5"/>
        </w:rPr>
        <w:t>，作为待测样本备用。</w:t>
      </w:r>
    </w:p>
    <w:p>
      <w:pPr>
        <w:pStyle w:val="Heading1"/>
        <w:numPr>
          <w:ilvl w:val="0"/>
          <w:numId w:val="3"/>
        </w:numPr>
        <w:tabs>
          <w:tab w:pos="300" w:val="left" w:leader="none"/>
        </w:tabs>
        <w:spacing w:line="191" w:lineRule="exact" w:before="0" w:after="0"/>
        <w:ind w:left="300" w:right="0" w:hanging="173"/>
        <w:jc w:val="left"/>
      </w:pPr>
      <w:r>
        <w:rPr>
          <w:spacing w:val="-4"/>
        </w:rPr>
        <w:t>试剂准备</w:t>
      </w:r>
      <w:r>
        <w:rPr>
          <w:spacing w:val="-5"/>
        </w:rPr>
        <w:t>（在试剂准备区进行</w:t>
      </w:r>
      <w:r>
        <w:rPr/>
        <w:t>）</w:t>
      </w:r>
    </w:p>
    <w:p>
      <w:pPr>
        <w:pStyle w:val="ListParagraph"/>
        <w:numPr>
          <w:ilvl w:val="1"/>
          <w:numId w:val="3"/>
        </w:numPr>
        <w:tabs>
          <w:tab w:pos="432" w:val="left" w:leader="none"/>
        </w:tabs>
        <w:spacing w:line="200" w:lineRule="exact" w:before="0" w:after="0"/>
        <w:ind w:left="432" w:right="0" w:hanging="305"/>
        <w:jc w:val="left"/>
        <w:rPr>
          <w:sz w:val="18"/>
        </w:rPr>
      </w:pPr>
      <w:r>
        <w:rPr>
          <w:spacing w:val="-5"/>
          <w:sz w:val="18"/>
        </w:rPr>
        <w:t>取出试剂盒中的各组分，室温放置，待其温度平衡至室温，混匀后备用；</w:t>
      </w:r>
    </w:p>
    <w:p>
      <w:pPr>
        <w:pStyle w:val="ListParagraph"/>
        <w:numPr>
          <w:ilvl w:val="1"/>
          <w:numId w:val="3"/>
        </w:numPr>
        <w:tabs>
          <w:tab w:pos="432" w:val="left" w:leader="none"/>
        </w:tabs>
        <w:spacing w:line="206" w:lineRule="auto" w:before="11" w:after="0"/>
        <w:ind w:left="480" w:right="125" w:hanging="353"/>
        <w:jc w:val="left"/>
        <w:rPr>
          <w:sz w:val="18"/>
        </w:rPr>
      </w:pPr>
      <w:r>
        <w:rPr>
          <w:spacing w:val="-16"/>
          <w:sz w:val="18"/>
        </w:rPr>
        <w:t>根据待测样本、阴性对照、定量参考品 </w:t>
      </w:r>
      <w:r>
        <w:rPr>
          <w:rFonts w:ascii="Times New Roman" w:hAnsi="Times New Roman" w:eastAsia="Times New Roman"/>
          <w:spacing w:val="-3"/>
          <w:sz w:val="18"/>
        </w:rPr>
        <w:t>A</w:t>
      </w:r>
      <w:r>
        <w:rPr>
          <w:spacing w:val="-3"/>
          <w:sz w:val="18"/>
        </w:rPr>
        <w:t>～</w:t>
      </w:r>
      <w:r>
        <w:rPr>
          <w:rFonts w:ascii="Times New Roman" w:hAnsi="Times New Roman" w:eastAsia="Times New Roman"/>
          <w:spacing w:val="-3"/>
          <w:sz w:val="18"/>
        </w:rPr>
        <w:t>D</w:t>
      </w:r>
      <w:r>
        <w:rPr>
          <w:spacing w:val="-16"/>
          <w:sz w:val="18"/>
        </w:rPr>
        <w:t>、阳性对照的数量，按比例</w:t>
      </w:r>
      <w:r>
        <w:rPr>
          <w:spacing w:val="-5"/>
          <w:sz w:val="18"/>
        </w:rPr>
        <w:t>（</w:t>
      </w:r>
      <w:r>
        <w:rPr>
          <w:spacing w:val="-15"/>
          <w:sz w:val="18"/>
        </w:rPr>
        <w:t>反应液 </w:t>
      </w:r>
      <w:r>
        <w:rPr>
          <w:rFonts w:ascii="Times New Roman" w:hAnsi="Times New Roman" w:eastAsia="Times New Roman"/>
          <w:spacing w:val="-3"/>
          <w:sz w:val="18"/>
        </w:rPr>
        <w:t>38μL/</w:t>
      </w:r>
      <w:r>
        <w:rPr>
          <w:spacing w:val="-5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5"/>
          <w:sz w:val="18"/>
        </w:rPr>
        <w:t>酶混合液 </w:t>
      </w:r>
      <w:r>
        <w:rPr>
          <w:rFonts w:ascii="Times New Roman" w:hAnsi="Times New Roman" w:eastAsia="Times New Roman"/>
          <w:spacing w:val="-3"/>
          <w:sz w:val="18"/>
        </w:rPr>
        <w:t>2μL/</w:t>
      </w:r>
      <w:r>
        <w:rPr>
          <w:spacing w:val="-4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18"/>
          <w:sz w:val="18"/>
        </w:rPr>
        <w:t>内标 </w:t>
      </w:r>
      <w:r>
        <w:rPr>
          <w:rFonts w:ascii="Times New Roman" w:hAnsi="Times New Roman" w:eastAsia="Times New Roman"/>
          <w:spacing w:val="-3"/>
          <w:sz w:val="18"/>
        </w:rPr>
        <w:t>1μL/</w:t>
      </w:r>
      <w:r>
        <w:rPr>
          <w:spacing w:val="-4"/>
          <w:sz w:val="18"/>
        </w:rPr>
        <w:t>人份</w:t>
      </w:r>
      <w:r>
        <w:rPr>
          <w:sz w:val="18"/>
        </w:rPr>
        <w:t>） </w:t>
      </w:r>
      <w:r>
        <w:rPr>
          <w:spacing w:val="-4"/>
          <w:sz w:val="18"/>
        </w:rPr>
        <w:t>取相应量的反应液、酶混合液及内标，充分混匀成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混合液，瞬时离心后备用。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193" w:lineRule="exact" w:before="0" w:after="0"/>
        <w:ind w:left="300" w:right="0" w:hanging="173"/>
        <w:jc w:val="left"/>
        <w:rPr>
          <w:sz w:val="18"/>
        </w:rPr>
      </w:pPr>
      <w:r>
        <w:rPr>
          <w:b/>
          <w:spacing w:val="-4"/>
          <w:w w:val="99"/>
          <w:sz w:val="18"/>
        </w:rPr>
        <w:t>加样</w:t>
      </w:r>
      <w:r>
        <w:rPr>
          <w:b/>
          <w:spacing w:val="-3"/>
          <w:w w:val="99"/>
          <w:sz w:val="18"/>
        </w:rPr>
        <w:t>（</w:t>
      </w:r>
      <w:r>
        <w:rPr>
          <w:b/>
          <w:spacing w:val="-5"/>
          <w:w w:val="99"/>
          <w:sz w:val="18"/>
        </w:rPr>
        <w:t>在样本处理区进行</w:t>
      </w:r>
      <w:r>
        <w:rPr>
          <w:b/>
          <w:spacing w:val="-92"/>
          <w:w w:val="99"/>
          <w:sz w:val="18"/>
        </w:rPr>
        <w:t>）</w:t>
      </w:r>
      <w:r>
        <w:rPr>
          <w:spacing w:val="-5"/>
          <w:sz w:val="18"/>
        </w:rPr>
        <w:t>（</w:t>
      </w:r>
      <w:r>
        <w:rPr>
          <w:spacing w:val="-8"/>
          <w:sz w:val="18"/>
        </w:rPr>
        <w:t>阴性对照、阳性对照、定量参考品 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spacing w:val="-5"/>
          <w:sz w:val="18"/>
        </w:rPr>
        <w:t>～</w:t>
      </w:r>
      <w:r>
        <w:rPr>
          <w:rFonts w:ascii="Times New Roman" w:eastAsia="Times New Roman"/>
          <w:sz w:val="18"/>
        </w:rPr>
        <w:t>D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与待测样本同步处理</w:t>
      </w:r>
      <w:r>
        <w:rPr>
          <w:sz w:val="18"/>
        </w:rPr>
        <w:t>）</w:t>
      </w:r>
    </w:p>
    <w:p>
      <w:pPr>
        <w:pStyle w:val="ListParagraph"/>
        <w:numPr>
          <w:ilvl w:val="1"/>
          <w:numId w:val="3"/>
        </w:numPr>
        <w:tabs>
          <w:tab w:pos="432" w:val="left" w:leader="none"/>
        </w:tabs>
        <w:spacing w:line="206" w:lineRule="auto" w:before="11" w:after="0"/>
        <w:ind w:left="480" w:right="128" w:hanging="353"/>
        <w:jc w:val="left"/>
        <w:rPr>
          <w:sz w:val="18"/>
        </w:rPr>
      </w:pPr>
      <w:r>
        <w:rPr>
          <w:spacing w:val="17"/>
          <w:sz w:val="18"/>
        </w:rPr>
        <w:t>每个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10"/>
          <w:sz w:val="18"/>
        </w:rPr>
        <w:t> </w:t>
      </w:r>
      <w:r>
        <w:rPr>
          <w:spacing w:val="-9"/>
          <w:sz w:val="18"/>
        </w:rPr>
        <w:t>反应管中加入核酸释放剂 </w:t>
      </w:r>
      <w:r>
        <w:rPr>
          <w:rFonts w:ascii="Times New Roman" w:hAnsi="Times New Roman" w:eastAsia="Times New Roman"/>
          <w:spacing w:val="-8"/>
          <w:sz w:val="18"/>
        </w:rPr>
        <w:t>5μL</w:t>
      </w:r>
      <w:r>
        <w:rPr>
          <w:spacing w:val="-8"/>
          <w:sz w:val="18"/>
        </w:rPr>
        <w:t>（</w:t>
      </w:r>
      <w:r>
        <w:rPr>
          <w:spacing w:val="-9"/>
          <w:sz w:val="18"/>
        </w:rPr>
        <w:t>建议深吸浅打，避免出现气泡</w:t>
      </w:r>
      <w:r>
        <w:rPr>
          <w:spacing w:val="-59"/>
          <w:sz w:val="18"/>
        </w:rPr>
        <w:t>）</w:t>
      </w:r>
      <w:r>
        <w:rPr>
          <w:spacing w:val="-17"/>
          <w:sz w:val="18"/>
        </w:rPr>
        <w:t>，然后分别加入待测样本、阴性对照、阳性对照各 </w:t>
      </w:r>
      <w:r>
        <w:rPr>
          <w:rFonts w:ascii="Times New Roman" w:hAnsi="Times New Roman" w:eastAsia="Times New Roman"/>
          <w:sz w:val="18"/>
        </w:rPr>
        <w:t>5μL</w:t>
      </w:r>
      <w:r>
        <w:rPr>
          <w:sz w:val="18"/>
        </w:rPr>
        <w:t>， </w:t>
      </w:r>
      <w:r>
        <w:rPr>
          <w:spacing w:val="-19"/>
          <w:sz w:val="18"/>
        </w:rPr>
        <w:t>吸打 </w:t>
      </w:r>
      <w:r>
        <w:rPr>
          <w:rFonts w:ascii="Times New Roman" w:hAnsi="Times New Roman" w:eastAsia="Times New Roman"/>
          <w:spacing w:val="-4"/>
          <w:sz w:val="18"/>
        </w:rPr>
        <w:t>3</w:t>
      </w:r>
      <w:r>
        <w:rPr>
          <w:rFonts w:ascii="Times New Roman" w:hAnsi="Times New Roman" w:eastAsia="Times New Roman"/>
          <w:sz w:val="18"/>
        </w:rPr>
        <w:t>-5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次混匀（轻轻吸打，避免出现气泡</w:t>
      </w:r>
      <w:r>
        <w:rPr>
          <w:spacing w:val="-92"/>
          <w:sz w:val="18"/>
        </w:rPr>
        <w:t>）</w:t>
      </w:r>
      <w:r>
        <w:rPr>
          <w:sz w:val="18"/>
        </w:rPr>
        <w:t>；</w:t>
      </w:r>
    </w:p>
    <w:p>
      <w:pPr>
        <w:pStyle w:val="ListParagraph"/>
        <w:numPr>
          <w:ilvl w:val="1"/>
          <w:numId w:val="3"/>
        </w:numPr>
        <w:tabs>
          <w:tab w:pos="432" w:val="left" w:leader="none"/>
        </w:tabs>
        <w:spacing w:line="193" w:lineRule="exact" w:before="0" w:after="0"/>
        <w:ind w:left="432" w:right="0" w:hanging="305"/>
        <w:jc w:val="left"/>
        <w:rPr>
          <w:sz w:val="18"/>
        </w:rPr>
      </w:pPr>
      <w:r>
        <w:rPr>
          <w:spacing w:val="-19"/>
          <w:sz w:val="18"/>
        </w:rPr>
        <w:t>间隔 </w:t>
      </w:r>
      <w:r>
        <w:rPr>
          <w:rFonts w:ascii="Times New Roman" w:hAnsi="Times New Roman" w:eastAsia="Times New Roman"/>
          <w:spacing w:val="-2"/>
          <w:sz w:val="18"/>
        </w:rPr>
        <w:t>1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z w:val="18"/>
        </w:rPr>
        <w:t>分钟以上，每管加入</w:t>
      </w:r>
      <w:r>
        <w:rPr>
          <w:rFonts w:ascii="Times New Roman" w:hAnsi="Times New Roman" w:eastAsia="Times New Roman"/>
          <w:sz w:val="18"/>
        </w:rPr>
        <w:t>P</w:t>
      </w:r>
      <w:r>
        <w:rPr>
          <w:rFonts w:ascii="Times New Roman" w:hAnsi="Times New Roman" w:eastAsia="Times New Roman"/>
          <w:spacing w:val="-3"/>
          <w:sz w:val="18"/>
        </w:rPr>
        <w:t>C</w:t>
      </w:r>
      <w:r>
        <w:rPr>
          <w:rFonts w:ascii="Times New Roman" w:hAnsi="Times New Roman" w:eastAsia="Times New Roman"/>
          <w:sz w:val="18"/>
        </w:rPr>
        <w:t>R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5"/>
          <w:sz w:val="18"/>
        </w:rPr>
        <w:t>混合液 </w:t>
      </w:r>
      <w:r>
        <w:rPr>
          <w:rFonts w:ascii="Times New Roman" w:hAnsi="Times New Roman" w:eastAsia="Times New Roman"/>
          <w:spacing w:val="-2"/>
          <w:sz w:val="18"/>
        </w:rPr>
        <w:t>40</w:t>
      </w:r>
      <w:r>
        <w:rPr>
          <w:rFonts w:ascii="Times New Roman" w:hAnsi="Times New Roman" w:eastAsia="Times New Roman"/>
          <w:spacing w:val="-3"/>
          <w:sz w:val="18"/>
        </w:rPr>
        <w:t>μ</w:t>
      </w:r>
      <w:r>
        <w:rPr>
          <w:rFonts w:ascii="Times New Roman" w:hAnsi="Times New Roman" w:eastAsia="Times New Roman"/>
          <w:spacing w:val="-2"/>
          <w:sz w:val="18"/>
        </w:rPr>
        <w:t>L</w:t>
      </w:r>
      <w:r>
        <w:rPr>
          <w:spacing w:val="-12"/>
          <w:sz w:val="18"/>
        </w:rPr>
        <w:t>，吸打混匀 </w:t>
      </w:r>
      <w:r>
        <w:rPr>
          <w:rFonts w:ascii="Times New Roman" w:hAnsi="Times New Roman" w:eastAsia="Times New Roman"/>
          <w:spacing w:val="-2"/>
          <w:sz w:val="18"/>
        </w:rPr>
        <w:t>2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rFonts w:ascii="Times New Roman" w:hAnsi="Times New Roman" w:eastAsia="Times New Roman"/>
          <w:sz w:val="18"/>
        </w:rPr>
        <w:t>3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次，盖上管盖（去除气泡</w:t>
      </w:r>
      <w:r>
        <w:rPr>
          <w:spacing w:val="-92"/>
          <w:sz w:val="18"/>
        </w:rPr>
        <w:t>）</w:t>
      </w:r>
      <w:r>
        <w:rPr>
          <w:spacing w:val="-5"/>
          <w:sz w:val="18"/>
        </w:rPr>
        <w:t>，</w:t>
      </w:r>
      <w:r>
        <w:rPr>
          <w:rFonts w:ascii="Times New Roman" w:hAnsi="Times New Roman" w:eastAsia="Times New Roman"/>
          <w:spacing w:val="-2"/>
          <w:sz w:val="18"/>
        </w:rPr>
        <w:t>2000</w:t>
      </w:r>
      <w:r>
        <w:rPr>
          <w:rFonts w:ascii="Times New Roman" w:hAnsi="Times New Roman" w:eastAsia="Times New Roman"/>
          <w:spacing w:val="-3"/>
          <w:sz w:val="18"/>
        </w:rPr>
        <w:t>r</w:t>
      </w:r>
      <w:r>
        <w:rPr>
          <w:rFonts w:ascii="Times New Roman" w:hAnsi="Times New Roman" w:eastAsia="Times New Roman"/>
          <w:spacing w:val="-2"/>
          <w:sz w:val="18"/>
        </w:rPr>
        <w:t>p</w:t>
      </w:r>
      <w:r>
        <w:rPr>
          <w:rFonts w:ascii="Times New Roman" w:hAnsi="Times New Roman" w:eastAsia="Times New Roman"/>
          <w:sz w:val="18"/>
        </w:rPr>
        <w:t>m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19"/>
          <w:sz w:val="18"/>
        </w:rPr>
        <w:t>离心 </w:t>
      </w:r>
      <w:r>
        <w:rPr>
          <w:rFonts w:ascii="Times New Roman" w:hAnsi="Times New Roman" w:eastAsia="Times New Roman"/>
          <w:spacing w:val="-2"/>
          <w:sz w:val="18"/>
        </w:rPr>
        <w:t>3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2"/>
          <w:sz w:val="18"/>
        </w:rPr>
        <w:t>秒。</w:t>
      </w:r>
    </w:p>
    <w:p>
      <w:pPr>
        <w:pStyle w:val="ListParagraph"/>
        <w:numPr>
          <w:ilvl w:val="0"/>
          <w:numId w:val="3"/>
        </w:numPr>
        <w:tabs>
          <w:tab w:pos="257" w:val="left" w:leader="none"/>
        </w:tabs>
        <w:spacing w:line="200" w:lineRule="exact" w:before="0" w:after="0"/>
        <w:ind w:left="256" w:right="0" w:hanging="130"/>
        <w:jc w:val="left"/>
        <w:rPr>
          <w:sz w:val="18"/>
        </w:rPr>
      </w:pPr>
      <w:r>
        <w:rPr>
          <w:rFonts w:ascii="Times New Roman" w:eastAsia="Times New Roman"/>
          <w:b/>
          <w:spacing w:val="-2"/>
          <w:sz w:val="18"/>
        </w:rPr>
        <w:t>P</w:t>
      </w:r>
      <w:r>
        <w:rPr>
          <w:rFonts w:ascii="Times New Roman" w:eastAsia="Times New Roman"/>
          <w:b/>
          <w:spacing w:val="-1"/>
          <w:sz w:val="18"/>
        </w:rPr>
        <w:t>C</w:t>
      </w:r>
      <w:r>
        <w:rPr>
          <w:rFonts w:ascii="Times New Roman" w:eastAsia="Times New Roman"/>
          <w:b/>
          <w:sz w:val="18"/>
        </w:rPr>
        <w:t>R</w:t>
      </w:r>
      <w:r>
        <w:rPr>
          <w:rFonts w:ascii="Times New Roman" w:eastAsia="Times New Roman"/>
          <w:b/>
          <w:spacing w:val="-4"/>
          <w:sz w:val="18"/>
        </w:rPr>
        <w:t>  </w:t>
      </w:r>
      <w:r>
        <w:rPr>
          <w:b/>
          <w:spacing w:val="-4"/>
          <w:w w:val="99"/>
          <w:sz w:val="18"/>
        </w:rPr>
        <w:t>扩增</w:t>
      </w:r>
      <w:r>
        <w:rPr>
          <w:b/>
          <w:spacing w:val="-3"/>
          <w:w w:val="99"/>
          <w:sz w:val="18"/>
        </w:rPr>
        <w:t>（</w:t>
      </w:r>
      <w:r>
        <w:rPr>
          <w:b/>
          <w:spacing w:val="-5"/>
          <w:w w:val="99"/>
          <w:sz w:val="18"/>
        </w:rPr>
        <w:t>在扩增与分析区进行</w:t>
      </w:r>
      <w:r>
        <w:rPr>
          <w:b/>
          <w:spacing w:val="-92"/>
          <w:w w:val="99"/>
          <w:sz w:val="18"/>
        </w:rPr>
        <w:t>）</w:t>
      </w:r>
      <w:r>
        <w:rPr>
          <w:spacing w:val="-5"/>
          <w:sz w:val="18"/>
        </w:rPr>
        <w:t>（请参照各仪器使用说明书进行设置</w:t>
      </w:r>
      <w:r>
        <w:rPr>
          <w:sz w:val="18"/>
        </w:rPr>
        <w:t>）</w:t>
      </w:r>
    </w:p>
    <w:p>
      <w:pPr>
        <w:pStyle w:val="ListParagraph"/>
        <w:numPr>
          <w:ilvl w:val="1"/>
          <w:numId w:val="3"/>
        </w:numPr>
        <w:tabs>
          <w:tab w:pos="435" w:val="left" w:leader="none"/>
        </w:tabs>
        <w:spacing w:line="206" w:lineRule="auto" w:before="9" w:after="0"/>
        <w:ind w:left="475" w:right="220" w:hanging="346"/>
        <w:jc w:val="left"/>
        <w:rPr>
          <w:sz w:val="18"/>
        </w:rPr>
      </w:pPr>
      <w:r>
        <w:rPr>
          <w:spacing w:val="-3"/>
          <w:sz w:val="18"/>
        </w:rPr>
        <w:t>将</w:t>
      </w:r>
      <w:r>
        <w:rPr>
          <w:rFonts w:ascii="Times New Roman" w:eastAsia="Times New Roman"/>
          <w:spacing w:val="-3"/>
          <w:sz w:val="18"/>
        </w:rPr>
        <w:t>PCR</w:t>
      </w:r>
      <w:r>
        <w:rPr>
          <w:spacing w:val="-5"/>
          <w:sz w:val="18"/>
        </w:rPr>
        <w:t>反应管放入扩增仪样品槽，按对应顺序设置阴性对照、阳性对照、定量参考品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spacing w:val="-3"/>
          <w:sz w:val="18"/>
        </w:rPr>
        <w:t>～</w:t>
      </w:r>
      <w:r>
        <w:rPr>
          <w:rFonts w:ascii="Times New Roman" w:eastAsia="Times New Roman"/>
          <w:spacing w:val="-3"/>
          <w:sz w:val="18"/>
        </w:rPr>
        <w:t>D</w:t>
      </w:r>
      <w:r>
        <w:rPr>
          <w:spacing w:val="-5"/>
          <w:sz w:val="18"/>
        </w:rPr>
        <w:t>以及未知样本，并设置样本名称及定量参考品浓度。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194" w:lineRule="exact" w:before="0" w:after="0"/>
        <w:ind w:left="441" w:right="0" w:hanging="315"/>
        <w:jc w:val="left"/>
        <w:rPr>
          <w:sz w:val="18"/>
        </w:rPr>
      </w:pPr>
      <w:r>
        <w:rPr>
          <w:sz w:val="18"/>
        </w:rPr>
        <w:t>荧光检测通道选择：</w:t>
      </w:r>
    </w:p>
    <w:p>
      <w:pPr>
        <w:pStyle w:val="ListParagraph"/>
        <w:numPr>
          <w:ilvl w:val="2"/>
          <w:numId w:val="3"/>
        </w:numPr>
        <w:tabs>
          <w:tab w:pos="521" w:val="left" w:leader="none"/>
        </w:tabs>
        <w:spacing w:line="199" w:lineRule="exact" w:before="0" w:after="0"/>
        <w:ind w:left="520" w:right="0" w:hanging="394"/>
        <w:jc w:val="both"/>
        <w:rPr>
          <w:sz w:val="18"/>
        </w:rPr>
      </w:pPr>
      <w:r>
        <w:rPr>
          <w:rFonts w:ascii="Times New Roman" w:eastAsia="Times New Roman"/>
          <w:sz w:val="18"/>
        </w:rPr>
        <w:t>ABI</w:t>
      </w:r>
      <w:r>
        <w:rPr>
          <w:sz w:val="18"/>
        </w:rPr>
        <w:t>、</w:t>
      </w:r>
      <w:r>
        <w:rPr>
          <w:rFonts w:ascii="Times New Roman" w:eastAsia="Times New Roman"/>
          <w:sz w:val="18"/>
        </w:rPr>
        <w:t>Stratagene</w:t>
      </w:r>
      <w:r>
        <w:rPr>
          <w:rFonts w:ascii="Times New Roman" w:eastAsia="Times New Roman"/>
          <w:spacing w:val="-2"/>
          <w:sz w:val="18"/>
        </w:rPr>
        <w:t> </w:t>
      </w:r>
      <w:r>
        <w:rPr>
          <w:sz w:val="18"/>
        </w:rPr>
        <w:t>系列仪器：</w:t>
      </w:r>
    </w:p>
    <w:p>
      <w:pPr>
        <w:pStyle w:val="ListParagraph"/>
        <w:numPr>
          <w:ilvl w:val="3"/>
          <w:numId w:val="3"/>
        </w:numPr>
        <w:tabs>
          <w:tab w:pos="663" w:val="left" w:leader="none"/>
        </w:tabs>
        <w:spacing w:line="200" w:lineRule="exact" w:before="0" w:after="0"/>
        <w:ind w:left="662" w:right="0" w:hanging="179"/>
        <w:jc w:val="both"/>
        <w:rPr>
          <w:sz w:val="18"/>
        </w:rPr>
      </w:pPr>
      <w:r>
        <w:rPr>
          <w:spacing w:val="2"/>
          <w:sz w:val="18"/>
        </w:rPr>
        <w:t>选择 </w:t>
      </w:r>
      <w:r>
        <w:rPr>
          <w:rFonts w:ascii="Times New Roman" w:eastAsia="Times New Roman"/>
          <w:spacing w:val="-4"/>
          <w:sz w:val="18"/>
        </w:rPr>
        <w:t>FAM</w:t>
      </w:r>
      <w:r>
        <w:rPr>
          <w:rFonts w:ascii="Times New Roman" w:eastAsia="Times New Roman"/>
          <w:spacing w:val="25"/>
          <w:sz w:val="18"/>
        </w:rPr>
        <w:t> </w:t>
      </w:r>
      <w:r>
        <w:rPr>
          <w:spacing w:val="28"/>
          <w:sz w:val="18"/>
        </w:rPr>
        <w:t>通道</w:t>
      </w:r>
      <w:r>
        <w:rPr>
          <w:rFonts w:ascii="Times New Roman" w:eastAsia="Times New Roman"/>
          <w:sz w:val="18"/>
        </w:rPr>
        <w:t>(Reporter:FAM,</w:t>
      </w:r>
      <w:r>
        <w:rPr>
          <w:rFonts w:ascii="Times New Roman" w:eastAsia="Times New Roman"/>
          <w:spacing w:val="26"/>
          <w:sz w:val="18"/>
        </w:rPr>
        <w:t> </w:t>
      </w:r>
      <w:r>
        <w:rPr>
          <w:rFonts w:ascii="Times New Roman" w:eastAsia="Times New Roman"/>
          <w:sz w:val="18"/>
        </w:rPr>
        <w:t>Quencher:none</w:t>
      </w:r>
      <w:r>
        <w:rPr>
          <w:rFonts w:ascii="Times New Roman" w:eastAsia="Times New Roman"/>
          <w:spacing w:val="-8"/>
          <w:sz w:val="18"/>
        </w:rPr>
        <w:t>) </w:t>
      </w:r>
      <w:r>
        <w:rPr>
          <w:spacing w:val="16"/>
          <w:sz w:val="18"/>
        </w:rPr>
        <w:t>检测单纯疱疹病毒 </w:t>
      </w:r>
      <w:r>
        <w:rPr>
          <w:rFonts w:ascii="Times New Roman" w:eastAsia="Times New Roman"/>
          <w:sz w:val="18"/>
        </w:rPr>
        <w:t>2</w:t>
      </w:r>
      <w:r>
        <w:rPr>
          <w:rFonts w:ascii="Times New Roman" w:eastAsia="Times New Roman"/>
          <w:spacing w:val="23"/>
          <w:sz w:val="18"/>
        </w:rPr>
        <w:t> </w:t>
      </w:r>
      <w:r>
        <w:rPr>
          <w:spacing w:val="24"/>
          <w:sz w:val="18"/>
        </w:rPr>
        <w:t>型</w:t>
      </w:r>
      <w:r>
        <w:rPr>
          <w:sz w:val="18"/>
        </w:rPr>
        <w:t>（</w:t>
      </w:r>
      <w:r>
        <w:rPr>
          <w:spacing w:val="-66"/>
          <w:sz w:val="18"/>
        </w:rPr>
        <w:t> </w:t>
      </w:r>
      <w:r>
        <w:rPr>
          <w:rFonts w:ascii="Times New Roman" w:eastAsia="Times New Roman"/>
          <w:spacing w:val="-5"/>
          <w:sz w:val="18"/>
        </w:rPr>
        <w:t>HSV-2</w:t>
      </w:r>
      <w:r>
        <w:rPr>
          <w:rFonts w:ascii="Times New Roman" w:eastAsia="Times New Roman"/>
          <w:spacing w:val="-21"/>
          <w:sz w:val="18"/>
        </w:rPr>
        <w:t> </w:t>
      </w:r>
      <w:r>
        <w:rPr>
          <w:sz w:val="18"/>
        </w:rPr>
        <w:t>）</w:t>
      </w:r>
      <w:r>
        <w:rPr>
          <w:spacing w:val="48"/>
          <w:sz w:val="18"/>
        </w:rPr>
        <w:t> </w:t>
      </w:r>
      <w:r>
        <w:rPr>
          <w:rFonts w:ascii="Times New Roman" w:eastAsia="Times New Roman"/>
          <w:sz w:val="18"/>
        </w:rPr>
        <w:t>DNA</w:t>
      </w:r>
      <w:r>
        <w:rPr>
          <w:rFonts w:ascii="Times New Roman" w:eastAsia="Times New Roman"/>
          <w:spacing w:val="-15"/>
          <w:sz w:val="18"/>
        </w:rPr>
        <w:t> </w:t>
      </w:r>
      <w:r>
        <w:rPr>
          <w:spacing w:val="-32"/>
          <w:sz w:val="18"/>
        </w:rPr>
        <w:t>； </w:t>
      </w:r>
      <w:r>
        <w:rPr>
          <w:rFonts w:ascii="Times New Roman" w:eastAsia="Times New Roman"/>
          <w:sz w:val="18"/>
        </w:rPr>
        <w:t>2</w:t>
      </w:r>
      <w:r>
        <w:rPr>
          <w:rFonts w:ascii="Times New Roman" w:eastAsia="Times New Roman"/>
          <w:spacing w:val="-9"/>
          <w:sz w:val="18"/>
        </w:rPr>
        <w:t>) </w:t>
      </w:r>
      <w:r>
        <w:rPr>
          <w:spacing w:val="3"/>
          <w:sz w:val="18"/>
        </w:rPr>
        <w:t>选择 </w:t>
      </w:r>
      <w:r>
        <w:rPr>
          <w:rFonts w:ascii="Times New Roman" w:eastAsia="Times New Roman"/>
          <w:sz w:val="18"/>
        </w:rPr>
        <w:t>HEX</w:t>
      </w:r>
      <w:r>
        <w:rPr>
          <w:rFonts w:ascii="Times New Roman" w:eastAsia="Times New Roman"/>
          <w:spacing w:val="27"/>
          <w:sz w:val="18"/>
        </w:rPr>
        <w:t> </w:t>
      </w:r>
      <w:r>
        <w:rPr>
          <w:spacing w:val="-10"/>
          <w:sz w:val="18"/>
        </w:rPr>
        <w:t>或 </w:t>
      </w:r>
      <w:r>
        <w:rPr>
          <w:rFonts w:ascii="Times New Roman" w:eastAsia="Times New Roman"/>
          <w:sz w:val="18"/>
        </w:rPr>
        <w:t>VIC</w:t>
      </w:r>
      <w:r>
        <w:rPr>
          <w:rFonts w:ascii="Times New Roman" w:eastAsia="Times New Roman"/>
          <w:spacing w:val="24"/>
          <w:sz w:val="18"/>
        </w:rPr>
        <w:t> </w:t>
      </w:r>
      <w:r>
        <w:rPr>
          <w:spacing w:val="14"/>
          <w:sz w:val="18"/>
        </w:rPr>
        <w:t>通道</w:t>
      </w:r>
    </w:p>
    <w:p>
      <w:pPr>
        <w:pStyle w:val="BodyText"/>
        <w:ind w:left="484"/>
        <w:jc w:val="both"/>
      </w:pPr>
      <w:r>
        <w:rPr/>
        <w:t>（</w:t>
      </w:r>
      <w:r>
        <w:rPr>
          <w:rFonts w:ascii="Times New Roman" w:eastAsia="Times New Roman"/>
        </w:rPr>
        <w:t>Reporter:HEX/VIC, Quencher:none</w:t>
      </w:r>
      <w:r>
        <w:rPr/>
        <w:t>）检测内标；</w:t>
      </w:r>
      <w:r>
        <w:rPr>
          <w:rFonts w:ascii="Times New Roman" w:eastAsia="Times New Roman"/>
        </w:rPr>
        <w:t>3</w:t>
      </w:r>
      <w:r>
        <w:rPr/>
        <w:t>）参比荧光</w:t>
      </w:r>
      <w:r>
        <w:rPr>
          <w:rFonts w:ascii="Times New Roman" w:eastAsia="Times New Roman"/>
        </w:rPr>
        <w:t>(Passive Reference)</w:t>
      </w:r>
      <w:r>
        <w:rPr/>
        <w:t>设置为</w:t>
      </w:r>
      <w:r>
        <w:rPr>
          <w:rFonts w:ascii="Times New Roman" w:eastAsia="Times New Roman"/>
        </w:rPr>
        <w:t>none</w:t>
      </w:r>
      <w:r>
        <w:rPr/>
        <w:t>。设置 </w:t>
      </w:r>
      <w:r>
        <w:rPr>
          <w:rFonts w:ascii="Times New Roman" w:eastAsia="Times New Roman"/>
        </w:rPr>
        <w:t>Sample Volume </w:t>
      </w:r>
      <w:r>
        <w:rPr/>
        <w:t>为 </w:t>
      </w:r>
      <w:r>
        <w:rPr>
          <w:rFonts w:ascii="Times New Roman" w:eastAsia="Times New Roman"/>
        </w:rPr>
        <w:t>50</w:t>
      </w:r>
      <w:r>
        <w:rPr/>
        <w:t>。</w:t>
      </w:r>
    </w:p>
    <w:p>
      <w:pPr>
        <w:pStyle w:val="ListParagraph"/>
        <w:numPr>
          <w:ilvl w:val="2"/>
          <w:numId w:val="3"/>
        </w:numPr>
        <w:tabs>
          <w:tab w:pos="533" w:val="left" w:leader="none"/>
        </w:tabs>
        <w:spacing w:line="199" w:lineRule="exact" w:before="0" w:after="0"/>
        <w:ind w:left="532" w:right="0" w:hanging="406"/>
        <w:jc w:val="both"/>
        <w:rPr>
          <w:sz w:val="18"/>
        </w:rPr>
      </w:pPr>
      <w:r>
        <w:rPr>
          <w:rFonts w:ascii="Times New Roman" w:eastAsia="Times New Roman"/>
          <w:sz w:val="18"/>
        </w:rPr>
        <w:t>Roche</w:t>
      </w:r>
      <w:r>
        <w:rPr>
          <w:rFonts w:ascii="Times New Roman" w:eastAsia="Times New Roman"/>
          <w:spacing w:val="-2"/>
          <w:sz w:val="18"/>
        </w:rPr>
        <w:t> </w:t>
      </w:r>
      <w:r>
        <w:rPr>
          <w:rFonts w:ascii="Times New Roman" w:eastAsia="Times New Roman"/>
          <w:sz w:val="18"/>
        </w:rPr>
        <w:t>Light</w:t>
      </w:r>
      <w:r>
        <w:rPr>
          <w:rFonts w:ascii="Times New Roman" w:eastAsia="Times New Roman"/>
          <w:spacing w:val="1"/>
          <w:sz w:val="18"/>
        </w:rPr>
        <w:t> </w:t>
      </w:r>
      <w:r>
        <w:rPr>
          <w:rFonts w:ascii="Times New Roman" w:eastAsia="Times New Roman"/>
          <w:sz w:val="18"/>
        </w:rPr>
        <w:t>Cycler480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仪器：</w:t>
      </w:r>
    </w:p>
    <w:p>
      <w:pPr>
        <w:pStyle w:val="BodyText"/>
        <w:spacing w:line="208" w:lineRule="auto" w:before="8"/>
        <w:ind w:left="484" w:right="195" w:firstLine="2"/>
        <w:jc w:val="both"/>
      </w:pPr>
      <w:r>
        <w:rPr>
          <w:spacing w:val="19"/>
        </w:rPr>
        <w:t>选择</w:t>
      </w:r>
      <w:r>
        <w:rPr>
          <w:rFonts w:ascii="Times New Roman" w:eastAsia="Times New Roman"/>
          <w:spacing w:val="-1"/>
        </w:rPr>
        <w:t>Ne</w:t>
      </w:r>
      <w:r>
        <w:rPr>
          <w:rFonts w:ascii="Times New Roman" w:eastAsia="Times New Roman"/>
        </w:rPr>
        <w:t>w E</w:t>
      </w:r>
      <w:r>
        <w:rPr>
          <w:rFonts w:ascii="Times New Roman" w:eastAsia="Times New Roman"/>
          <w:spacing w:val="-2"/>
        </w:rPr>
        <w:t>x</w:t>
      </w:r>
      <w:r>
        <w:rPr>
          <w:rFonts w:ascii="Times New Roman" w:eastAsia="Times New Roman"/>
          <w:spacing w:val="1"/>
        </w:rPr>
        <w:t>p</w:t>
      </w:r>
      <w:r>
        <w:rPr>
          <w:rFonts w:ascii="Times New Roman" w:eastAsia="Times New Roman"/>
          <w:spacing w:val="-1"/>
        </w:rPr>
        <w:t>e</w:t>
      </w:r>
      <w:r>
        <w:rPr>
          <w:rFonts w:ascii="Times New Roman" w:eastAsia="Times New Roman"/>
        </w:rPr>
        <w:t>ri</w:t>
      </w:r>
      <w:r>
        <w:rPr>
          <w:rFonts w:ascii="Times New Roman" w:eastAsia="Times New Roman"/>
          <w:spacing w:val="-4"/>
        </w:rPr>
        <w:t>m</w:t>
      </w:r>
      <w:r>
        <w:rPr>
          <w:rFonts w:ascii="Times New Roman" w:eastAsia="Times New Roman"/>
          <w:spacing w:val="1"/>
        </w:rPr>
        <w:t>en</w:t>
      </w:r>
      <w:r>
        <w:rPr>
          <w:rFonts w:ascii="Times New Roman" w:eastAsia="Times New Roman"/>
        </w:rPr>
        <w:t>t,</w:t>
      </w:r>
      <w:r>
        <w:rPr>
          <w:rFonts w:ascii="Times New Roman" w:eastAsia="Times New Roman"/>
          <w:spacing w:val="-1"/>
        </w:rPr>
        <w:t>  </w:t>
      </w:r>
      <w:r>
        <w:rPr>
          <w:spacing w:val="38"/>
        </w:rPr>
        <w:t>在</w:t>
      </w:r>
      <w:r>
        <w:rPr>
          <w:rFonts w:ascii="Times New Roman" w:eastAsia="Times New Roman"/>
          <w:spacing w:val="-1"/>
        </w:rPr>
        <w:t>se</w:t>
      </w:r>
      <w:r>
        <w:rPr>
          <w:rFonts w:ascii="Times New Roman" w:eastAsia="Times New Roman"/>
        </w:rPr>
        <w:t>t</w:t>
      </w:r>
      <w:r>
        <w:rPr>
          <w:rFonts w:ascii="Times New Roman" w:eastAsia="Times New Roman"/>
          <w:spacing w:val="-2"/>
        </w:rPr>
        <w:t>u</w:t>
      </w:r>
      <w:r>
        <w:rPr>
          <w:rFonts w:ascii="Times New Roman" w:eastAsia="Times New Roman"/>
        </w:rPr>
        <w:t>p </w:t>
      </w:r>
      <w:r>
        <w:rPr>
          <w:spacing w:val="9"/>
        </w:rPr>
        <w:t>设置面板</w:t>
      </w:r>
      <w:r>
        <w:rPr>
          <w:rFonts w:ascii="Times New Roman" w:eastAsia="Times New Roman"/>
          <w:spacing w:val="-1"/>
        </w:rPr>
        <w:t>De</w:t>
      </w:r>
      <w:r>
        <w:rPr>
          <w:rFonts w:ascii="Times New Roman" w:eastAsia="Times New Roman"/>
        </w:rPr>
        <w:t>t</w:t>
      </w:r>
      <w:r>
        <w:rPr>
          <w:rFonts w:ascii="Times New Roman" w:eastAsia="Times New Roman"/>
          <w:spacing w:val="-1"/>
        </w:rPr>
        <w:t>ec</w:t>
      </w:r>
      <w:r>
        <w:rPr>
          <w:rFonts w:ascii="Times New Roman" w:eastAsia="Times New Roman"/>
        </w:rPr>
        <w:t>ti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</w:rPr>
        <w:t>n </w:t>
      </w:r>
      <w:r>
        <w:rPr>
          <w:rFonts w:ascii="Times New Roman" w:eastAsia="Times New Roman"/>
          <w:spacing w:val="-3"/>
        </w:rPr>
        <w:t>f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1"/>
        </w:rPr>
        <w:t>ma</w:t>
      </w:r>
      <w:r>
        <w:rPr>
          <w:rFonts w:ascii="Times New Roman" w:eastAsia="Times New Roman"/>
        </w:rPr>
        <w:t>t </w:t>
      </w:r>
      <w:r>
        <w:rPr>
          <w:spacing w:val="5"/>
        </w:rPr>
        <w:t>下拉菜单中选择</w:t>
      </w:r>
      <w:r>
        <w:rPr>
          <w:rFonts w:ascii="Times New Roman" w:eastAsia="Times New Roman"/>
          <w:spacing w:val="-1"/>
        </w:rPr>
        <w:t>D</w:t>
      </w:r>
      <w:r>
        <w:rPr>
          <w:rFonts w:ascii="Times New Roman" w:eastAsia="Times New Roman"/>
          <w:spacing w:val="1"/>
        </w:rPr>
        <w:t>u</w:t>
      </w:r>
      <w:r>
        <w:rPr>
          <w:rFonts w:ascii="Times New Roman" w:eastAsia="Times New Roman"/>
          <w:spacing w:val="-1"/>
        </w:rPr>
        <w:t>a</w:t>
      </w:r>
      <w:r>
        <w:rPr>
          <w:rFonts w:ascii="Times New Roman" w:eastAsia="Times New Roman"/>
        </w:rPr>
        <w:t>l </w:t>
      </w:r>
      <w:r>
        <w:rPr>
          <w:rFonts w:ascii="Times New Roman" w:eastAsia="Times New Roman"/>
          <w:spacing w:val="-1"/>
        </w:rPr>
        <w:t>C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</w:rPr>
        <w:t>l</w:t>
      </w:r>
      <w:r>
        <w:rPr>
          <w:rFonts w:ascii="Times New Roman" w:eastAsia="Times New Roman"/>
          <w:spacing w:val="-2"/>
        </w:rPr>
        <w:t>o</w:t>
      </w:r>
      <w:r>
        <w:rPr>
          <w:rFonts w:ascii="Times New Roman" w:eastAsia="Times New Roman"/>
        </w:rPr>
        <w:t>r </w:t>
      </w:r>
      <w:r>
        <w:rPr>
          <w:rFonts w:ascii="Times New Roman" w:eastAsia="Times New Roman"/>
          <w:spacing w:val="-1"/>
        </w:rPr>
        <w:t>H</w:t>
      </w:r>
      <w:r>
        <w:rPr>
          <w:rFonts w:ascii="Times New Roman" w:eastAsia="Times New Roman"/>
          <w:spacing w:val="-2"/>
        </w:rPr>
        <w:t>y</w:t>
      </w:r>
      <w:r>
        <w:rPr>
          <w:rFonts w:ascii="Times New Roman" w:eastAsia="Times New Roman"/>
          <w:spacing w:val="1"/>
        </w:rPr>
        <w:t>d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</w:rPr>
        <w:t>l</w:t>
      </w:r>
      <w:r>
        <w:rPr>
          <w:rFonts w:ascii="Times New Roman" w:eastAsia="Times New Roman"/>
          <w:spacing w:val="-4"/>
        </w:rPr>
        <w:t>y</w:t>
      </w:r>
      <w:r>
        <w:rPr>
          <w:rFonts w:ascii="Times New Roman" w:eastAsia="Times New Roman"/>
          <w:spacing w:val="1"/>
        </w:rPr>
        <w:t>s</w:t>
      </w:r>
      <w:r>
        <w:rPr>
          <w:rFonts w:ascii="Times New Roman" w:eastAsia="Times New Roman"/>
        </w:rPr>
        <w:t>is Pr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  <w:spacing w:val="-2"/>
        </w:rPr>
        <w:t>b</w:t>
      </w:r>
      <w:r>
        <w:rPr>
          <w:rFonts w:ascii="Times New Roman" w:eastAsia="Times New Roman"/>
          <w:spacing w:val="-1"/>
        </w:rPr>
        <w:t>e</w:t>
      </w:r>
      <w:r>
        <w:rPr>
          <w:rFonts w:ascii="Times New Roman" w:eastAsia="Times New Roman"/>
        </w:rPr>
        <w:t>/</w:t>
      </w:r>
      <w:r>
        <w:rPr>
          <w:rFonts w:ascii="Times New Roman" w:eastAsia="Times New Roman"/>
          <w:spacing w:val="-1"/>
        </w:rPr>
        <w:t>U</w:t>
      </w:r>
      <w:r>
        <w:rPr>
          <w:rFonts w:ascii="Times New Roman" w:eastAsia="Times New Roman"/>
        </w:rPr>
        <w:t>PL Pr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  <w:spacing w:val="-2"/>
        </w:rPr>
        <w:t>b</w:t>
      </w:r>
      <w:r>
        <w:rPr>
          <w:rFonts w:ascii="Times New Roman" w:eastAsia="Times New Roman"/>
          <w:spacing w:val="-1"/>
        </w:rPr>
        <w:t>e</w:t>
      </w:r>
      <w:r>
        <w:rPr>
          <w:spacing w:val="-48"/>
        </w:rPr>
        <w:t>，在 </w:t>
      </w:r>
      <w:r>
        <w:rPr>
          <w:rFonts w:ascii="Times New Roman" w:eastAsia="Times New Roman"/>
          <w:spacing w:val="-1"/>
        </w:rPr>
        <w:t>C</w:t>
      </w:r>
      <w:r>
        <w:rPr>
          <w:rFonts w:ascii="Times New Roman" w:eastAsia="Times New Roman"/>
          <w:spacing w:val="1"/>
        </w:rPr>
        <w:t>u</w:t>
      </w:r>
      <w:r>
        <w:rPr>
          <w:rFonts w:ascii="Times New Roman" w:eastAsia="Times New Roman"/>
          <w:spacing w:val="-1"/>
        </w:rPr>
        <w:t>s</w:t>
      </w:r>
      <w:r>
        <w:rPr>
          <w:rFonts w:ascii="Times New Roman" w:eastAsia="Times New Roman"/>
        </w:rPr>
        <w:t>t</w:t>
      </w:r>
      <w:r>
        <w:rPr>
          <w:rFonts w:ascii="Times New Roman" w:eastAsia="Times New Roman"/>
          <w:spacing w:val="1"/>
        </w:rPr>
        <w:t>o</w:t>
      </w:r>
      <w:r>
        <w:rPr>
          <w:rFonts w:ascii="Times New Roman" w:eastAsia="Times New Roman"/>
          <w:spacing w:val="-4"/>
        </w:rPr>
        <w:t>m</w:t>
      </w:r>
      <w:r>
        <w:rPr>
          <w:rFonts w:ascii="Times New Roman" w:eastAsia="Times New Roman"/>
        </w:rPr>
        <w:t>i</w:t>
      </w:r>
      <w:r>
        <w:rPr>
          <w:rFonts w:ascii="Times New Roman" w:eastAsia="Times New Roman"/>
          <w:spacing w:val="1"/>
        </w:rPr>
        <w:t>z</w:t>
      </w:r>
      <w:r>
        <w:rPr>
          <w:rFonts w:ascii="Times New Roman" w:eastAsia="Times New Roman"/>
        </w:rPr>
        <w:t>e</w:t>
      </w:r>
      <w:r>
        <w:rPr>
          <w:spacing w:val="-1"/>
        </w:rPr>
        <w:t>下拉菜单中：</w:t>
      </w:r>
      <w:r>
        <w:rPr>
          <w:rFonts w:ascii="Times New Roman" w:eastAsia="Times New Roman"/>
          <w:spacing w:val="-6"/>
        </w:rPr>
        <w:t>1</w:t>
      </w:r>
      <w:r>
        <w:rPr>
          <w:spacing w:val="-6"/>
        </w:rPr>
        <w:t>）</w:t>
      </w:r>
      <w:r>
        <w:rPr>
          <w:spacing w:val="-15"/>
        </w:rPr>
        <w:t>选择 </w:t>
      </w:r>
      <w:r>
        <w:rPr>
          <w:rFonts w:ascii="Times New Roman" w:eastAsia="Times New Roman"/>
          <w:spacing w:val="-4"/>
        </w:rPr>
        <w:t>FAM </w:t>
      </w:r>
      <w:r>
        <w:rPr>
          <w:spacing w:val="-9"/>
        </w:rPr>
        <w:t>通道检测单纯疱疹病毒 </w:t>
      </w:r>
      <w:r>
        <w:rPr>
          <w:rFonts w:ascii="Times New Roman" w:eastAsia="Times New Roman"/>
        </w:rPr>
        <w:t>2 </w:t>
      </w:r>
      <w:r>
        <w:rPr>
          <w:spacing w:val="-12"/>
        </w:rPr>
        <w:t>型</w:t>
      </w:r>
      <w:r>
        <w:rPr>
          <w:spacing w:val="-5"/>
        </w:rPr>
        <w:t>（</w:t>
      </w:r>
      <w:r>
        <w:rPr>
          <w:rFonts w:ascii="Times New Roman" w:eastAsia="Times New Roman"/>
          <w:spacing w:val="-5"/>
        </w:rPr>
        <w:t>HSV-2</w:t>
      </w:r>
      <w:r>
        <w:rPr>
          <w:spacing w:val="-5"/>
        </w:rPr>
        <w:t>） </w:t>
      </w:r>
      <w:r>
        <w:rPr>
          <w:rFonts w:ascii="Times New Roman" w:eastAsia="Times New Roman"/>
          <w:spacing w:val="-3"/>
        </w:rPr>
        <w:t>DNA</w:t>
      </w:r>
      <w:r>
        <w:rPr>
          <w:spacing w:val="-3"/>
        </w:rPr>
        <w:t>；</w:t>
      </w:r>
      <w:r>
        <w:rPr>
          <w:rFonts w:ascii="Times New Roman" w:eastAsia="Times New Roman"/>
          <w:spacing w:val="-3"/>
        </w:rPr>
        <w:t>2</w:t>
      </w:r>
      <w:r>
        <w:rPr>
          <w:spacing w:val="-3"/>
        </w:rPr>
        <w:t>）</w:t>
      </w:r>
      <w:r>
        <w:rPr>
          <w:spacing w:val="-15"/>
        </w:rPr>
        <w:t>选择 </w:t>
      </w:r>
      <w:r>
        <w:rPr>
          <w:rFonts w:ascii="Times New Roman" w:eastAsia="Times New Roman"/>
        </w:rPr>
        <w:t>VIC/HEX </w:t>
      </w:r>
      <w:r>
        <w:rPr>
          <w:rFonts w:ascii="Times New Roman" w:eastAsia="Times New Roman"/>
          <w:spacing w:val="-3"/>
        </w:rPr>
        <w:t>/Yellow </w:t>
      </w:r>
      <w:r>
        <w:rPr>
          <w:rFonts w:ascii="Times New Roman" w:eastAsia="Times New Roman"/>
        </w:rPr>
        <w:t>555 </w:t>
      </w:r>
      <w:r>
        <w:rPr>
          <w:spacing w:val="-2"/>
        </w:rPr>
        <w:t>通道检测内标。设置</w:t>
      </w:r>
      <w:r>
        <w:rPr>
          <w:rFonts w:ascii="Times New Roman" w:eastAsia="Times New Roman"/>
          <w:spacing w:val="-2"/>
        </w:rPr>
        <w:t>Reaction </w:t>
      </w:r>
      <w:r>
        <w:rPr>
          <w:rFonts w:ascii="Times New Roman" w:eastAsia="Times New Roman"/>
          <w:spacing w:val="-5"/>
        </w:rPr>
        <w:t>Volume </w:t>
      </w:r>
      <w:r>
        <w:rPr>
          <w:spacing w:val="-23"/>
        </w:rPr>
        <w:t>为 </w:t>
      </w:r>
      <w:r>
        <w:rPr>
          <w:rFonts w:ascii="Times New Roman" w:eastAsia="Times New Roman"/>
        </w:rPr>
        <w:t>50</w:t>
      </w:r>
      <w:r>
        <w:rPr/>
        <w:t>。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191" w:lineRule="exact" w:before="0" w:after="0"/>
        <w:ind w:left="441" w:right="0" w:hanging="315"/>
        <w:jc w:val="left"/>
        <w:rPr>
          <w:sz w:val="18"/>
        </w:rPr>
      </w:pPr>
      <w:r>
        <w:rPr>
          <w:sz w:val="18"/>
        </w:rPr>
        <w:t>循环参数设定（不同仪器，时间参数不同，见下表</w:t>
      </w:r>
      <w:r>
        <w:rPr>
          <w:spacing w:val="-89"/>
          <w:sz w:val="18"/>
        </w:rPr>
        <w:t>）</w:t>
      </w:r>
      <w:r>
        <w:rPr>
          <w:sz w:val="18"/>
        </w:rPr>
        <w:t>：</w:t>
      </w:r>
    </w:p>
    <w:p>
      <w:pPr>
        <w:pStyle w:val="ListParagraph"/>
        <w:numPr>
          <w:ilvl w:val="2"/>
          <w:numId w:val="3"/>
        </w:numPr>
        <w:tabs>
          <w:tab w:pos="658" w:val="left" w:leader="none"/>
        </w:tabs>
        <w:spacing w:line="216" w:lineRule="exact" w:before="0" w:after="0"/>
        <w:ind w:left="657" w:right="0" w:hanging="531"/>
        <w:jc w:val="left"/>
        <w:rPr>
          <w:sz w:val="18"/>
        </w:rPr>
      </w:pPr>
      <w:r>
        <w:rPr>
          <w:rFonts w:ascii="Times New Roman" w:eastAsia="Times New Roman"/>
          <w:sz w:val="18"/>
        </w:rPr>
        <w:t>ABI</w:t>
      </w:r>
      <w:r>
        <w:rPr>
          <w:sz w:val="18"/>
        </w:rPr>
        <w:t>、</w:t>
      </w:r>
      <w:r>
        <w:rPr>
          <w:rFonts w:ascii="Times New Roman" w:eastAsia="Times New Roman"/>
          <w:sz w:val="18"/>
        </w:rPr>
        <w:t>Stratagene</w:t>
      </w:r>
      <w:r>
        <w:rPr>
          <w:rFonts w:ascii="Times New Roman" w:eastAsia="Times New Roman"/>
          <w:spacing w:val="-2"/>
          <w:sz w:val="18"/>
        </w:rPr>
        <w:t> </w:t>
      </w:r>
      <w:r>
        <w:rPr>
          <w:sz w:val="18"/>
        </w:rPr>
        <w:t>仪器参数设计</w:t>
      </w:r>
    </w:p>
    <w:p>
      <w:pPr>
        <w:pStyle w:val="BodyText"/>
        <w:spacing w:line="240" w:lineRule="auto" w:before="8" w:after="1"/>
        <w:ind w:left="0"/>
        <w:rPr>
          <w:sz w:val="14"/>
        </w:rPr>
      </w:pPr>
    </w:p>
    <w:tbl>
      <w:tblPr>
        <w:tblW w:w="0" w:type="auto"/>
        <w:jc w:val="left"/>
        <w:tblInd w:w="1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004"/>
        <w:gridCol w:w="894"/>
        <w:gridCol w:w="2245"/>
        <w:gridCol w:w="916"/>
      </w:tblGrid>
      <w:tr>
        <w:trPr>
          <w:trHeight w:val="330" w:hRule="atLeast"/>
        </w:trPr>
        <w:tc>
          <w:tcPr>
            <w:tcW w:w="3340" w:type="dxa"/>
            <w:gridSpan w:val="2"/>
          </w:tcPr>
          <w:p>
            <w:pPr>
              <w:pStyle w:val="TableParagraph"/>
              <w:spacing w:line="240" w:lineRule="auto" w:before="46"/>
              <w:ind w:left="1471" w:right="14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步骤</w:t>
            </w:r>
          </w:p>
        </w:tc>
        <w:tc>
          <w:tcPr>
            <w:tcW w:w="894" w:type="dxa"/>
          </w:tcPr>
          <w:p>
            <w:pPr>
              <w:pStyle w:val="TableParagraph"/>
              <w:spacing w:line="240" w:lineRule="auto" w:before="46"/>
              <w:ind w:left="245" w:right="23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温度</w:t>
            </w:r>
          </w:p>
        </w:tc>
        <w:tc>
          <w:tcPr>
            <w:tcW w:w="2245" w:type="dxa"/>
          </w:tcPr>
          <w:p>
            <w:pPr>
              <w:pStyle w:val="TableParagraph"/>
              <w:spacing w:line="240" w:lineRule="auto" w:before="46"/>
              <w:ind w:left="923" w:right="911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时间</w:t>
            </w:r>
          </w:p>
        </w:tc>
        <w:tc>
          <w:tcPr>
            <w:tcW w:w="916" w:type="dxa"/>
          </w:tcPr>
          <w:p>
            <w:pPr>
              <w:pStyle w:val="TableParagraph"/>
              <w:spacing w:line="240" w:lineRule="auto" w:before="46"/>
              <w:ind w:left="170" w:right="156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循环数</w:t>
            </w: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UNG </w:t>
            </w:r>
            <w:r>
              <w:rPr>
                <w:rFonts w:ascii="宋体" w:eastAsia="宋体" w:hint="eastAsia"/>
                <w:sz w:val="18"/>
              </w:rPr>
              <w:t>酶反应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2 </w:t>
            </w:r>
            <w:r>
              <w:rPr>
                <w:rFonts w:ascii="宋体" w:eastAsia="宋体" w:hint="eastAsia"/>
                <w:sz w:val="18"/>
              </w:rPr>
              <w:t>分钟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Taq </w:t>
            </w:r>
            <w:r>
              <w:rPr>
                <w:rFonts w:ascii="宋体" w:eastAsia="宋体" w:hint="eastAsia"/>
                <w:sz w:val="18"/>
              </w:rPr>
              <w:t>酶活化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94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5 </w:t>
            </w:r>
            <w:r>
              <w:rPr>
                <w:rFonts w:ascii="宋体" w:eastAsia="宋体" w:hint="eastAsia"/>
                <w:sz w:val="18"/>
              </w:rPr>
              <w:t>分钟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336" w:type="dxa"/>
            <w:vMerge w:val="restart"/>
          </w:tcPr>
          <w:p>
            <w:pPr>
              <w:pStyle w:val="TableParagraph"/>
              <w:spacing w:line="240" w:lineRule="auto" w:before="98"/>
              <w:ind w:left="1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变性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94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2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15 </w:t>
            </w:r>
            <w:r>
              <w:rPr>
                <w:rFonts w:ascii="宋体" w:eastAsia="宋体" w:hint="eastAsia"/>
                <w:sz w:val="18"/>
              </w:rPr>
              <w:t>秒</w:t>
            </w:r>
          </w:p>
        </w:tc>
        <w:tc>
          <w:tcPr>
            <w:tcW w:w="916" w:type="dxa"/>
            <w:vMerge w:val="restart"/>
          </w:tcPr>
          <w:p>
            <w:pPr>
              <w:pStyle w:val="TableParagraph"/>
              <w:spacing w:line="240" w:lineRule="auto" w:before="98"/>
              <w:ind w:left="164" w:right="156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</w:tr>
      <w:tr>
        <w:trPr>
          <w:trHeight w:val="200" w:hRule="atLeast"/>
        </w:trPr>
        <w:tc>
          <w:tcPr>
            <w:tcW w:w="3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退火，延伸，及荧光采集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57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sz w:val="18"/>
              </w:rPr>
            </w:pPr>
            <w:r>
              <w:rPr>
                <w:sz w:val="18"/>
              </w:rPr>
              <w:t>30 </w:t>
            </w:r>
            <w:r>
              <w:rPr>
                <w:rFonts w:ascii="宋体" w:eastAsia="宋体" w:hint="eastAsia"/>
                <w:sz w:val="18"/>
              </w:rPr>
              <w:t>秒</w:t>
            </w:r>
            <w:r>
              <w:rPr>
                <w:sz w:val="18"/>
              </w:rPr>
              <w:t>*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仪器冷却（可选）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2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10 </w:t>
            </w:r>
            <w:r>
              <w:rPr>
                <w:rFonts w:ascii="宋体" w:eastAsia="宋体" w:hint="eastAsia"/>
                <w:sz w:val="18"/>
              </w:rPr>
              <w:t>秒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1910" w:h="16840"/>
          <w:pgMar w:top="660" w:bottom="640" w:left="780" w:right="680"/>
        </w:sectPr>
      </w:pPr>
    </w:p>
    <w:p>
      <w:pPr>
        <w:pStyle w:val="BodyText"/>
        <w:spacing w:line="240" w:lineRule="auto" w:before="5"/>
        <w:ind w:left="0"/>
        <w:rPr>
          <w:sz w:val="3"/>
        </w:rPr>
      </w:pPr>
    </w:p>
    <w:p>
      <w:pPr>
        <w:pStyle w:val="BodyText"/>
        <w:spacing w:line="20" w:lineRule="exact"/>
        <w:ind w:left="119"/>
        <w:rPr>
          <w:sz w:val="2"/>
        </w:rPr>
      </w:pPr>
      <w:r>
        <w:rPr>
          <w:sz w:val="2"/>
        </w:rPr>
        <w:pict>
          <v:group style="width:504.6pt;height:.75pt;mso-position-horizontal-relative:char;mso-position-vertical-relative:line" coordorigin="0,0" coordsize="10092,15">
            <v:line style="position:absolute" from="0,7" to="10092,7" stroked="true" strokeweight=".7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192" w:lineRule="exact"/>
        <w:ind w:left="1447"/>
        <w:rPr>
          <w:rFonts w:ascii="Times New Roman" w:eastAsia="Times New Roman"/>
        </w:rPr>
      </w:pPr>
      <w:r>
        <w:rPr>
          <w:rFonts w:ascii="Times New Roman" w:eastAsia="Times New Roman"/>
        </w:rPr>
        <w:t>(*</w:t>
      </w:r>
      <w:r>
        <w:rPr/>
        <w:t>注：由于</w:t>
      </w:r>
      <w:r>
        <w:rPr>
          <w:rFonts w:ascii="Times New Roman" w:eastAsia="Times New Roman"/>
        </w:rPr>
        <w:t>ABI7500 </w:t>
      </w:r>
      <w:r>
        <w:rPr/>
        <w:t>仪器原因，不能设置为 </w:t>
      </w:r>
      <w:r>
        <w:rPr>
          <w:rFonts w:ascii="Times New Roman" w:eastAsia="Times New Roman"/>
        </w:rPr>
        <w:t>30 </w:t>
      </w:r>
      <w:r>
        <w:rPr/>
        <w:t>秒，可以设置为 </w:t>
      </w:r>
      <w:r>
        <w:rPr>
          <w:rFonts w:ascii="Times New Roman" w:eastAsia="Times New Roman"/>
        </w:rPr>
        <w:t>31 </w:t>
      </w:r>
      <w:r>
        <w:rPr/>
        <w:t>秒。</w:t>
      </w:r>
      <w:r>
        <w:rPr>
          <w:rFonts w:ascii="Times New Roman" w:eastAsia="Times New Roman"/>
        </w:rPr>
        <w:t>)</w:t>
      </w:r>
    </w:p>
    <w:p>
      <w:pPr>
        <w:pStyle w:val="ListParagraph"/>
        <w:numPr>
          <w:ilvl w:val="2"/>
          <w:numId w:val="3"/>
        </w:numPr>
        <w:tabs>
          <w:tab w:pos="668" w:val="left" w:leader="none"/>
        </w:tabs>
        <w:spacing w:line="216" w:lineRule="exact" w:before="0" w:after="0"/>
        <w:ind w:left="667" w:right="0" w:hanging="541"/>
        <w:jc w:val="left"/>
        <w:rPr>
          <w:rFonts w:ascii="Times New Roman" w:eastAsia="Times New Roman"/>
          <w:sz w:val="18"/>
        </w:rPr>
      </w:pPr>
      <w:r>
        <w:rPr>
          <w:rFonts w:ascii="Times New Roman" w:eastAsia="Times New Roman"/>
          <w:sz w:val="18"/>
        </w:rPr>
        <w:t>Light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rFonts w:ascii="Times New Roman" w:eastAsia="Times New Roman"/>
          <w:sz w:val="18"/>
        </w:rPr>
        <w:t>Cycler 480</w:t>
      </w:r>
      <w:r>
        <w:rPr>
          <w:rFonts w:ascii="Times New Roman" w:eastAsia="Times New Roman"/>
          <w:spacing w:val="1"/>
          <w:sz w:val="18"/>
        </w:rPr>
        <w:t> </w:t>
      </w:r>
      <w:r>
        <w:rPr>
          <w:sz w:val="18"/>
        </w:rPr>
        <w:t>仪器参数设计</w:t>
      </w:r>
      <w:r>
        <w:rPr>
          <w:rFonts w:ascii="Times New Roman" w:eastAsia="Times New Roman"/>
          <w:sz w:val="18"/>
        </w:rPr>
        <w:t>(</w:t>
      </w:r>
      <w:r>
        <w:rPr>
          <w:sz w:val="18"/>
        </w:rPr>
        <w:t>没有列出的参数，选仪器默认值</w:t>
      </w:r>
      <w:r>
        <w:rPr>
          <w:rFonts w:ascii="Times New Roman" w:eastAsia="Times New Roman"/>
          <w:sz w:val="18"/>
        </w:rPr>
        <w:t>)</w:t>
      </w:r>
    </w:p>
    <w:tbl>
      <w:tblPr>
        <w:tblW w:w="0" w:type="auto"/>
        <w:jc w:val="left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6"/>
        <w:gridCol w:w="1328"/>
        <w:gridCol w:w="1919"/>
        <w:gridCol w:w="1593"/>
        <w:gridCol w:w="992"/>
        <w:gridCol w:w="1701"/>
      </w:tblGrid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274" w:right="263"/>
              <w:rPr>
                <w:sz w:val="18"/>
              </w:rPr>
            </w:pPr>
            <w:r>
              <w:rPr>
                <w:sz w:val="18"/>
              </w:rPr>
              <w:t>Program</w:t>
            </w:r>
          </w:p>
        </w:tc>
        <w:tc>
          <w:tcPr>
            <w:tcW w:w="1328" w:type="dxa"/>
          </w:tcPr>
          <w:p>
            <w:pPr>
              <w:pStyle w:val="TableParagraph"/>
              <w:ind w:left="238" w:right="225"/>
              <w:rPr>
                <w:sz w:val="18"/>
              </w:rPr>
            </w:pPr>
            <w:r>
              <w:rPr>
                <w:sz w:val="18"/>
              </w:rPr>
              <w:t>Target (</w:t>
            </w:r>
            <w:r>
              <w:rPr>
                <w:rFonts w:ascii="宋体" w:hAnsi="宋体"/>
                <w:sz w:val="18"/>
              </w:rPr>
              <w:t>℃</w:t>
            </w:r>
            <w:r>
              <w:rPr>
                <w:sz w:val="18"/>
              </w:rPr>
              <w:t>)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Acquisition Mode</w:t>
            </w:r>
          </w:p>
        </w:tc>
        <w:tc>
          <w:tcPr>
            <w:tcW w:w="1593" w:type="dxa"/>
          </w:tcPr>
          <w:p>
            <w:pPr>
              <w:pStyle w:val="TableParagraph"/>
              <w:ind w:left="187" w:right="175"/>
              <w:rPr>
                <w:sz w:val="18"/>
              </w:rPr>
            </w:pPr>
            <w:r>
              <w:rPr>
                <w:sz w:val="18"/>
              </w:rPr>
              <w:t>Hold(hh:mm:ss)</w:t>
            </w:r>
          </w:p>
        </w:tc>
        <w:tc>
          <w:tcPr>
            <w:tcW w:w="992" w:type="dxa"/>
          </w:tcPr>
          <w:p>
            <w:pPr>
              <w:pStyle w:val="TableParagraph"/>
              <w:ind w:left="231" w:right="221"/>
              <w:rPr>
                <w:sz w:val="18"/>
              </w:rPr>
            </w:pPr>
            <w:r>
              <w:rPr>
                <w:sz w:val="18"/>
              </w:rPr>
              <w:t>Cycles</w:t>
            </w:r>
          </w:p>
        </w:tc>
        <w:tc>
          <w:tcPr>
            <w:tcW w:w="1701" w:type="dxa"/>
          </w:tcPr>
          <w:p>
            <w:pPr>
              <w:pStyle w:val="TableParagraph"/>
              <w:ind w:left="284" w:right="272"/>
              <w:rPr>
                <w:sz w:val="18"/>
              </w:rPr>
            </w:pPr>
            <w:r>
              <w:rPr>
                <w:sz w:val="18"/>
              </w:rPr>
              <w:t>Analysis Mode</w:t>
            </w: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00:02:00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00:02:00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  <w:tr>
        <w:trPr>
          <w:trHeight w:val="200" w:hRule="atLeast"/>
        </w:trPr>
        <w:tc>
          <w:tcPr>
            <w:tcW w:w="1446" w:type="dxa"/>
            <w:vMerge w:val="restart"/>
          </w:tcPr>
          <w:p>
            <w:pPr>
              <w:pStyle w:val="TableParagraph"/>
              <w:spacing w:line="240" w:lineRule="auto" w:before="84"/>
              <w:ind w:left="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00:00:05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line="240" w:lineRule="auto" w:before="84"/>
              <w:ind w:left="231" w:right="220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01" w:type="dxa"/>
            <w:vMerge w:val="restart"/>
          </w:tcPr>
          <w:p>
            <w:pPr>
              <w:pStyle w:val="TableParagraph"/>
              <w:spacing w:line="240" w:lineRule="auto" w:before="84"/>
              <w:ind w:left="333"/>
              <w:jc w:val="left"/>
              <w:rPr>
                <w:sz w:val="18"/>
              </w:rPr>
            </w:pPr>
            <w:r>
              <w:rPr>
                <w:sz w:val="18"/>
              </w:rPr>
              <w:t>Quantification</w:t>
            </w:r>
          </w:p>
        </w:tc>
      </w:tr>
      <w:tr>
        <w:trPr>
          <w:trHeight w:val="200" w:hRule="atLeast"/>
        </w:trPr>
        <w:tc>
          <w:tcPr>
            <w:tcW w:w="1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Single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00:00:30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274" w:right="267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4 </w:t>
            </w:r>
            <w:r>
              <w:rPr>
                <w:rFonts w:ascii="宋体" w:eastAsia="宋体" w:hint="eastAsia"/>
                <w:sz w:val="18"/>
              </w:rPr>
              <w:t>（可选）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00:00:10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</w:tbl>
    <w:p>
      <w:pPr>
        <w:pStyle w:val="BodyText"/>
        <w:spacing w:line="184" w:lineRule="exact"/>
        <w:ind w:left="487"/>
      </w:pPr>
      <w:r>
        <w:rPr/>
        <w:t>设置完毕，保存文件，运行反应程序。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00" w:lineRule="exact" w:before="0" w:after="0"/>
        <w:ind w:left="300" w:right="0" w:hanging="173"/>
        <w:jc w:val="left"/>
        <w:rPr>
          <w:sz w:val="18"/>
        </w:rPr>
      </w:pPr>
      <w:r>
        <w:rPr>
          <w:b/>
          <w:spacing w:val="-4"/>
          <w:sz w:val="18"/>
        </w:rPr>
        <w:t>结果分析</w:t>
      </w:r>
      <w:r>
        <w:rPr>
          <w:spacing w:val="-5"/>
          <w:sz w:val="18"/>
        </w:rPr>
        <w:t>（</w:t>
      </w:r>
      <w:r>
        <w:rPr>
          <w:spacing w:val="-3"/>
          <w:sz w:val="18"/>
        </w:rPr>
        <w:t>请参照各仪器使用说明书进行设置，以下分析以</w:t>
      </w:r>
      <w:r>
        <w:rPr>
          <w:rFonts w:ascii="Times New Roman" w:eastAsia="Times New Roman"/>
          <w:sz w:val="18"/>
        </w:rPr>
        <w:t>ABI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系列仪器为例）</w:t>
      </w:r>
    </w:p>
    <w:p>
      <w:pPr>
        <w:pStyle w:val="BodyText"/>
        <w:spacing w:line="208" w:lineRule="auto" w:before="7"/>
        <w:ind w:right="222" w:firstLine="352"/>
        <w:jc w:val="both"/>
      </w:pPr>
      <w:r>
        <w:rPr>
          <w:spacing w:val="-7"/>
        </w:rPr>
        <w:t>反应结束后自动保存结果，根据分析后图像调节</w:t>
      </w:r>
      <w:r>
        <w:rPr>
          <w:rFonts w:ascii="Times New Roman" w:hAnsi="Times New Roman" w:eastAsia="Times New Roman"/>
          <w:spacing w:val="-3"/>
        </w:rPr>
        <w:t>Baseline</w:t>
      </w:r>
      <w:r>
        <w:rPr>
          <w:spacing w:val="-5"/>
        </w:rPr>
        <w:t>的</w:t>
      </w:r>
      <w:r>
        <w:rPr>
          <w:rFonts w:ascii="Times New Roman" w:hAnsi="Times New Roman" w:eastAsia="Times New Roman"/>
          <w:spacing w:val="-3"/>
        </w:rPr>
        <w:t>Start</w:t>
      </w:r>
      <w:r>
        <w:rPr>
          <w:spacing w:val="-15"/>
        </w:rPr>
        <w:t>值、</w:t>
      </w:r>
      <w:r>
        <w:rPr>
          <w:rFonts w:ascii="Times New Roman" w:hAnsi="Times New Roman" w:eastAsia="Times New Roman"/>
          <w:spacing w:val="-3"/>
        </w:rPr>
        <w:t>End</w:t>
      </w:r>
      <w:r>
        <w:rPr>
          <w:spacing w:val="-5"/>
        </w:rPr>
        <w:t>值以及</w:t>
      </w:r>
      <w:r>
        <w:rPr>
          <w:rFonts w:ascii="Times New Roman" w:hAnsi="Times New Roman" w:eastAsia="Times New Roman"/>
          <w:spacing w:val="-3"/>
        </w:rPr>
        <w:t>Threshold</w:t>
      </w:r>
      <w:r>
        <w:rPr>
          <w:spacing w:val="-24"/>
        </w:rPr>
        <w:t>值</w:t>
      </w:r>
      <w:r>
        <w:rPr>
          <w:spacing w:val="-8"/>
        </w:rPr>
        <w:t>（</w:t>
      </w:r>
      <w:r>
        <w:rPr>
          <w:spacing w:val="-6"/>
        </w:rPr>
        <w:t>用户可根据实际情况自行调整，</w:t>
      </w:r>
      <w:r>
        <w:rPr>
          <w:rFonts w:ascii="Times New Roman" w:hAnsi="Times New Roman" w:eastAsia="Times New Roman"/>
          <w:spacing w:val="-6"/>
        </w:rPr>
        <w:t>Start </w:t>
      </w:r>
      <w:r>
        <w:rPr>
          <w:spacing w:val="-5"/>
        </w:rPr>
        <w:t>值可以在</w:t>
      </w:r>
      <w:r>
        <w:rPr>
          <w:rFonts w:ascii="Times New Roman" w:hAnsi="Times New Roman" w:eastAsia="Times New Roman"/>
          <w:spacing w:val="-3"/>
        </w:rPr>
        <w:t>3</w:t>
      </w:r>
      <w:r>
        <w:rPr>
          <w:spacing w:val="-3"/>
        </w:rPr>
        <w:t>～</w:t>
      </w:r>
      <w:r>
        <w:rPr>
          <w:rFonts w:ascii="Times New Roman" w:hAnsi="Times New Roman" w:eastAsia="Times New Roman"/>
          <w:spacing w:val="-3"/>
        </w:rPr>
        <w:t>15</w:t>
      </w:r>
      <w:r>
        <w:rPr>
          <w:spacing w:val="-24"/>
        </w:rPr>
        <w:t>、</w:t>
      </w:r>
      <w:r>
        <w:rPr>
          <w:rFonts w:ascii="Times New Roman" w:hAnsi="Times New Roman" w:eastAsia="Times New Roman"/>
          <w:spacing w:val="-3"/>
        </w:rPr>
        <w:t>End</w:t>
      </w:r>
      <w:r>
        <w:rPr>
          <w:spacing w:val="-5"/>
        </w:rPr>
        <w:t>值可设在</w:t>
      </w:r>
      <w:r>
        <w:rPr>
          <w:rFonts w:ascii="Times New Roman" w:hAnsi="Times New Roman" w:eastAsia="Times New Roman"/>
          <w:spacing w:val="-7"/>
        </w:rPr>
        <w:t>5</w:t>
      </w:r>
      <w:r>
        <w:rPr>
          <w:spacing w:val="-7"/>
        </w:rPr>
        <w:t>～</w:t>
      </w:r>
      <w:r>
        <w:rPr>
          <w:rFonts w:ascii="Times New Roman" w:hAnsi="Times New Roman" w:eastAsia="Times New Roman"/>
          <w:spacing w:val="-7"/>
        </w:rPr>
        <w:t>20</w:t>
      </w:r>
      <w:r>
        <w:rPr>
          <w:spacing w:val="-5"/>
        </w:rPr>
        <w:t>，调整阴性对照的扩增曲线平直或低于阈值线</w:t>
      </w:r>
      <w:r>
        <w:rPr>
          <w:spacing w:val="-23"/>
        </w:rPr>
        <w:t>）</w:t>
      </w:r>
      <w:r>
        <w:rPr>
          <w:spacing w:val="-11"/>
        </w:rPr>
        <w:t>，点击</w:t>
      </w:r>
      <w:r>
        <w:rPr>
          <w:rFonts w:ascii="Times New Roman" w:hAnsi="Times New Roman" w:eastAsia="Times New Roman"/>
          <w:spacing w:val="-3"/>
        </w:rPr>
        <w:t>Analyze</w:t>
      </w:r>
      <w:r>
        <w:rPr>
          <w:spacing w:val="-9"/>
        </w:rPr>
        <w:t>进行分析，使各项参数符合下述</w:t>
      </w:r>
      <w:r>
        <w:rPr>
          <w:rFonts w:ascii="Times New Roman" w:hAnsi="Times New Roman" w:eastAsia="Times New Roman"/>
        </w:rPr>
        <w:t>“6 </w:t>
      </w:r>
      <w:r>
        <w:rPr>
          <w:spacing w:val="-5"/>
        </w:rPr>
        <w:t>质量控制</w:t>
      </w:r>
      <w:r>
        <w:rPr>
          <w:rFonts w:ascii="Times New Roman" w:hAnsi="Times New Roman" w:eastAsia="Times New Roman"/>
          <w:spacing w:val="-4"/>
        </w:rPr>
        <w:t>”</w:t>
      </w:r>
      <w:r>
        <w:rPr>
          <w:spacing w:val="-5"/>
        </w:rPr>
        <w:t>中的要求，然后到</w:t>
      </w:r>
      <w:r>
        <w:rPr>
          <w:rFonts w:ascii="Times New Roman" w:hAnsi="Times New Roman" w:eastAsia="Times New Roman"/>
        </w:rPr>
        <w:t>Plate</w:t>
      </w:r>
      <w:r>
        <w:rPr/>
        <w:t>窗口下记录</w:t>
      </w:r>
      <w:r>
        <w:rPr>
          <w:rFonts w:ascii="Times New Roman" w:hAnsi="Times New Roman" w:eastAsia="Times New Roman"/>
          <w:spacing w:val="-3"/>
        </w:rPr>
        <w:t>Ct</w:t>
      </w:r>
      <w:r>
        <w:rPr>
          <w:spacing w:val="-3"/>
        </w:rPr>
        <w:t>值和定量结果。</w:t>
      </w:r>
    </w:p>
    <w:p>
      <w:pPr>
        <w:pStyle w:val="Heading1"/>
        <w:numPr>
          <w:ilvl w:val="0"/>
          <w:numId w:val="3"/>
        </w:numPr>
        <w:tabs>
          <w:tab w:pos="300" w:val="left" w:leader="none"/>
        </w:tabs>
        <w:spacing w:line="190" w:lineRule="exact" w:before="0" w:after="0"/>
        <w:ind w:left="300" w:right="0" w:hanging="173"/>
        <w:jc w:val="both"/>
      </w:pPr>
      <w:r>
        <w:rPr>
          <w:spacing w:val="-3"/>
        </w:rPr>
        <w:t>质量控制</w:t>
      </w:r>
    </w:p>
    <w:p>
      <w:pPr>
        <w:pStyle w:val="ListParagraph"/>
        <w:numPr>
          <w:ilvl w:val="1"/>
          <w:numId w:val="3"/>
        </w:numPr>
        <w:tabs>
          <w:tab w:pos="389" w:val="left" w:leader="none"/>
        </w:tabs>
        <w:spacing w:line="200" w:lineRule="exact" w:before="0" w:after="0"/>
        <w:ind w:left="388" w:right="0" w:hanging="262"/>
        <w:jc w:val="both"/>
        <w:rPr>
          <w:sz w:val="18"/>
        </w:rPr>
      </w:pPr>
      <w:r>
        <w:rPr>
          <w:rFonts w:ascii="Times New Roman" w:hAnsi="Times New Roman" w:eastAsia="Times New Roman"/>
          <w:spacing w:val="-6"/>
          <w:sz w:val="18"/>
        </w:rPr>
        <w:t>HSV-2-</w:t>
      </w:r>
      <w:r>
        <w:rPr>
          <w:spacing w:val="-4"/>
          <w:sz w:val="18"/>
        </w:rPr>
        <w:t>阴性对照：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2"/>
          <w:sz w:val="18"/>
        </w:rPr>
        <w:t>值无显示；但内标检测为阳性，且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8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≤40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3"/>
        </w:numPr>
        <w:tabs>
          <w:tab w:pos="389" w:val="left" w:leader="none"/>
        </w:tabs>
        <w:spacing w:line="200" w:lineRule="exact" w:before="0" w:after="0"/>
        <w:ind w:left="388" w:right="0" w:hanging="262"/>
        <w:jc w:val="left"/>
        <w:rPr>
          <w:sz w:val="18"/>
        </w:rPr>
      </w:pPr>
      <w:r>
        <w:rPr>
          <w:rFonts w:ascii="Times New Roman" w:eastAsia="Times New Roman"/>
          <w:spacing w:val="-6"/>
          <w:sz w:val="18"/>
        </w:rPr>
        <w:t>HSV-2-</w:t>
      </w:r>
      <w:r>
        <w:rPr>
          <w:spacing w:val="-9"/>
          <w:sz w:val="18"/>
        </w:rPr>
        <w:t>阳性对照：检测浓度值介于 </w:t>
      </w:r>
      <w:r>
        <w:rPr>
          <w:rFonts w:ascii="Times New Roman" w:eastAsia="Times New Roman"/>
          <w:sz w:val="18"/>
        </w:rPr>
        <w:t>4.59E</w:t>
      </w:r>
      <w:r>
        <w:rPr>
          <w:rFonts w:ascii="Times New Roman" w:eastAsia="Times New Roman"/>
          <w:spacing w:val="-5"/>
          <w:sz w:val="18"/>
        </w:rPr>
        <w:t> +</w:t>
      </w:r>
      <w:r>
        <w:rPr>
          <w:rFonts w:ascii="Times New Roman" w:eastAsia="Times New Roman"/>
          <w:spacing w:val="-3"/>
          <w:sz w:val="18"/>
        </w:rPr>
        <w:t>004~3.65E+005copies/mL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3"/>
        </w:numPr>
        <w:tabs>
          <w:tab w:pos="432" w:val="left" w:leader="none"/>
        </w:tabs>
        <w:spacing w:line="199" w:lineRule="exact" w:before="0" w:after="0"/>
        <w:ind w:left="432" w:right="0" w:hanging="305"/>
        <w:jc w:val="left"/>
        <w:rPr>
          <w:sz w:val="18"/>
        </w:rPr>
      </w:pPr>
      <w:r>
        <w:rPr>
          <w:spacing w:val="17"/>
          <w:sz w:val="18"/>
        </w:rPr>
        <w:t>四个</w:t>
      </w:r>
      <w:r>
        <w:rPr>
          <w:rFonts w:ascii="Times New Roman" w:hAnsi="Times New Roman" w:eastAsia="Times New Roman"/>
          <w:spacing w:val="-5"/>
          <w:sz w:val="18"/>
        </w:rPr>
        <w:t>HSV-2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4"/>
          <w:sz w:val="18"/>
        </w:rPr>
        <w:t>定量参考品：均检测为阳性，且标准曲线相关系数</w:t>
      </w:r>
      <w:r>
        <w:rPr>
          <w:rFonts w:ascii="Times New Roman" w:hAnsi="Times New Roman" w:eastAsia="Times New Roman"/>
          <w:sz w:val="18"/>
        </w:rPr>
        <w:t>R</w:t>
      </w:r>
      <w:r>
        <w:rPr>
          <w:rFonts w:ascii="Times New Roman" w:hAnsi="Times New Roman" w:eastAsia="Times New Roman"/>
          <w:position w:val="6"/>
          <w:sz w:val="11"/>
        </w:rPr>
        <w:t>2</w:t>
      </w:r>
      <w:r>
        <w:rPr>
          <w:rFonts w:ascii="Times New Roman" w:hAnsi="Times New Roman" w:eastAsia="Times New Roman"/>
          <w:sz w:val="18"/>
        </w:rPr>
        <w:t>≥0.98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3"/>
        </w:numPr>
        <w:tabs>
          <w:tab w:pos="432" w:val="left" w:leader="none"/>
        </w:tabs>
        <w:spacing w:line="200" w:lineRule="exact" w:before="0" w:after="0"/>
        <w:ind w:left="432" w:right="0" w:hanging="305"/>
        <w:jc w:val="left"/>
        <w:rPr>
          <w:sz w:val="18"/>
        </w:rPr>
      </w:pPr>
      <w:r>
        <w:rPr>
          <w:spacing w:val="-5"/>
          <w:sz w:val="18"/>
        </w:rPr>
        <w:t>以上要求需在同一次实验中同时满足，否则，本次实验无效，需重新进行。</w:t>
      </w:r>
    </w:p>
    <w:p>
      <w:pPr>
        <w:pStyle w:val="Heading1"/>
        <w:spacing w:line="200" w:lineRule="exact"/>
      </w:pPr>
      <w:r>
        <w:rPr/>
        <w:t>【阳性判断值】</w:t>
      </w:r>
    </w:p>
    <w:p>
      <w:pPr>
        <w:pStyle w:val="BodyText"/>
        <w:spacing w:line="199" w:lineRule="exact"/>
        <w:ind w:left="484"/>
      </w:pPr>
      <w:r>
        <w:rPr/>
        <w:t>通过参考值的研究确定本试剂盒检测目标基因的</w:t>
      </w:r>
      <w:r>
        <w:rPr>
          <w:rFonts w:ascii="Times New Roman" w:eastAsia="Times New Roman"/>
        </w:rPr>
        <w:t>Ct </w:t>
      </w:r>
      <w:r>
        <w:rPr/>
        <w:t>参考值为 </w:t>
      </w:r>
      <w:r>
        <w:rPr>
          <w:rFonts w:ascii="Times New Roman" w:eastAsia="Times New Roman"/>
        </w:rPr>
        <w:t>39</w:t>
      </w:r>
      <w:r>
        <w:rPr/>
        <w:t>，检测内标的</w:t>
      </w:r>
      <w:r>
        <w:rPr>
          <w:rFonts w:ascii="Times New Roman" w:eastAsia="Times New Roman"/>
        </w:rPr>
        <w:t>Ct </w:t>
      </w:r>
      <w:r>
        <w:rPr/>
        <w:t>参考值为 </w:t>
      </w:r>
      <w:r>
        <w:rPr>
          <w:rFonts w:ascii="Times New Roman" w:eastAsia="Times New Roman"/>
        </w:rPr>
        <w:t>40</w:t>
      </w:r>
      <w:r>
        <w:rPr/>
        <w:t>。</w:t>
      </w:r>
    </w:p>
    <w:p>
      <w:pPr>
        <w:pStyle w:val="Heading1"/>
        <w:spacing w:line="200" w:lineRule="exact"/>
      </w:pPr>
      <w:r>
        <w:rPr/>
        <w:t>【检验结果的解释】</w:t>
      </w:r>
    </w:p>
    <w:p>
      <w:pPr>
        <w:pStyle w:val="ListParagraph"/>
        <w:numPr>
          <w:ilvl w:val="0"/>
          <w:numId w:val="4"/>
        </w:numPr>
        <w:tabs>
          <w:tab w:pos="300" w:val="left" w:leader="none"/>
        </w:tabs>
        <w:spacing w:line="200" w:lineRule="exact" w:before="0" w:after="0"/>
        <w:ind w:left="300" w:right="0" w:hanging="173"/>
        <w:jc w:val="left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≤39</w:t>
      </w:r>
      <w:r>
        <w:rPr>
          <w:sz w:val="18"/>
        </w:rPr>
        <w:t>、扩增曲线成明显</w:t>
      </w:r>
      <w:r>
        <w:rPr>
          <w:rFonts w:ascii="Times New Roman" w:hAnsi="Times New Roman" w:eastAsia="Times New Roman"/>
          <w:sz w:val="18"/>
        </w:rPr>
        <w:t>S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9"/>
          <w:sz w:val="18"/>
        </w:rPr>
        <w:t>型的样本，报告为单纯疱疹病毒 </w:t>
      </w:r>
      <w:r>
        <w:rPr>
          <w:rFonts w:ascii="Times New Roman" w:hAnsi="Times New Roman" w:eastAsia="Times New Roman"/>
          <w:sz w:val="18"/>
        </w:rPr>
        <w:t>2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型（</w:t>
      </w:r>
      <w:r>
        <w:rPr>
          <w:rFonts w:ascii="Times New Roman" w:hAnsi="Times New Roman" w:eastAsia="Times New Roman"/>
          <w:spacing w:val="-5"/>
          <w:sz w:val="18"/>
        </w:rPr>
        <w:t>HSV-2</w:t>
      </w:r>
      <w:r>
        <w:rPr>
          <w:spacing w:val="-5"/>
          <w:sz w:val="18"/>
        </w:rPr>
        <w:t>）</w:t>
      </w:r>
      <w:r>
        <w:rPr>
          <w:spacing w:val="-9"/>
          <w:sz w:val="18"/>
        </w:rPr>
        <w:t> </w:t>
      </w:r>
      <w:r>
        <w:rPr>
          <w:rFonts w:ascii="Times New Roman" w:hAnsi="Times New Roman" w:eastAsia="Times New Roman"/>
          <w:sz w:val="18"/>
        </w:rPr>
        <w:t>DNA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3"/>
          <w:sz w:val="18"/>
        </w:rPr>
        <w:t>阳性；</w:t>
      </w:r>
    </w:p>
    <w:p>
      <w:pPr>
        <w:pStyle w:val="ListParagraph"/>
        <w:numPr>
          <w:ilvl w:val="0"/>
          <w:numId w:val="4"/>
        </w:numPr>
        <w:tabs>
          <w:tab w:pos="300" w:val="left" w:leader="none"/>
        </w:tabs>
        <w:spacing w:line="206" w:lineRule="auto" w:before="10" w:after="0"/>
        <w:ind w:left="307" w:right="212" w:hanging="180"/>
        <w:jc w:val="left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pacing w:val="-1"/>
          <w:sz w:val="18"/>
        </w:rPr>
        <w:t>C</w:t>
      </w:r>
      <w:r>
        <w:rPr>
          <w:rFonts w:ascii="Times New Roman" w:hAnsi="Times New Roman" w:eastAsia="Times New Roman"/>
          <w:sz w:val="18"/>
        </w:rPr>
        <w:t>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1"/>
          <w:sz w:val="18"/>
        </w:rPr>
        <w:t>&gt;</w:t>
      </w:r>
      <w:r>
        <w:rPr>
          <w:rFonts w:ascii="Times New Roman" w:hAnsi="Times New Roman" w:eastAsia="Times New Roman"/>
          <w:spacing w:val="-2"/>
          <w:sz w:val="18"/>
        </w:rPr>
        <w:t>3</w:t>
      </w:r>
      <w:r>
        <w:rPr>
          <w:rFonts w:ascii="Times New Roman" w:hAnsi="Times New Roman" w:eastAsia="Times New Roman"/>
          <w:sz w:val="18"/>
        </w:rPr>
        <w:t>9</w:t>
      </w:r>
      <w:r>
        <w:rPr>
          <w:rFonts w:ascii="Times New Roman" w:hAnsi="Times New Roman" w:eastAsia="Times New Roman"/>
          <w:spacing w:val="-4"/>
          <w:sz w:val="18"/>
        </w:rPr>
        <w:t>  </w:t>
      </w:r>
      <w:r>
        <w:rPr>
          <w:spacing w:val="-6"/>
          <w:sz w:val="18"/>
        </w:rPr>
        <w:t>的样本，同时，内标检测为阳性</w:t>
      </w:r>
      <w:r>
        <w:rPr>
          <w:spacing w:val="-5"/>
          <w:sz w:val="18"/>
        </w:rPr>
        <w:t>（</w:t>
      </w:r>
      <w:r>
        <w:rPr>
          <w:rFonts w:ascii="Times New Roman" w:hAnsi="Times New Roman" w:eastAsia="Times New Roman"/>
          <w:spacing w:val="-1"/>
          <w:sz w:val="18"/>
        </w:rPr>
        <w:t>C</w:t>
      </w:r>
      <w:r>
        <w:rPr>
          <w:rFonts w:ascii="Times New Roman" w:hAnsi="Times New Roman" w:eastAsia="Times New Roman"/>
          <w:sz w:val="18"/>
        </w:rPr>
        <w:t>t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</w:t>
      </w:r>
      <w:r>
        <w:rPr>
          <w:rFonts w:ascii="Times New Roman" w:hAnsi="Times New Roman" w:eastAsia="Times New Roman"/>
          <w:spacing w:val="-2"/>
          <w:sz w:val="18"/>
        </w:rPr>
        <w:t>4</w:t>
      </w:r>
      <w:r>
        <w:rPr>
          <w:rFonts w:ascii="Times New Roman" w:hAnsi="Times New Roman" w:eastAsia="Times New Roman"/>
          <w:spacing w:val="-4"/>
          <w:sz w:val="18"/>
        </w:rPr>
        <w:t>0</w:t>
      </w:r>
      <w:r>
        <w:rPr>
          <w:spacing w:val="-89"/>
          <w:sz w:val="18"/>
        </w:rPr>
        <w:t>）</w:t>
      </w:r>
      <w:r>
        <w:rPr>
          <w:spacing w:val="-10"/>
          <w:sz w:val="18"/>
        </w:rPr>
        <w:t>，报告注明单纯疱疹病毒 </w:t>
      </w:r>
      <w:r>
        <w:rPr>
          <w:rFonts w:ascii="Times New Roman" w:hAnsi="Times New Roman" w:eastAsia="Times New Roman"/>
          <w:sz w:val="18"/>
        </w:rPr>
        <w:t>2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8"/>
          <w:sz w:val="18"/>
        </w:rPr>
        <w:t>型</w:t>
      </w:r>
      <w:r>
        <w:rPr>
          <w:spacing w:val="-3"/>
          <w:sz w:val="18"/>
        </w:rPr>
        <w:t>（</w:t>
      </w:r>
      <w:r>
        <w:rPr>
          <w:rFonts w:ascii="Times New Roman" w:hAnsi="Times New Roman" w:eastAsia="Times New Roman"/>
          <w:spacing w:val="-1"/>
          <w:sz w:val="18"/>
        </w:rPr>
        <w:t>H</w:t>
      </w:r>
      <w:r>
        <w:rPr>
          <w:rFonts w:ascii="Times New Roman" w:hAnsi="Times New Roman" w:eastAsia="Times New Roman"/>
          <w:spacing w:val="-2"/>
          <w:sz w:val="18"/>
        </w:rPr>
        <w:t>S</w:t>
      </w:r>
      <w:r>
        <w:rPr>
          <w:rFonts w:ascii="Times New Roman" w:hAnsi="Times New Roman" w:eastAsia="Times New Roman"/>
          <w:spacing w:val="-18"/>
          <w:sz w:val="18"/>
        </w:rPr>
        <w:t>V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rFonts w:ascii="Times New Roman" w:hAnsi="Times New Roman" w:eastAsia="Times New Roman"/>
          <w:spacing w:val="-6"/>
          <w:sz w:val="18"/>
        </w:rPr>
        <w:t>2</w:t>
      </w:r>
      <w:r>
        <w:rPr>
          <w:sz w:val="18"/>
        </w:rPr>
        <w:t>）</w:t>
      </w:r>
      <w:r>
        <w:rPr>
          <w:spacing w:val="-9"/>
          <w:sz w:val="18"/>
        </w:rPr>
        <w:t> </w:t>
      </w:r>
      <w:r>
        <w:rPr>
          <w:rFonts w:ascii="Times New Roman" w:hAnsi="Times New Roman" w:eastAsia="Times New Roman"/>
          <w:spacing w:val="-1"/>
          <w:sz w:val="18"/>
        </w:rPr>
        <w:t>D</w:t>
      </w:r>
      <w:r>
        <w:rPr>
          <w:rFonts w:ascii="Times New Roman" w:hAnsi="Times New Roman" w:eastAsia="Times New Roman"/>
          <w:spacing w:val="-3"/>
          <w:sz w:val="18"/>
        </w:rPr>
        <w:t>N</w:t>
      </w:r>
      <w:r>
        <w:rPr>
          <w:rFonts w:ascii="Times New Roman" w:hAnsi="Times New Roman" w:eastAsia="Times New Roman"/>
          <w:sz w:val="18"/>
        </w:rPr>
        <w:t>A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低于试剂盒检测下</w:t>
      </w:r>
      <w:r>
        <w:rPr>
          <w:spacing w:val="-12"/>
          <w:sz w:val="18"/>
        </w:rPr>
        <w:t>限</w:t>
      </w:r>
      <w:r>
        <w:rPr>
          <w:spacing w:val="-5"/>
          <w:sz w:val="18"/>
        </w:rPr>
        <w:t>（</w:t>
      </w:r>
      <w:r>
        <w:rPr>
          <w:spacing w:val="-4"/>
          <w:sz w:val="18"/>
        </w:rPr>
        <w:t>浓度</w:t>
      </w:r>
      <w:r>
        <w:rPr>
          <w:rFonts w:ascii="Times New Roman" w:hAnsi="Times New Roman" w:eastAsia="Times New Roman"/>
          <w:spacing w:val="-1"/>
          <w:sz w:val="18"/>
        </w:rPr>
        <w:t>&lt;</w:t>
      </w:r>
      <w:r>
        <w:rPr>
          <w:rFonts w:ascii="Times New Roman" w:hAnsi="Times New Roman" w:eastAsia="Times New Roman"/>
          <w:spacing w:val="-2"/>
          <w:sz w:val="18"/>
        </w:rPr>
        <w:t>40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8"/>
          <w:sz w:val="18"/>
        </w:rPr>
        <w:t> </w:t>
      </w:r>
      <w:r>
        <w:rPr>
          <w:rFonts w:ascii="Times New Roman" w:hAnsi="Times New Roman" w:eastAsia="Times New Roman"/>
          <w:spacing w:val="-1"/>
          <w:sz w:val="18"/>
        </w:rPr>
        <w:t>c</w:t>
      </w:r>
      <w:r>
        <w:rPr>
          <w:rFonts w:ascii="Times New Roman" w:hAnsi="Times New Roman" w:eastAsia="Times New Roman"/>
          <w:spacing w:val="-2"/>
          <w:sz w:val="18"/>
        </w:rPr>
        <w:t>opi</w:t>
      </w:r>
      <w:r>
        <w:rPr>
          <w:rFonts w:ascii="Times New Roman" w:hAnsi="Times New Roman" w:eastAsia="Times New Roman"/>
          <w:spacing w:val="-4"/>
          <w:sz w:val="18"/>
        </w:rPr>
        <w:t>e</w:t>
      </w:r>
      <w:r>
        <w:rPr>
          <w:rFonts w:ascii="Times New Roman" w:hAnsi="Times New Roman" w:eastAsia="Times New Roman"/>
          <w:spacing w:val="-3"/>
          <w:sz w:val="18"/>
        </w:rPr>
        <w:t>s</w:t>
      </w:r>
      <w:r>
        <w:rPr>
          <w:rFonts w:ascii="Times New Roman" w:hAnsi="Times New Roman" w:eastAsia="Times New Roman"/>
          <w:spacing w:val="-2"/>
          <w:sz w:val="18"/>
        </w:rPr>
        <w:t>/</w:t>
      </w:r>
      <w:r>
        <w:rPr>
          <w:rFonts w:ascii="Times New Roman" w:hAnsi="Times New Roman" w:eastAsia="Times New Roman"/>
          <w:spacing w:val="-4"/>
          <w:sz w:val="18"/>
        </w:rPr>
        <w:t>m</w:t>
      </w:r>
      <w:r>
        <w:rPr>
          <w:rFonts w:ascii="Times New Roman" w:hAnsi="Times New Roman" w:eastAsia="Times New Roman"/>
          <w:sz w:val="18"/>
        </w:rPr>
        <w:t>L</w:t>
      </w:r>
      <w:r>
        <w:rPr>
          <w:spacing w:val="-94"/>
          <w:sz w:val="18"/>
        </w:rPr>
        <w:t>）</w:t>
      </w:r>
      <w:r>
        <w:rPr>
          <w:spacing w:val="-16"/>
          <w:sz w:val="18"/>
        </w:rPr>
        <w:t>；若内标 </w:t>
      </w:r>
      <w:r>
        <w:rPr>
          <w:rFonts w:ascii="Times New Roman" w:hAnsi="Times New Roman" w:eastAsia="Times New Roman"/>
          <w:spacing w:val="-1"/>
          <w:sz w:val="18"/>
        </w:rPr>
        <w:t>C</w:t>
      </w:r>
      <w:r>
        <w:rPr>
          <w:rFonts w:ascii="Times New Roman" w:hAnsi="Times New Roman" w:eastAsia="Times New Roman"/>
          <w:sz w:val="18"/>
        </w:rPr>
        <w:t>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2"/>
          <w:sz w:val="18"/>
        </w:rPr>
        <w:t>&gt; 4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9"/>
          <w:sz w:val="18"/>
        </w:rPr>
        <w:t>或无显示，则该样本的检测结果无效，应查找并排除原因，并对此样本进行重复实验</w:t>
      </w:r>
    </w:p>
    <w:p>
      <w:pPr>
        <w:pStyle w:val="BodyText"/>
        <w:spacing w:line="194" w:lineRule="exact"/>
        <w:ind w:left="307"/>
      </w:pPr>
      <w:r>
        <w:rPr>
          <w:spacing w:val="-5"/>
        </w:rPr>
        <w:t>（若重复试验的检测结果仍无效，请与本公司联系</w:t>
      </w:r>
      <w:r>
        <w:rPr>
          <w:spacing w:val="-92"/>
        </w:rPr>
        <w:t>）</w:t>
      </w:r>
      <w:r>
        <w:rPr/>
        <w:t>。</w:t>
      </w:r>
    </w:p>
    <w:p>
      <w:pPr>
        <w:pStyle w:val="Heading1"/>
      </w:pPr>
      <w:r>
        <w:rPr/>
        <w:t>【检验方法的局限性】</w:t>
      </w:r>
    </w:p>
    <w:p>
      <w:pPr>
        <w:pStyle w:val="BodyText"/>
        <w:spacing w:line="208" w:lineRule="auto" w:before="8"/>
        <w:ind w:right="220" w:firstLine="357"/>
      </w:pPr>
      <w:r>
        <w:rPr>
          <w:spacing w:val="-5"/>
        </w:rPr>
        <w:t>样本检测结果与样本收集、处理、运送及保存质量有关，其中任何失误都将会导致结果不准确。如果样本处理时没有控制好交叉污染，可能出现假阳性结果。</w:t>
      </w:r>
    </w:p>
    <w:p>
      <w:pPr>
        <w:pStyle w:val="Heading1"/>
        <w:spacing w:line="191" w:lineRule="exact"/>
      </w:pPr>
      <w:r>
        <w:rPr/>
        <w:t>【产品性能指标】</w:t>
      </w:r>
    </w:p>
    <w:p>
      <w:pPr>
        <w:pStyle w:val="BodyText"/>
        <w:spacing w:line="208" w:lineRule="auto" w:before="7"/>
        <w:ind w:right="113" w:firstLine="264"/>
      </w:pPr>
      <w:r>
        <w:rPr>
          <w:spacing w:val="-9"/>
        </w:rPr>
        <w:t>本试剂盒检测企业工作参考品，阴、阳性符合率均为 </w:t>
      </w:r>
      <w:r>
        <w:rPr>
          <w:rFonts w:ascii="Times New Roman" w:hAnsi="Times New Roman" w:eastAsia="Times New Roman"/>
          <w:spacing w:val="-4"/>
        </w:rPr>
        <w:t>100%</w:t>
      </w:r>
      <w:r>
        <w:rPr>
          <w:spacing w:val="-5"/>
        </w:rPr>
        <w:t>；精密度试验表明：批内和批间重复性好，检测结果</w:t>
      </w:r>
      <w:r>
        <w:rPr>
          <w:rFonts w:ascii="Times New Roman" w:hAnsi="Times New Roman" w:eastAsia="Times New Roman"/>
        </w:rPr>
        <w:t>Ct </w:t>
      </w:r>
      <w:r>
        <w:rPr>
          <w:spacing w:val="-5"/>
        </w:rPr>
        <w:t>值的变异系数均</w:t>
      </w:r>
      <w:r>
        <w:rPr>
          <w:rFonts w:ascii="Times New Roman" w:hAnsi="Times New Roman" w:eastAsia="Times New Roman"/>
          <w:spacing w:val="-1"/>
        </w:rPr>
        <w:t>≤</w:t>
      </w:r>
      <w:r>
        <w:rPr>
          <w:rFonts w:ascii="Times New Roman" w:hAnsi="Times New Roman" w:eastAsia="Times New Roman"/>
          <w:spacing w:val="-2"/>
        </w:rPr>
        <w:t>5</w:t>
      </w:r>
      <w:r>
        <w:rPr>
          <w:rFonts w:ascii="Times New Roman" w:hAnsi="Times New Roman" w:eastAsia="Times New Roman"/>
          <w:spacing w:val="-4"/>
        </w:rPr>
        <w:t>%</w:t>
      </w:r>
      <w:r>
        <w:rPr>
          <w:spacing w:val="-13"/>
        </w:rPr>
        <w:t>；本试剂盒的最低检出量为 </w:t>
      </w:r>
      <w:r>
        <w:rPr>
          <w:rFonts w:ascii="Times New Roman" w:hAnsi="Times New Roman" w:eastAsia="Times New Roman"/>
          <w:spacing w:val="-2"/>
        </w:rPr>
        <w:t>4.00</w:t>
      </w:r>
      <w:r>
        <w:rPr>
          <w:rFonts w:ascii="Times New Roman" w:hAnsi="Times New Roman" w:eastAsia="Times New Roman"/>
          <w:spacing w:val="-5"/>
        </w:rPr>
        <w:t>E</w:t>
      </w:r>
      <w:r>
        <w:rPr>
          <w:rFonts w:ascii="Times New Roman" w:hAnsi="Times New Roman" w:eastAsia="Times New Roman"/>
          <w:spacing w:val="-1"/>
        </w:rPr>
        <w:t>+</w:t>
      </w:r>
      <w:r>
        <w:rPr>
          <w:rFonts w:ascii="Times New Roman" w:hAnsi="Times New Roman" w:eastAsia="Times New Roman"/>
          <w:spacing w:val="-4"/>
        </w:rPr>
        <w:t>0</w:t>
      </w:r>
      <w:r>
        <w:rPr>
          <w:rFonts w:ascii="Times New Roman" w:hAnsi="Times New Roman" w:eastAsia="Times New Roman"/>
        </w:rPr>
        <w:t>2 </w:t>
      </w:r>
      <w:r>
        <w:rPr>
          <w:rFonts w:ascii="Times New Roman" w:hAnsi="Times New Roman" w:eastAsia="Times New Roman"/>
          <w:spacing w:val="-1"/>
        </w:rPr>
        <w:t>c</w:t>
      </w:r>
      <w:r>
        <w:rPr>
          <w:rFonts w:ascii="Times New Roman" w:hAnsi="Times New Roman" w:eastAsia="Times New Roman"/>
          <w:spacing w:val="-2"/>
        </w:rPr>
        <w:t>opi</w:t>
      </w:r>
      <w:r>
        <w:rPr>
          <w:rFonts w:ascii="Times New Roman" w:hAnsi="Times New Roman" w:eastAsia="Times New Roman"/>
          <w:spacing w:val="-4"/>
        </w:rPr>
        <w:t>e</w:t>
      </w:r>
      <w:r>
        <w:rPr>
          <w:rFonts w:ascii="Times New Roman" w:hAnsi="Times New Roman" w:eastAsia="Times New Roman"/>
          <w:spacing w:val="-6"/>
        </w:rPr>
        <w:t>s</w:t>
      </w:r>
      <w:r>
        <w:rPr>
          <w:rFonts w:ascii="Times New Roman" w:hAnsi="Times New Roman" w:eastAsia="Times New Roman"/>
          <w:spacing w:val="-2"/>
        </w:rPr>
        <w:t>/</w:t>
      </w:r>
      <w:r>
        <w:rPr>
          <w:rFonts w:ascii="Times New Roman" w:hAnsi="Times New Roman" w:eastAsia="Times New Roman"/>
          <w:spacing w:val="-4"/>
        </w:rPr>
        <w:t>m</w:t>
      </w:r>
      <w:r>
        <w:rPr>
          <w:rFonts w:ascii="Times New Roman" w:hAnsi="Times New Roman" w:eastAsia="Times New Roman"/>
        </w:rPr>
        <w:t>L</w:t>
      </w:r>
      <w:r>
        <w:rPr>
          <w:spacing w:val="-12"/>
        </w:rPr>
        <w:t>；与常见性病病原体</w:t>
      </w:r>
      <w:r>
        <w:rPr>
          <w:spacing w:val="-5"/>
        </w:rPr>
        <w:t>（</w:t>
      </w:r>
      <w:r>
        <w:rPr>
          <w:spacing w:val="-11"/>
        </w:rPr>
        <w:t>沙眼衣原体</w:t>
      </w:r>
      <w:r>
        <w:rPr>
          <w:spacing w:val="-5"/>
        </w:rPr>
        <w:t>（</w:t>
      </w:r>
      <w:r>
        <w:rPr>
          <w:rFonts w:ascii="Times New Roman" w:hAnsi="Times New Roman" w:eastAsia="Times New Roman"/>
          <w:spacing w:val="-1"/>
        </w:rPr>
        <w:t>C</w:t>
      </w:r>
      <w:r>
        <w:rPr>
          <w:rFonts w:ascii="Times New Roman" w:hAnsi="Times New Roman" w:eastAsia="Times New Roman"/>
          <w:spacing w:val="-5"/>
        </w:rPr>
        <w:t>T</w:t>
      </w:r>
      <w:r>
        <w:rPr>
          <w:spacing w:val="-34"/>
        </w:rPr>
        <w:t>）</w:t>
      </w:r>
      <w:r>
        <w:rPr>
          <w:rFonts w:ascii="Times New Roman" w:hAnsi="Times New Roman" w:eastAsia="Times New Roman"/>
        </w:rPr>
        <w:t>T</w:t>
      </w:r>
      <w:r>
        <w:rPr>
          <w:spacing w:val="-15"/>
        </w:rPr>
        <w:t>、解脲脲原体</w:t>
      </w:r>
      <w:r>
        <w:rPr>
          <w:spacing w:val="-5"/>
        </w:rPr>
        <w:t>（</w:t>
      </w:r>
      <w:r>
        <w:rPr>
          <w:rFonts w:ascii="Times New Roman" w:hAnsi="Times New Roman" w:eastAsia="Times New Roman"/>
          <w:spacing w:val="-1"/>
        </w:rPr>
        <w:t>U</w:t>
      </w:r>
      <w:r>
        <w:rPr>
          <w:rFonts w:ascii="Times New Roman" w:hAnsi="Times New Roman" w:eastAsia="Times New Roman"/>
          <w:spacing w:val="-3"/>
        </w:rPr>
        <w:t>U</w:t>
      </w:r>
      <w:r>
        <w:rPr>
          <w:spacing w:val="-94"/>
        </w:rPr>
        <w:t>）</w:t>
      </w:r>
      <w:r>
        <w:rPr>
          <w:spacing w:val="-19"/>
        </w:rPr>
        <w:t>、淋球菌</w:t>
      </w:r>
      <w:r>
        <w:rPr>
          <w:spacing w:val="-5"/>
        </w:rPr>
        <w:t>（</w:t>
      </w:r>
      <w:r>
        <w:rPr>
          <w:rFonts w:ascii="Times New Roman" w:hAnsi="Times New Roman" w:eastAsia="Times New Roman"/>
          <w:spacing w:val="-1"/>
        </w:rPr>
        <w:t>N</w:t>
      </w:r>
      <w:r>
        <w:rPr>
          <w:rFonts w:ascii="Times New Roman" w:hAnsi="Times New Roman" w:eastAsia="Times New Roman"/>
          <w:spacing w:val="-6"/>
        </w:rPr>
        <w:t>G</w:t>
      </w:r>
      <w:r>
        <w:rPr>
          <w:spacing w:val="-89"/>
        </w:rPr>
        <w:t>）</w:t>
      </w:r>
      <w:r>
        <w:rPr/>
        <w:t>、</w:t>
      </w:r>
      <w:r>
        <w:rPr>
          <w:spacing w:val="-5"/>
        </w:rPr>
        <w:t>人乳头瘤病毒</w:t>
      </w:r>
      <w:r>
        <w:rPr>
          <w:spacing w:val="-4"/>
        </w:rPr>
        <w:t>（</w:t>
      </w:r>
      <w:r>
        <w:rPr>
          <w:rFonts w:ascii="Times New Roman" w:hAnsi="Times New Roman" w:eastAsia="Times New Roman"/>
          <w:spacing w:val="-4"/>
        </w:rPr>
        <w:t>HPV</w:t>
      </w:r>
      <w:r>
        <w:rPr>
          <w:spacing w:val="-4"/>
        </w:rPr>
        <w:t>）</w:t>
      </w:r>
      <w:r>
        <w:rPr>
          <w:spacing w:val="-3"/>
        </w:rPr>
        <w:t>等</w:t>
      </w:r>
      <w:r>
        <w:rPr>
          <w:spacing w:val="-5"/>
        </w:rPr>
        <w:t>）无交叉反应。</w:t>
      </w:r>
    </w:p>
    <w:p>
      <w:pPr>
        <w:pStyle w:val="Heading1"/>
        <w:spacing w:line="191" w:lineRule="exact"/>
      </w:pPr>
      <w:r>
        <w:rPr/>
        <w:t>【注意事项】</w:t>
      </w:r>
    </w:p>
    <w:p>
      <w:pPr>
        <w:pStyle w:val="ListParagraph"/>
        <w:numPr>
          <w:ilvl w:val="0"/>
          <w:numId w:val="5"/>
        </w:numPr>
        <w:tabs>
          <w:tab w:pos="344" w:val="left" w:leader="none"/>
        </w:tabs>
        <w:spacing w:line="200" w:lineRule="exact" w:before="0" w:after="0"/>
        <w:ind w:left="343" w:right="0" w:hanging="217"/>
        <w:jc w:val="left"/>
        <w:rPr>
          <w:sz w:val="18"/>
        </w:rPr>
      </w:pPr>
      <w:r>
        <w:rPr>
          <w:spacing w:val="-5"/>
          <w:sz w:val="18"/>
        </w:rPr>
        <w:t>本品仅用于体外诊断，使用前请仔细阅读本说明书。</w:t>
      </w:r>
    </w:p>
    <w:p>
      <w:pPr>
        <w:pStyle w:val="ListParagraph"/>
        <w:numPr>
          <w:ilvl w:val="0"/>
          <w:numId w:val="5"/>
        </w:numPr>
        <w:tabs>
          <w:tab w:pos="344" w:val="left" w:leader="none"/>
        </w:tabs>
        <w:spacing w:line="199" w:lineRule="exact" w:before="0" w:after="0"/>
        <w:ind w:left="343" w:right="0" w:hanging="217"/>
        <w:jc w:val="left"/>
        <w:rPr>
          <w:sz w:val="18"/>
        </w:rPr>
      </w:pPr>
      <w:r>
        <w:rPr>
          <w:spacing w:val="-5"/>
          <w:sz w:val="18"/>
        </w:rPr>
        <w:t>试验前请熟悉和掌握需使用的各种仪器的操作方法和注意事项，对每次实验进行质量控制。</w:t>
      </w:r>
    </w:p>
    <w:p>
      <w:pPr>
        <w:pStyle w:val="ListParagraph"/>
        <w:numPr>
          <w:ilvl w:val="0"/>
          <w:numId w:val="5"/>
        </w:numPr>
        <w:tabs>
          <w:tab w:pos="344" w:val="left" w:leader="none"/>
        </w:tabs>
        <w:spacing w:line="208" w:lineRule="auto" w:before="8" w:after="0"/>
        <w:ind w:left="307" w:right="222" w:hanging="180"/>
        <w:jc w:val="left"/>
        <w:rPr>
          <w:sz w:val="18"/>
        </w:rPr>
      </w:pPr>
      <w:r>
        <w:rPr>
          <w:spacing w:val="-5"/>
          <w:sz w:val="18"/>
        </w:rPr>
        <w:t>实验室管理应严格按照</w:t>
      </w:r>
      <w:r>
        <w:rPr>
          <w:rFonts w:ascii="Times New Roman" w:eastAsia="Times New Roman"/>
          <w:spacing w:val="-3"/>
          <w:sz w:val="18"/>
        </w:rPr>
        <w:t>PCR</w:t>
      </w:r>
      <w:r>
        <w:rPr>
          <w:spacing w:val="-5"/>
          <w:sz w:val="18"/>
        </w:rPr>
        <w:t>基因扩增实验室的管理规范，实验人员必须进行专业培训，实验过程严格分区进行，所用消耗品应灭菌后一次性使用，实验操作的每个阶段使用专用的仪器和设备，各区各阶段用品不能交叉使用。</w:t>
      </w:r>
    </w:p>
    <w:p>
      <w:pPr>
        <w:pStyle w:val="ListParagraph"/>
        <w:numPr>
          <w:ilvl w:val="0"/>
          <w:numId w:val="5"/>
        </w:numPr>
        <w:tabs>
          <w:tab w:pos="365" w:val="left" w:leader="none"/>
        </w:tabs>
        <w:spacing w:line="206" w:lineRule="auto" w:before="1" w:after="0"/>
        <w:ind w:left="304" w:right="133" w:hanging="156"/>
        <w:jc w:val="left"/>
        <w:rPr>
          <w:sz w:val="18"/>
        </w:rPr>
      </w:pPr>
      <w:r>
        <w:rPr>
          <w:spacing w:val="-9"/>
          <w:sz w:val="18"/>
        </w:rPr>
        <w:t>所有检测样品应视为具有传染性物质，实验过程中穿工作服，戴一次性手套并经常替换手套以避免样品间的交叉污染；样本操作、</w:t>
      </w:r>
      <w:r>
        <w:rPr>
          <w:spacing w:val="-7"/>
          <w:sz w:val="18"/>
        </w:rPr>
        <w:t>废弃物处理均需符合相关法规要求：卫生部《微生物生物医学实验室生物安全通用准则》和《医疗废物管理条例》。</w:t>
      </w:r>
    </w:p>
    <w:p>
      <w:pPr>
        <w:pStyle w:val="ListParagraph"/>
        <w:numPr>
          <w:ilvl w:val="0"/>
          <w:numId w:val="5"/>
        </w:numPr>
        <w:tabs>
          <w:tab w:pos="344" w:val="left" w:leader="none"/>
        </w:tabs>
        <w:spacing w:line="194" w:lineRule="exact" w:before="0" w:after="0"/>
        <w:ind w:left="343" w:right="0" w:hanging="217"/>
        <w:jc w:val="left"/>
        <w:rPr>
          <w:sz w:val="18"/>
        </w:rPr>
      </w:pPr>
      <w:r>
        <w:rPr>
          <w:spacing w:val="-5"/>
          <w:sz w:val="18"/>
        </w:rPr>
        <w:t>所有的试剂在使用前，均需在室温下充分融化、混匀后使用。</w:t>
      </w:r>
    </w:p>
    <w:p>
      <w:pPr>
        <w:pStyle w:val="Heading1"/>
      </w:pPr>
      <w:r>
        <w:rPr/>
        <w:t>【参考文献】</w:t>
      </w:r>
    </w:p>
    <w:p>
      <w:pPr>
        <w:pStyle w:val="ListParagraph"/>
        <w:numPr>
          <w:ilvl w:val="0"/>
          <w:numId w:val="6"/>
        </w:numPr>
        <w:tabs>
          <w:tab w:pos="425" w:val="left" w:leader="none"/>
        </w:tabs>
        <w:spacing w:line="200" w:lineRule="exact" w:before="0" w:after="0"/>
        <w:ind w:left="424" w:right="0" w:hanging="298"/>
        <w:jc w:val="left"/>
        <w:rPr>
          <w:rFonts w:ascii="Times New Roman" w:eastAsia="Times New Roman"/>
          <w:sz w:val="18"/>
        </w:rPr>
      </w:pPr>
      <w:r>
        <w:rPr>
          <w:sz w:val="18"/>
        </w:rPr>
        <w:t>李金明</w:t>
      </w:r>
      <w:r>
        <w:rPr>
          <w:rFonts w:ascii="Times New Roman" w:eastAsia="Times New Roman"/>
          <w:sz w:val="18"/>
        </w:rPr>
        <w:t>. </w:t>
      </w:r>
      <w:r>
        <w:rPr>
          <w:spacing w:val="10"/>
          <w:sz w:val="18"/>
        </w:rPr>
        <w:t>实时荧光</w:t>
      </w:r>
      <w:r>
        <w:rPr>
          <w:rFonts w:ascii="Times New Roman" w:eastAsia="Times New Roman"/>
          <w:sz w:val="18"/>
        </w:rPr>
        <w:t>PCR </w:t>
      </w:r>
      <w:r>
        <w:rPr>
          <w:sz w:val="18"/>
        </w:rPr>
        <w:t>技术</w:t>
      </w:r>
      <w:r>
        <w:rPr>
          <w:rFonts w:ascii="Times New Roman" w:eastAsia="Times New Roman"/>
          <w:sz w:val="18"/>
        </w:rPr>
        <w:t>[M].</w:t>
      </w:r>
      <w:r>
        <w:rPr>
          <w:rFonts w:ascii="Times New Roman" w:eastAsia="Times New Roman"/>
          <w:spacing w:val="39"/>
          <w:sz w:val="18"/>
        </w:rPr>
        <w:t> </w:t>
      </w:r>
      <w:r>
        <w:rPr>
          <w:spacing w:val="-4"/>
          <w:sz w:val="18"/>
        </w:rPr>
        <w:t>北京：人民军医出版社</w:t>
      </w:r>
      <w:r>
        <w:rPr>
          <w:rFonts w:ascii="Times New Roman" w:eastAsia="Times New Roman"/>
          <w:spacing w:val="-3"/>
          <w:sz w:val="18"/>
        </w:rPr>
        <w:t>, </w:t>
      </w:r>
      <w:hyperlink r:id="rId7">
        <w:r>
          <w:rPr>
            <w:rFonts w:ascii="Times New Roman" w:eastAsia="Times New Roman"/>
            <w:sz w:val="18"/>
          </w:rPr>
          <w:t>2007</w:t>
        </w:r>
      </w:hyperlink>
      <w:r>
        <w:rPr>
          <w:rFonts w:ascii="Times New Roman" w:eastAsia="Times New Roman"/>
          <w:sz w:val="18"/>
        </w:rPr>
        <w:t>:63-65.</w:t>
      </w:r>
    </w:p>
    <w:p>
      <w:pPr>
        <w:pStyle w:val="ListParagraph"/>
        <w:numPr>
          <w:ilvl w:val="0"/>
          <w:numId w:val="6"/>
        </w:numPr>
        <w:tabs>
          <w:tab w:pos="425" w:val="left" w:leader="none"/>
        </w:tabs>
        <w:spacing w:line="206" w:lineRule="exact" w:before="0" w:after="0"/>
        <w:ind w:left="424" w:right="0" w:hanging="298"/>
        <w:jc w:val="left"/>
        <w:rPr>
          <w:rFonts w:ascii="Times New Roman" w:eastAsia="Times New Roman"/>
          <w:sz w:val="18"/>
        </w:rPr>
      </w:pPr>
      <w:r>
        <w:rPr>
          <w:sz w:val="18"/>
        </w:rPr>
        <w:t>高应林</w:t>
      </w:r>
      <w:r>
        <w:rPr>
          <w:rFonts w:ascii="Times New Roman" w:eastAsia="Times New Roman"/>
          <w:sz w:val="18"/>
        </w:rPr>
        <w:t>,</w:t>
      </w:r>
      <w:r>
        <w:rPr>
          <w:sz w:val="18"/>
        </w:rPr>
        <w:t>赵友云</w:t>
      </w:r>
      <w:r>
        <w:rPr>
          <w:rFonts w:ascii="Times New Roman" w:eastAsia="Times New Roman"/>
          <w:sz w:val="18"/>
        </w:rPr>
        <w:t>,</w:t>
      </w:r>
      <w:r>
        <w:rPr>
          <w:sz w:val="18"/>
        </w:rPr>
        <w:t>王春香</w:t>
      </w:r>
      <w:r>
        <w:rPr>
          <w:rFonts w:ascii="Times New Roman" w:eastAsia="Times New Roman"/>
          <w:sz w:val="18"/>
        </w:rPr>
        <w:t>.FQ-PCR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8"/>
          <w:sz w:val="18"/>
        </w:rPr>
        <w:t>技术在孕妇 </w:t>
      </w:r>
      <w:r>
        <w:rPr>
          <w:rFonts w:ascii="Times New Roman" w:eastAsia="Times New Roman"/>
          <w:sz w:val="18"/>
        </w:rPr>
        <w:t>II </w:t>
      </w:r>
      <w:r>
        <w:rPr>
          <w:sz w:val="18"/>
        </w:rPr>
        <w:t>型单纯疱疹病毒感染中的应用</w:t>
      </w:r>
      <w:r>
        <w:rPr>
          <w:rFonts w:ascii="Times New Roman" w:eastAsia="Times New Roman"/>
          <w:sz w:val="18"/>
        </w:rPr>
        <w:t>[J</w:t>
      </w:r>
      <w:r>
        <w:rPr>
          <w:rFonts w:ascii="Times New Roman" w:eastAsia="Times New Roman"/>
          <w:spacing w:val="14"/>
          <w:sz w:val="18"/>
        </w:rPr>
        <w:t>]. </w:t>
      </w:r>
      <w:r>
        <w:rPr>
          <w:sz w:val="18"/>
        </w:rPr>
        <w:t>实用诊断与治疗杂志</w:t>
      </w:r>
      <w:r>
        <w:rPr>
          <w:rFonts w:ascii="Times New Roman" w:eastAsia="Times New Roman"/>
          <w:sz w:val="18"/>
        </w:rPr>
        <w:t>,2008,22(2):127-128.</w:t>
      </w:r>
    </w:p>
    <w:p>
      <w:pPr>
        <w:pStyle w:val="ListParagraph"/>
        <w:numPr>
          <w:ilvl w:val="0"/>
          <w:numId w:val="6"/>
        </w:numPr>
        <w:tabs>
          <w:tab w:pos="384" w:val="left" w:leader="none"/>
        </w:tabs>
        <w:spacing w:line="230" w:lineRule="auto" w:before="0" w:after="0"/>
        <w:ind w:left="307" w:right="182" w:hanging="18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StocherM, </w:t>
      </w:r>
      <w:r>
        <w:rPr>
          <w:rFonts w:ascii="Times New Roman"/>
          <w:spacing w:val="-4"/>
          <w:sz w:val="18"/>
        </w:rPr>
        <w:t>LebV, </w:t>
      </w:r>
      <w:r>
        <w:rPr>
          <w:rFonts w:ascii="Times New Roman"/>
          <w:sz w:val="18"/>
        </w:rPr>
        <w:t>BozicM, et al. Parallel detection of five human herpes virus DNAs by a set of Real-time polymerase chain reactions in a single run [J].J Clin</w:t>
      </w:r>
      <w:r>
        <w:rPr>
          <w:rFonts w:ascii="Times New Roman"/>
          <w:spacing w:val="-9"/>
          <w:sz w:val="18"/>
        </w:rPr>
        <w:t> </w:t>
      </w:r>
      <w:r>
        <w:rPr>
          <w:rFonts w:ascii="Times New Roman"/>
          <w:sz w:val="18"/>
        </w:rPr>
        <w:t>Virol,2003,26(1):85-93.</w:t>
      </w:r>
    </w:p>
    <w:p>
      <w:pPr>
        <w:pStyle w:val="ListParagraph"/>
        <w:numPr>
          <w:ilvl w:val="0"/>
          <w:numId w:val="6"/>
        </w:numPr>
        <w:tabs>
          <w:tab w:pos="396" w:val="left" w:leader="none"/>
        </w:tabs>
        <w:spacing w:line="232" w:lineRule="auto" w:before="0" w:after="0"/>
        <w:ind w:left="307" w:right="185" w:hanging="180"/>
        <w:jc w:val="left"/>
        <w:rPr>
          <w:rFonts w:ascii="Times New Roman"/>
          <w:sz w:val="18"/>
        </w:rPr>
      </w:pPr>
      <w:r>
        <w:rPr>
          <w:rFonts w:ascii="Times New Roman"/>
          <w:spacing w:val="-3"/>
          <w:sz w:val="18"/>
        </w:rPr>
        <w:t>Weidmann </w:t>
      </w:r>
      <w:r>
        <w:rPr>
          <w:rFonts w:ascii="Times New Roman"/>
          <w:sz w:val="18"/>
        </w:rPr>
        <w:t>M, Meyer-Konig U, Hufert </w:t>
      </w:r>
      <w:r>
        <w:rPr>
          <w:rFonts w:ascii="Times New Roman"/>
          <w:spacing w:val="-4"/>
          <w:sz w:val="18"/>
        </w:rPr>
        <w:t>FT. </w:t>
      </w:r>
      <w:r>
        <w:rPr>
          <w:rFonts w:ascii="Times New Roman"/>
          <w:sz w:val="18"/>
        </w:rPr>
        <w:t>Rapid detection of herpes simplex virus and varicella-zoster virus infections by Real-time PCR[J]. J Clin</w:t>
      </w:r>
      <w:r>
        <w:rPr>
          <w:rFonts w:ascii="Times New Roman"/>
          <w:spacing w:val="-4"/>
          <w:sz w:val="18"/>
        </w:rPr>
        <w:t> </w:t>
      </w:r>
      <w:r>
        <w:rPr>
          <w:rFonts w:ascii="Times New Roman"/>
          <w:sz w:val="18"/>
        </w:rPr>
        <w:t>Microbiol,2003,41(4):1565-1568.</w:t>
      </w:r>
    </w:p>
    <w:p>
      <w:pPr>
        <w:pStyle w:val="Heading1"/>
        <w:spacing w:line="198" w:lineRule="exact"/>
      </w:pPr>
      <w:r>
        <w:rPr/>
        <w:t>【基本信息】</w:t>
      </w:r>
    </w:p>
    <w:p>
      <w:pPr>
        <w:pStyle w:val="BodyText"/>
        <w:spacing w:line="206" w:lineRule="auto" w:before="7"/>
        <w:ind w:right="6312"/>
      </w:pPr>
      <w:r>
        <w:rPr/>
        <w:t>注册人</w:t>
      </w:r>
      <w:r>
        <w:rPr>
          <w:rFonts w:ascii="Times New Roman" w:eastAsia="Times New Roman"/>
        </w:rPr>
        <w:t>/</w:t>
      </w:r>
      <w:r>
        <w:rPr/>
        <w:t>生产企业名称：圣湘生物科技股份有限公司住所：长沙高新技术产业开发区麓松路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  <w:spacing w:line="193" w:lineRule="exact"/>
        <w:jc w:val="both"/>
        <w:rPr>
          <w:rFonts w:ascii="Times New Roman" w:eastAsia="Times New Roman"/>
        </w:rPr>
      </w:pPr>
      <w:r>
        <w:rPr/>
        <w:t>联系方式：</w:t>
      </w:r>
      <w:r>
        <w:rPr>
          <w:rFonts w:ascii="Times New Roman" w:eastAsia="Times New Roman"/>
        </w:rPr>
        <w:t>0731-88883176 </w:t>
      </w:r>
      <w:r>
        <w:rPr/>
        <w:t>传真号码：</w:t>
      </w:r>
      <w:r>
        <w:rPr>
          <w:rFonts w:ascii="Times New Roman" w:eastAsia="Times New Roman"/>
        </w:rPr>
        <w:t>0731-88884876</w:t>
      </w:r>
    </w:p>
    <w:p>
      <w:pPr>
        <w:pStyle w:val="BodyText"/>
      </w:pPr>
      <w:r>
        <w:rPr/>
        <w:t>售后服务单位名称：圣湘生物科技股份有限公司</w:t>
      </w:r>
    </w:p>
    <w:p>
      <w:pPr>
        <w:pStyle w:val="BodyText"/>
        <w:spacing w:line="199" w:lineRule="exact"/>
        <w:jc w:val="both"/>
        <w:rPr>
          <w:rFonts w:ascii="Times New Roman" w:eastAsia="Times New Roman"/>
        </w:rPr>
      </w:pPr>
      <w:r>
        <w:rPr/>
        <w:t>联系方式：</w:t>
      </w:r>
      <w:r>
        <w:rPr>
          <w:rFonts w:ascii="Times New Roman" w:eastAsia="Times New Roman"/>
        </w:rPr>
        <w:t>0731-88883176 </w:t>
      </w:r>
      <w:r>
        <w:rPr/>
        <w:t>传真号码：</w:t>
      </w:r>
      <w:r>
        <w:rPr>
          <w:rFonts w:ascii="Times New Roman" w:eastAsia="Times New Roman"/>
        </w:rPr>
        <w:t>0731-88884876</w:t>
      </w:r>
    </w:p>
    <w:p>
      <w:pPr>
        <w:pStyle w:val="BodyText"/>
      </w:pPr>
      <w:r>
        <w:rPr/>
        <w:t>生产地址：长沙高新技术产业开发区麓松路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</w:pPr>
      <w:r>
        <w:rPr/>
        <w:t>生产许可证编号：湘食药监械生产许 </w:t>
      </w:r>
      <w:r>
        <w:rPr>
          <w:rFonts w:ascii="Times New Roman" w:eastAsia="Times New Roman"/>
        </w:rPr>
        <w:t>20150036 </w:t>
      </w:r>
      <w:r>
        <w:rPr/>
        <w:t>号</w:t>
      </w:r>
    </w:p>
    <w:p>
      <w:pPr>
        <w:pStyle w:val="Heading1"/>
        <w:rPr>
          <w:rFonts w:ascii="Times New Roman" w:eastAsia="Times New Roman"/>
        </w:rPr>
      </w:pPr>
      <w:r>
        <w:rPr/>
        <w:t>【医疗器械注册证编号</w:t>
      </w:r>
      <w:r>
        <w:rPr>
          <w:rFonts w:ascii="Times New Roman" w:eastAsia="Times New Roman"/>
        </w:rPr>
        <w:t>/</w:t>
      </w:r>
      <w:r>
        <w:rPr/>
        <w:t>产品技术要求编号】国械注准 </w:t>
      </w:r>
      <w:r>
        <w:rPr>
          <w:rFonts w:ascii="Times New Roman" w:eastAsia="Times New Roman"/>
        </w:rPr>
        <w:t>20153400088</w:t>
      </w:r>
    </w:p>
    <w:p>
      <w:pPr>
        <w:spacing w:line="215" w:lineRule="exact" w:before="0"/>
        <w:ind w:left="127" w:right="0" w:firstLine="0"/>
        <w:jc w:val="left"/>
        <w:rPr>
          <w:b/>
          <w:sz w:val="18"/>
        </w:rPr>
      </w:pPr>
      <w:r>
        <w:rPr>
          <w:b/>
          <w:sz w:val="18"/>
        </w:rPr>
        <w:t>【说明书核准日期及修改日期】</w:t>
      </w:r>
      <w:r>
        <w:rPr>
          <w:rFonts w:ascii="Times New Roman" w:eastAsia="Times New Roman"/>
          <w:b/>
          <w:sz w:val="18"/>
        </w:rPr>
        <w:t>2019 </w:t>
      </w:r>
      <w:r>
        <w:rPr>
          <w:b/>
          <w:sz w:val="18"/>
        </w:rPr>
        <w:t>年 </w:t>
      </w:r>
      <w:r>
        <w:rPr>
          <w:rFonts w:ascii="Times New Roman" w:eastAsia="Times New Roman"/>
          <w:b/>
          <w:sz w:val="18"/>
        </w:rPr>
        <w:t>11 </w:t>
      </w:r>
      <w:r>
        <w:rPr>
          <w:b/>
          <w:sz w:val="18"/>
        </w:rPr>
        <w:t>月 </w:t>
      </w:r>
      <w:r>
        <w:rPr>
          <w:rFonts w:ascii="Times New Roman" w:eastAsia="Times New Roman"/>
          <w:b/>
          <w:sz w:val="18"/>
        </w:rPr>
        <w:t>07 </w:t>
      </w:r>
      <w:r>
        <w:rPr>
          <w:b/>
          <w:sz w:val="18"/>
        </w:rPr>
        <w:t>日</w:t>
      </w:r>
    </w:p>
    <w:sectPr>
      <w:pgSz w:w="11910" w:h="16840"/>
      <w:pgMar w:header="462" w:footer="460" w:top="660" w:bottom="640" w:left="78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217.039993pt;margin-top:807.915649pt;width:161.25pt;height:12pt;mso-position-horizontal-relative:page;mso-position-vertical-relative:page;z-index:-252148736" type="#_x0000_t202" filled="false" stroked="false">
          <v:textbox inset="0,0,0,0">
            <w:txbxContent>
              <w:p>
                <w:pPr>
                  <w:pStyle w:val="BodyText"/>
                  <w:spacing w:line="225" w:lineRule="exact"/>
                  <w:ind w:left="20"/>
                </w:pPr>
                <w:r>
                  <w:rPr>
                    <w:spacing w:val="-12"/>
                  </w:rPr>
                  <w:t>单纯疱疹病毒 </w:t>
                </w:r>
                <w:r>
                  <w:rPr>
                    <w:rFonts w:ascii="Calibri" w:eastAsia="Calibri"/>
                  </w:rPr>
                  <w:t>2 </w:t>
                </w:r>
                <w:r>
                  <w:rPr>
                    <w:spacing w:val="-5"/>
                  </w:rPr>
                  <w:t>型</w:t>
                </w:r>
                <w:r>
                  <w:rPr>
                    <w:spacing w:val="-3"/>
                  </w:rPr>
                  <w:t>（</w:t>
                </w:r>
                <w:r>
                  <w:rPr>
                    <w:rFonts w:ascii="Calibri" w:eastAsia="Calibri"/>
                    <w:spacing w:val="-3"/>
                  </w:rPr>
                  <w:t>HSV-2</w:t>
                </w:r>
                <w:r>
                  <w:rPr>
                    <w:spacing w:val="-3"/>
                  </w:rPr>
                  <w:t>）</w:t>
                </w:r>
                <w:r>
                  <w:rPr>
                    <w:spacing w:val="-1"/>
                  </w:rPr>
                  <w:t> 产品说明书</w:t>
                </w:r>
              </w:p>
            </w:txbxContent>
          </v:textbox>
          <w10:wrap type="none"/>
        </v:shape>
      </w:pict>
    </w:r>
    <w:r>
      <w:rPr/>
      <w:pict>
        <v:shape style="position:absolute;margin-left:538.23999pt;margin-top:811.540039pt;width:8.6pt;height:11pt;mso-position-horizontal-relative:page;mso-position-vertical-relative:page;z-index:-252147712" type="#_x0000_t202" filled="false" stroked="false">
          <v:textbox inset="0,0,0,0">
            <w:txbxContent>
              <w:p>
                <w:pPr>
                  <w:pStyle w:val="BodyText"/>
                  <w:spacing w:line="203" w:lineRule="exact"/>
                  <w:ind w:left="4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0.959015pt;margin-top:23.11565pt;width:110pt;height:11pt;mso-position-horizontal-relative:page;mso-position-vertical-relative:page;z-index:-252149760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20"/>
                </w:pPr>
                <w:r>
                  <w:rPr/>
                  <w:t>圣湘生物科技股份有限公司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[%1]"/>
      <w:lvlJc w:val="left"/>
      <w:pPr>
        <w:ind w:left="424" w:hanging="298"/>
        <w:jc w:val="left"/>
      </w:pPr>
      <w:rPr>
        <w:rFonts w:hint="default" w:ascii="Times New Roman" w:hAnsi="Times New Roman" w:eastAsia="Times New Roman" w:cs="Times New Roman"/>
        <w:spacing w:val="-6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422" w:hanging="298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425" w:hanging="298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427" w:hanging="298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430" w:hanging="298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433" w:hanging="298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35" w:hanging="298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38" w:hanging="298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40" w:hanging="298"/>
      </w:pPr>
      <w:rPr>
        <w:rFonts w:hint="default"/>
        <w:lang w:val="zh-CN" w:eastAsia="zh-CN" w:bidi="zh-CN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43" w:hanging="216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50" w:hanging="216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61" w:hanging="216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71" w:hanging="216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82" w:hanging="216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93" w:hanging="216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03" w:hanging="216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14" w:hanging="216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24" w:hanging="216"/>
      </w:pPr>
      <w:rPr>
        <w:rFonts w:hint="default"/>
        <w:lang w:val="zh-CN" w:eastAsia="zh-CN" w:bidi="zh-CN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300" w:hanging="173"/>
        <w:jc w:val="left"/>
      </w:pPr>
      <w:rPr>
        <w:rFonts w:hint="default" w:ascii="Times New Roman" w:hAnsi="Times New Roman" w:eastAsia="Times New Roman" w:cs="Times New Roman"/>
        <w:spacing w:val="-52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14" w:hanging="17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29" w:hanging="17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43" w:hanging="17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58" w:hanging="17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73" w:hanging="17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87" w:hanging="17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02" w:hanging="17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16" w:hanging="173"/>
      </w:pPr>
      <w:rPr>
        <w:rFonts w:hint="default"/>
        <w:lang w:val="zh-CN" w:eastAsia="zh-CN" w:bidi="zh-CN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300" w:hanging="173"/>
        <w:jc w:val="left"/>
      </w:pPr>
      <w:rPr>
        <w:rFonts w:hint="default" w:ascii="Times New Roman" w:hAnsi="Times New Roman" w:eastAsia="Times New Roman" w:cs="Times New Roman"/>
        <w:b/>
        <w:bCs/>
        <w:spacing w:val="-8"/>
        <w:w w:val="99"/>
        <w:sz w:val="18"/>
        <w:szCs w:val="18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432" w:hanging="305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20" w:hanging="394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3">
      <w:start w:val="1"/>
      <w:numFmt w:val="decimal"/>
      <w:lvlText w:val="%4)"/>
      <w:lvlJc w:val="left"/>
      <w:pPr>
        <w:ind w:left="662" w:hanging="178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20" w:hanging="178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60" w:hanging="178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2617" w:hanging="178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4574" w:hanging="178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6531" w:hanging="178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300" w:hanging="173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14" w:hanging="17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29" w:hanging="17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43" w:hanging="17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58" w:hanging="17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73" w:hanging="17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87" w:hanging="17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02" w:hanging="17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16" w:hanging="173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2"/>
      <w:numFmt w:val="decimal"/>
      <w:lvlText w:val="%1）"/>
      <w:lvlJc w:val="left"/>
      <w:pPr>
        <w:ind w:left="913" w:hanging="270"/>
        <w:jc w:val="left"/>
      </w:pPr>
      <w:rPr>
        <w:rFonts w:hint="default" w:ascii="Times New Roman" w:hAnsi="Times New Roman" w:eastAsia="Times New Roman" w:cs="Times New Roman"/>
        <w:b/>
        <w:bCs/>
        <w:spacing w:val="-5"/>
        <w:w w:val="99"/>
        <w:sz w:val="16"/>
        <w:szCs w:val="16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872" w:hanging="270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825" w:hanging="27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777" w:hanging="27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730" w:hanging="27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683" w:hanging="27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635" w:hanging="27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588" w:hanging="27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540" w:hanging="270"/>
      </w:pPr>
      <w:rPr>
        <w:rFonts w:hint="default"/>
        <w:lang w:val="zh-CN" w:eastAsia="zh-CN" w:bidi="zh-CN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>
      <w:spacing w:line="200" w:lineRule="exact"/>
      <w:ind w:left="127"/>
    </w:pPr>
    <w:rPr>
      <w:rFonts w:ascii="宋体" w:hAnsi="宋体" w:eastAsia="宋体" w:cs="宋体"/>
      <w:sz w:val="18"/>
      <w:szCs w:val="18"/>
      <w:lang w:val="zh-CN" w:eastAsia="zh-CN" w:bidi="zh-CN"/>
    </w:rPr>
  </w:style>
  <w:style w:styleId="Heading1" w:type="paragraph">
    <w:name w:val="Heading 1"/>
    <w:basedOn w:val="Normal"/>
    <w:uiPriority w:val="1"/>
    <w:qFormat/>
    <w:pPr>
      <w:spacing w:line="199" w:lineRule="exact"/>
      <w:ind w:left="127"/>
      <w:outlineLvl w:val="1"/>
    </w:pPr>
    <w:rPr>
      <w:rFonts w:ascii="宋体" w:hAnsi="宋体" w:eastAsia="宋体" w:cs="宋体"/>
      <w:b/>
      <w:bCs/>
      <w:sz w:val="18"/>
      <w:szCs w:val="18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300" w:hanging="173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line="180" w:lineRule="exact"/>
      <w:ind w:left="123"/>
      <w:jc w:val="center"/>
    </w:pPr>
    <w:rPr>
      <w:rFonts w:ascii="Times New Roman" w:hAnsi="Times New Roman" w:eastAsia="Times New Roman" w:cs="Times New Roman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c.wanfangdata.com.cn/periodical/gwyx-pfxbx/2002-2.aspx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dzp</dc:creator>
  <dc:title>医疗器械注册产品标准</dc:title>
  <dcterms:created xsi:type="dcterms:W3CDTF">2021-04-21T13:46:12Z</dcterms:created>
  <dcterms:modified xsi:type="dcterms:W3CDTF">2021-04-21T13:46:12Z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2021-04-21T00:00:00Z</vt:filetime>
  </property>
</Properties>
</file>