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header1.xml" ContentType="application/vnd.openxmlformats-officedocument.wordprocessingml.header+xml"/>
  <Override PartName="/word/footer1.xml" ContentType="application/vnd.openxmlformats-officedocument.wordprocessingml.footer+xml"/>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body>
    <w:p>
      <w:pPr>
        <w:pStyle w:val="BodyText"/>
        <w:spacing w:line="240" w:lineRule="auto"/>
        <w:ind w:left="0"/>
        <w:rPr>
          <w:rFonts w:ascii="Times New Roman"/>
        </w:rPr>
      </w:pPr>
    </w:p>
    <w:p>
      <w:pPr>
        <w:pStyle w:val="BodyText"/>
        <w:spacing w:line="240" w:lineRule="auto" w:before="3"/>
        <w:ind w:left="0"/>
        <w:rPr>
          <w:rFonts w:ascii="Times New Roman"/>
          <w:sz w:val="17"/>
        </w:rPr>
      </w:pPr>
    </w:p>
    <w:p>
      <w:pPr>
        <w:pStyle w:val="Heading1"/>
        <w:spacing w:line="219" w:lineRule="exact"/>
      </w:pPr>
      <w:r>
        <w:rPr/>
        <w:t>【产品名称】</w:t>
      </w:r>
    </w:p>
    <w:p>
      <w:pPr>
        <w:spacing w:before="75"/>
        <w:ind w:left="127" w:right="0" w:firstLine="0"/>
        <w:jc w:val="left"/>
        <w:rPr>
          <w:b/>
          <w:sz w:val="21"/>
        </w:rPr>
      </w:pPr>
      <w:r>
        <w:rPr/>
        <w:br w:type="column"/>
      </w:r>
      <w:r>
        <w:rPr>
          <w:b/>
          <w:sz w:val="21"/>
        </w:rPr>
        <w:t>丙型肝炎病毒核酸检测试剂盒（</w:t>
      </w:r>
      <w:r>
        <w:rPr>
          <w:rFonts w:ascii="Times New Roman" w:eastAsia="Times New Roman"/>
          <w:b/>
          <w:sz w:val="21"/>
        </w:rPr>
        <w:t>PCR-</w:t>
      </w:r>
      <w:r>
        <w:rPr>
          <w:b/>
          <w:sz w:val="21"/>
        </w:rPr>
        <w:t>荧光法）说明书</w:t>
      </w:r>
    </w:p>
    <w:p>
      <w:pPr>
        <w:spacing w:after="0"/>
        <w:jc w:val="left"/>
        <w:rPr>
          <w:sz w:val="21"/>
        </w:rPr>
        <w:sectPr>
          <w:headerReference w:type="default" r:id="rId5"/>
          <w:footerReference w:type="default" r:id="rId6"/>
          <w:type w:val="continuous"/>
          <w:pgSz w:w="11910" w:h="16840"/>
          <w:pgMar w:header="462" w:footer="465" w:top="680" w:bottom="660" w:left="780" w:right="660"/>
          <w:pgNumType w:start="1"/>
          <w:cols w:num="2" w:equalWidth="0">
            <w:col w:w="1231" w:space="1359"/>
            <w:col w:w="7880"/>
          </w:cols>
        </w:sectPr>
      </w:pPr>
    </w:p>
    <w:p>
      <w:pPr>
        <w:pStyle w:val="BodyText"/>
        <w:spacing w:line="197" w:lineRule="exact"/>
        <w:ind w:left="494"/>
        <w:rPr>
          <w:rFonts w:ascii="Times New Roman" w:eastAsia="Times New Roman"/>
        </w:rPr>
      </w:pPr>
      <w:r>
        <w:rPr/>
        <w:pict>
          <v:line style="position:absolute;mso-position-horizontal-relative:page;mso-position-vertical-relative:page;z-index:251658240" from="45.349998pt,35.710026pt" to="549.949998pt,35.710026pt" stroked="true" strokeweight=".72pt" strokecolor="#000000">
            <v:stroke dashstyle="solid"/>
            <w10:wrap type="none"/>
          </v:line>
        </w:pict>
      </w:r>
      <w:r>
        <w:rPr/>
        <w:t>通用名称：丙型肝炎病毒核酸检测试剂盒</w:t>
      </w:r>
      <w:r>
        <w:rPr>
          <w:rFonts w:ascii="Times New Roman" w:eastAsia="Times New Roman"/>
        </w:rPr>
        <w:t>(PCR-</w:t>
      </w:r>
      <w:r>
        <w:rPr/>
        <w:t>荧光法</w:t>
      </w:r>
      <w:r>
        <w:rPr>
          <w:rFonts w:ascii="Times New Roman" w:eastAsia="Times New Roman"/>
        </w:rPr>
        <w:t>)</w:t>
      </w:r>
    </w:p>
    <w:p>
      <w:pPr>
        <w:spacing w:line="200" w:lineRule="exact" w:before="0"/>
        <w:ind w:left="127" w:right="0" w:firstLine="0"/>
        <w:jc w:val="left"/>
        <w:rPr>
          <w:sz w:val="18"/>
        </w:rPr>
      </w:pPr>
      <w:r>
        <w:rPr>
          <w:b/>
          <w:sz w:val="18"/>
        </w:rPr>
        <w:t>【包装规格】</w:t>
      </w:r>
      <w:r>
        <w:rPr>
          <w:rFonts w:ascii="Times New Roman" w:eastAsia="Times New Roman"/>
          <w:sz w:val="18"/>
        </w:rPr>
        <w:t>24 </w:t>
      </w:r>
      <w:r>
        <w:rPr>
          <w:sz w:val="18"/>
        </w:rPr>
        <w:t>人份</w:t>
      </w:r>
      <w:r>
        <w:rPr>
          <w:rFonts w:ascii="Times New Roman" w:eastAsia="Times New Roman"/>
          <w:sz w:val="18"/>
        </w:rPr>
        <w:t>/</w:t>
      </w:r>
      <w:r>
        <w:rPr>
          <w:sz w:val="18"/>
        </w:rPr>
        <w:t>盒</w:t>
      </w:r>
    </w:p>
    <w:p>
      <w:pPr>
        <w:pStyle w:val="Heading1"/>
        <w:spacing w:line="199" w:lineRule="exact"/>
      </w:pPr>
      <w:r>
        <w:rPr/>
        <w:t>【预期用途】</w:t>
      </w:r>
    </w:p>
    <w:p>
      <w:pPr>
        <w:pStyle w:val="BodyText"/>
        <w:ind w:left="494"/>
      </w:pPr>
      <w:r>
        <w:rPr>
          <w:color w:val="333333"/>
        </w:rPr>
        <w:t>本试剂用于定量检测人血清、血浆样本中的丙型肝炎病毒（</w:t>
      </w:r>
      <w:r>
        <w:rPr>
          <w:rFonts w:ascii="Times New Roman" w:eastAsia="Times New Roman"/>
          <w:color w:val="333333"/>
        </w:rPr>
        <w:t>hepatitis C virus</w:t>
      </w:r>
      <w:r>
        <w:rPr>
          <w:color w:val="333333"/>
        </w:rPr>
        <w:t>，</w:t>
      </w:r>
      <w:r>
        <w:rPr>
          <w:rFonts w:ascii="Times New Roman" w:eastAsia="Times New Roman"/>
          <w:color w:val="333333"/>
        </w:rPr>
        <w:t>HCV</w:t>
      </w:r>
      <w:r>
        <w:rPr>
          <w:color w:val="333333"/>
        </w:rPr>
        <w:t>）核糖核酸</w:t>
      </w:r>
      <w:r>
        <w:rPr>
          <w:rFonts w:ascii="Times New Roman" w:eastAsia="Times New Roman"/>
          <w:color w:val="333333"/>
        </w:rPr>
        <w:t>(ribonucleic acid, RNA)</w:t>
      </w:r>
      <w:r>
        <w:rPr>
          <w:color w:val="333333"/>
        </w:rPr>
        <w:t>。</w:t>
      </w:r>
    </w:p>
    <w:p>
      <w:pPr>
        <w:pStyle w:val="BodyText"/>
        <w:spacing w:line="206" w:lineRule="auto" w:before="10"/>
        <w:ind w:right="153" w:firstLine="357"/>
      </w:pPr>
      <w:r>
        <w:rPr>
          <w:spacing w:val="-4"/>
        </w:rPr>
        <w:t>用于接受抗病毒治疗的丙型肝炎患者，通过对丙型肝炎患者血中</w:t>
      </w:r>
      <w:r>
        <w:rPr>
          <w:rFonts w:ascii="Times New Roman" w:eastAsia="Times New Roman"/>
        </w:rPr>
        <w:t>HCV RNA </w:t>
      </w:r>
      <w:r>
        <w:rPr>
          <w:spacing w:val="-5"/>
        </w:rPr>
        <w:t>基线水平和变化情况的监测，来评估抗病毒治疗的</w:t>
      </w:r>
      <w:r>
        <w:rPr>
          <w:spacing w:val="-8"/>
        </w:rPr>
        <w:t>应答和治疗效果监测。检测结果不得作为患者病情评价的唯一指标，必须结合患者临床表现和其他实验室检测对病情进行综合分析。</w:t>
      </w:r>
    </w:p>
    <w:p>
      <w:pPr>
        <w:pStyle w:val="BodyText"/>
        <w:spacing w:line="208" w:lineRule="auto"/>
        <w:ind w:right="242" w:firstLine="367"/>
      </w:pPr>
      <w:r>
        <w:rPr>
          <w:spacing w:val="-5"/>
        </w:rPr>
        <w:t>丙型肝炎是一种主要经血液传播的疾病，丙型肝炎病毒慢性感染可导致肝脏慢性炎症坏死和纤维化，部分患者可发展为肝硬化甚至肝细胞癌，对患者的健康和生命危害极大，己成为严重的社会和公共卫生问题。</w:t>
      </w:r>
    </w:p>
    <w:p>
      <w:pPr>
        <w:pStyle w:val="BodyText"/>
        <w:spacing w:line="191" w:lineRule="exact"/>
        <w:ind w:left="494"/>
      </w:pPr>
      <w:r>
        <w:rPr/>
        <w:t>本试剂盒不得用于血源筛查。</w:t>
      </w:r>
    </w:p>
    <w:p>
      <w:pPr>
        <w:pStyle w:val="Heading1"/>
      </w:pPr>
      <w:r>
        <w:rPr/>
        <w:t>【检验原理】</w:t>
      </w:r>
    </w:p>
    <w:p>
      <w:pPr>
        <w:pStyle w:val="BodyText"/>
        <w:spacing w:line="206" w:lineRule="auto" w:before="11"/>
        <w:ind w:right="146" w:firstLine="367"/>
      </w:pPr>
      <w:r>
        <w:rPr>
          <w:spacing w:val="2"/>
        </w:rPr>
        <w:t>本试剂盒针对</w:t>
      </w:r>
      <w:r>
        <w:rPr>
          <w:rFonts w:ascii="Times New Roman" w:eastAsia="Times New Roman"/>
        </w:rPr>
        <w:t>HCV </w:t>
      </w:r>
      <w:r>
        <w:rPr>
          <w:spacing w:val="-7"/>
        </w:rPr>
        <w:t>核酸保守区设计的特异性引物、特异荧光探针</w:t>
      </w:r>
      <w:r>
        <w:rPr>
          <w:spacing w:val="-5"/>
        </w:rPr>
        <w:t>（</w:t>
      </w:r>
      <w:r>
        <w:rPr>
          <w:rFonts w:ascii="Times New Roman" w:eastAsia="Times New Roman"/>
          <w:spacing w:val="-5"/>
        </w:rPr>
        <w:t>TaqMan </w:t>
      </w:r>
      <w:r>
        <w:rPr>
          <w:spacing w:val="-4"/>
        </w:rPr>
        <w:t>探针</w:t>
      </w:r>
      <w:r>
        <w:rPr>
          <w:spacing w:val="-14"/>
        </w:rPr>
        <w:t>）</w:t>
      </w:r>
      <w:r>
        <w:rPr>
          <w:spacing w:val="6"/>
        </w:rPr>
        <w:t>，配以</w:t>
      </w:r>
      <w:r>
        <w:rPr>
          <w:rFonts w:ascii="Times New Roman" w:eastAsia="Times New Roman"/>
        </w:rPr>
        <w:t>PCR </w:t>
      </w:r>
      <w:r>
        <w:rPr>
          <w:spacing w:val="-2"/>
        </w:rPr>
        <w:t>反应液，在荧光定量</w:t>
      </w:r>
      <w:r>
        <w:rPr>
          <w:rFonts w:ascii="Times New Roman" w:eastAsia="Times New Roman"/>
        </w:rPr>
        <w:t>PCR </w:t>
      </w:r>
      <w:r>
        <w:rPr>
          <w:spacing w:val="-3"/>
        </w:rPr>
        <w:t>仪上， </w:t>
      </w:r>
      <w:r>
        <w:rPr>
          <w:spacing w:val="-2"/>
        </w:rPr>
        <w:t>通过检测荧光信号的变化实现</w:t>
      </w:r>
      <w:r>
        <w:rPr>
          <w:rFonts w:ascii="Times New Roman" w:eastAsia="Times New Roman"/>
        </w:rPr>
        <w:t>HCV RNA </w:t>
      </w:r>
      <w:r>
        <w:rPr>
          <w:spacing w:val="-5"/>
        </w:rPr>
        <w:t>的定量检测。</w:t>
      </w:r>
    </w:p>
    <w:p>
      <w:pPr>
        <w:pStyle w:val="BodyText"/>
        <w:spacing w:line="208" w:lineRule="auto"/>
        <w:ind w:left="494" w:right="391"/>
      </w:pPr>
      <w:r>
        <w:rPr>
          <w:spacing w:val="-5"/>
        </w:rPr>
        <w:t>本试剂盒设置了内标系统，内标参与提取和扩增过程，通过检测内标是否正常来监测实验过程是否正常，避免</w:t>
      </w:r>
      <w:r>
        <w:rPr>
          <w:rFonts w:ascii="Times New Roman" w:eastAsia="Times New Roman"/>
        </w:rPr>
        <w:t>PCR </w:t>
      </w:r>
      <w:r>
        <w:rPr>
          <w:spacing w:val="-4"/>
        </w:rPr>
        <w:t>假阴性。</w:t>
      </w:r>
      <w:r>
        <w:rPr>
          <w:spacing w:val="-2"/>
        </w:rPr>
        <w:t>本试剂盒设置了内参比荧光</w:t>
      </w:r>
      <w:r>
        <w:rPr>
          <w:rFonts w:ascii="Times New Roman" w:eastAsia="Times New Roman"/>
          <w:spacing w:val="-4"/>
        </w:rPr>
        <w:t>ROX</w:t>
      </w:r>
      <w:r>
        <w:rPr>
          <w:spacing w:val="-3"/>
        </w:rPr>
        <w:t>，用于校正加样误差和管间差异，便于</w:t>
      </w:r>
      <w:r>
        <w:rPr>
          <w:rFonts w:ascii="Times New Roman" w:eastAsia="Times New Roman"/>
        </w:rPr>
        <w:t>PCR </w:t>
      </w:r>
      <w:r>
        <w:rPr>
          <w:spacing w:val="-5"/>
        </w:rPr>
        <w:t>仪自动分析，使定量更准确。</w:t>
      </w:r>
    </w:p>
    <w:p>
      <w:pPr>
        <w:pStyle w:val="Heading1"/>
        <w:spacing w:line="207" w:lineRule="exact"/>
      </w:pPr>
      <w:r>
        <w:rPr/>
        <w:t>【主要组成成分】</w:t>
      </w:r>
    </w:p>
    <w:tbl>
      <w:tblPr>
        <w:tblW w:w="0" w:type="auto"/>
        <w:jc w:val="left"/>
        <w:tblInd w:w="84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697"/>
        <w:gridCol w:w="2348"/>
        <w:gridCol w:w="1516"/>
        <w:gridCol w:w="4110"/>
      </w:tblGrid>
      <w:tr>
        <w:trPr>
          <w:trHeight w:val="234" w:hRule="atLeast"/>
        </w:trPr>
        <w:tc>
          <w:tcPr>
            <w:tcW w:w="697" w:type="dxa"/>
            <w:tcBorders>
              <w:left w:val="single" w:sz="6" w:space="0" w:color="000000"/>
              <w:bottom w:val="single" w:sz="6" w:space="0" w:color="000000"/>
              <w:right w:val="single" w:sz="6" w:space="0" w:color="000000"/>
            </w:tcBorders>
          </w:tcPr>
          <w:p>
            <w:pPr>
              <w:pStyle w:val="TableParagraph"/>
              <w:spacing w:line="215" w:lineRule="exact"/>
              <w:ind w:left="148" w:right="134"/>
              <w:rPr>
                <w:sz w:val="18"/>
              </w:rPr>
            </w:pPr>
            <w:r>
              <w:rPr>
                <w:sz w:val="18"/>
              </w:rPr>
              <w:t>序号</w:t>
            </w:r>
          </w:p>
        </w:tc>
        <w:tc>
          <w:tcPr>
            <w:tcW w:w="2348" w:type="dxa"/>
            <w:tcBorders>
              <w:left w:val="single" w:sz="6" w:space="0" w:color="000000"/>
              <w:bottom w:val="single" w:sz="6" w:space="0" w:color="000000"/>
              <w:right w:val="single" w:sz="6" w:space="0" w:color="000000"/>
            </w:tcBorders>
          </w:tcPr>
          <w:p>
            <w:pPr>
              <w:pStyle w:val="TableParagraph"/>
              <w:spacing w:line="215" w:lineRule="exact"/>
              <w:ind w:left="423" w:right="406"/>
              <w:rPr>
                <w:sz w:val="18"/>
              </w:rPr>
            </w:pPr>
            <w:r>
              <w:rPr>
                <w:sz w:val="18"/>
              </w:rPr>
              <w:t>组成</w:t>
            </w:r>
          </w:p>
        </w:tc>
        <w:tc>
          <w:tcPr>
            <w:tcW w:w="1516" w:type="dxa"/>
            <w:tcBorders>
              <w:left w:val="single" w:sz="6" w:space="0" w:color="000000"/>
              <w:bottom w:val="single" w:sz="6" w:space="0" w:color="000000"/>
              <w:right w:val="single" w:sz="6" w:space="0" w:color="000000"/>
            </w:tcBorders>
          </w:tcPr>
          <w:p>
            <w:pPr>
              <w:pStyle w:val="TableParagraph"/>
              <w:spacing w:line="215" w:lineRule="exact"/>
              <w:ind w:left="289" w:right="272"/>
              <w:rPr>
                <w:sz w:val="18"/>
              </w:rPr>
            </w:pPr>
            <w:r>
              <w:rPr>
                <w:sz w:val="18"/>
              </w:rPr>
              <w:t>规格与装量</w:t>
            </w:r>
          </w:p>
        </w:tc>
        <w:tc>
          <w:tcPr>
            <w:tcW w:w="4110" w:type="dxa"/>
            <w:tcBorders>
              <w:left w:val="single" w:sz="6" w:space="0" w:color="000000"/>
              <w:bottom w:val="single" w:sz="6" w:space="0" w:color="000000"/>
            </w:tcBorders>
          </w:tcPr>
          <w:p>
            <w:pPr>
              <w:pStyle w:val="TableParagraph"/>
              <w:spacing w:line="215" w:lineRule="exact"/>
              <w:ind w:right="137"/>
              <w:rPr>
                <w:sz w:val="18"/>
              </w:rPr>
            </w:pPr>
            <w:r>
              <w:rPr>
                <w:sz w:val="18"/>
              </w:rPr>
              <w:t>主要成分</w:t>
            </w:r>
          </w:p>
        </w:tc>
      </w:tr>
      <w:tr>
        <w:trPr>
          <w:trHeight w:val="200" w:hRule="atLeast"/>
        </w:trPr>
        <w:tc>
          <w:tcPr>
            <w:tcW w:w="697" w:type="dxa"/>
            <w:tcBorders>
              <w:top w:val="single" w:sz="6" w:space="0" w:color="000000"/>
              <w:left w:val="single" w:sz="6" w:space="0" w:color="000000"/>
              <w:bottom w:val="single" w:sz="6" w:space="0" w:color="000000"/>
              <w:right w:val="single" w:sz="6" w:space="0" w:color="000000"/>
            </w:tcBorders>
          </w:tcPr>
          <w:p>
            <w:pPr>
              <w:pStyle w:val="TableParagraph"/>
              <w:ind w:left="13"/>
              <w:rPr>
                <w:rFonts w:ascii="Times New Roman"/>
                <w:sz w:val="18"/>
              </w:rPr>
            </w:pPr>
            <w:r>
              <w:rPr>
                <w:rFonts w:ascii="Times New Roman"/>
                <w:sz w:val="18"/>
              </w:rPr>
              <w:t>1</w:t>
            </w:r>
          </w:p>
        </w:tc>
        <w:tc>
          <w:tcPr>
            <w:tcW w:w="2348" w:type="dxa"/>
            <w:tcBorders>
              <w:top w:val="single" w:sz="6" w:space="0" w:color="000000"/>
              <w:left w:val="single" w:sz="6" w:space="0" w:color="000000"/>
              <w:bottom w:val="single" w:sz="6" w:space="0" w:color="000000"/>
              <w:right w:val="single" w:sz="6" w:space="0" w:color="000000"/>
            </w:tcBorders>
          </w:tcPr>
          <w:p>
            <w:pPr>
              <w:pStyle w:val="TableParagraph"/>
              <w:ind w:left="423" w:right="406"/>
              <w:rPr>
                <w:sz w:val="18"/>
              </w:rPr>
            </w:pPr>
            <w:r>
              <w:rPr>
                <w:rFonts w:ascii="Times New Roman" w:eastAsia="Times New Roman"/>
                <w:sz w:val="18"/>
              </w:rPr>
              <w:t>HCV</w:t>
            </w:r>
            <w:r>
              <w:rPr>
                <w:sz w:val="18"/>
              </w:rPr>
              <w:t>内标</w:t>
            </w:r>
          </w:p>
        </w:tc>
        <w:tc>
          <w:tcPr>
            <w:tcW w:w="1516" w:type="dxa"/>
            <w:tcBorders>
              <w:top w:val="single" w:sz="6" w:space="0" w:color="000000"/>
              <w:left w:val="single" w:sz="6" w:space="0" w:color="000000"/>
              <w:bottom w:val="single" w:sz="6" w:space="0" w:color="000000"/>
              <w:right w:val="single" w:sz="6" w:space="0" w:color="000000"/>
            </w:tcBorders>
          </w:tcPr>
          <w:p>
            <w:pPr>
              <w:pStyle w:val="TableParagraph"/>
              <w:ind w:left="289" w:right="269"/>
              <w:rPr>
                <w:sz w:val="18"/>
              </w:rPr>
            </w:pPr>
            <w:r>
              <w:rPr>
                <w:rFonts w:ascii="Times New Roman" w:hAnsi="Times New Roman" w:eastAsia="Times New Roman"/>
                <w:sz w:val="18"/>
              </w:rPr>
              <w:t>25μL×1</w:t>
            </w:r>
            <w:r>
              <w:rPr>
                <w:sz w:val="18"/>
              </w:rPr>
              <w:t>管</w:t>
            </w:r>
          </w:p>
        </w:tc>
        <w:tc>
          <w:tcPr>
            <w:tcW w:w="4110" w:type="dxa"/>
            <w:tcBorders>
              <w:top w:val="single" w:sz="6" w:space="0" w:color="000000"/>
              <w:left w:val="single" w:sz="6" w:space="0" w:color="000000"/>
              <w:bottom w:val="single" w:sz="6" w:space="0" w:color="000000"/>
            </w:tcBorders>
          </w:tcPr>
          <w:p>
            <w:pPr>
              <w:pStyle w:val="TableParagraph"/>
              <w:ind w:right="137"/>
              <w:rPr>
                <w:sz w:val="18"/>
              </w:rPr>
            </w:pPr>
            <w:r>
              <w:rPr>
                <w:sz w:val="18"/>
              </w:rPr>
              <w:t>含人工设计序列假病毒</w:t>
            </w:r>
          </w:p>
        </w:tc>
      </w:tr>
      <w:tr>
        <w:trPr>
          <w:trHeight w:val="399" w:hRule="atLeast"/>
        </w:trPr>
        <w:tc>
          <w:tcPr>
            <w:tcW w:w="697" w:type="dxa"/>
            <w:tcBorders>
              <w:top w:val="single" w:sz="6" w:space="0" w:color="000000"/>
              <w:left w:val="single" w:sz="6" w:space="0" w:color="000000"/>
              <w:bottom w:val="single" w:sz="6" w:space="0" w:color="000000"/>
              <w:right w:val="single" w:sz="6" w:space="0" w:color="000000"/>
            </w:tcBorders>
          </w:tcPr>
          <w:p>
            <w:pPr>
              <w:pStyle w:val="TableParagraph"/>
              <w:spacing w:line="240" w:lineRule="auto" w:before="82"/>
              <w:ind w:left="13"/>
              <w:rPr>
                <w:rFonts w:ascii="Times New Roman"/>
                <w:sz w:val="18"/>
              </w:rPr>
            </w:pPr>
            <w:r>
              <w:rPr>
                <w:rFonts w:ascii="Times New Roman"/>
                <w:sz w:val="18"/>
              </w:rPr>
              <w:t>2</w:t>
            </w:r>
          </w:p>
        </w:tc>
        <w:tc>
          <w:tcPr>
            <w:tcW w:w="2348" w:type="dxa"/>
            <w:tcBorders>
              <w:top w:val="single" w:sz="6" w:space="0" w:color="000000"/>
              <w:left w:val="single" w:sz="6" w:space="0" w:color="000000"/>
              <w:bottom w:val="single" w:sz="6" w:space="0" w:color="000000"/>
              <w:right w:val="single" w:sz="6" w:space="0" w:color="000000"/>
            </w:tcBorders>
          </w:tcPr>
          <w:p>
            <w:pPr>
              <w:pStyle w:val="TableParagraph"/>
              <w:spacing w:line="240" w:lineRule="auto" w:before="70"/>
              <w:ind w:left="425" w:right="403"/>
              <w:rPr>
                <w:sz w:val="18"/>
              </w:rPr>
            </w:pPr>
            <w:r>
              <w:rPr>
                <w:rFonts w:ascii="Times New Roman" w:eastAsia="Times New Roman"/>
                <w:sz w:val="18"/>
              </w:rPr>
              <w:t>HCV PCR</w:t>
            </w:r>
            <w:r>
              <w:rPr>
                <w:sz w:val="18"/>
              </w:rPr>
              <w:t>反应液</w:t>
            </w:r>
          </w:p>
        </w:tc>
        <w:tc>
          <w:tcPr>
            <w:tcW w:w="1516" w:type="dxa"/>
            <w:tcBorders>
              <w:top w:val="single" w:sz="6" w:space="0" w:color="000000"/>
              <w:left w:val="single" w:sz="6" w:space="0" w:color="000000"/>
              <w:bottom w:val="single" w:sz="6" w:space="0" w:color="000000"/>
              <w:right w:val="single" w:sz="6" w:space="0" w:color="000000"/>
            </w:tcBorders>
          </w:tcPr>
          <w:p>
            <w:pPr>
              <w:pStyle w:val="TableParagraph"/>
              <w:spacing w:line="240" w:lineRule="auto" w:before="70"/>
              <w:ind w:left="289" w:right="270"/>
              <w:rPr>
                <w:sz w:val="18"/>
              </w:rPr>
            </w:pPr>
            <w:r>
              <w:rPr>
                <w:rFonts w:ascii="Times New Roman" w:hAnsi="Times New Roman" w:eastAsia="Times New Roman"/>
                <w:sz w:val="18"/>
              </w:rPr>
              <w:t>600μL×1</w:t>
            </w:r>
            <w:r>
              <w:rPr>
                <w:sz w:val="18"/>
              </w:rPr>
              <w:t>管</w:t>
            </w:r>
          </w:p>
        </w:tc>
        <w:tc>
          <w:tcPr>
            <w:tcW w:w="4110" w:type="dxa"/>
            <w:tcBorders>
              <w:top w:val="single" w:sz="6" w:space="0" w:color="000000"/>
              <w:left w:val="single" w:sz="6" w:space="0" w:color="000000"/>
              <w:bottom w:val="single" w:sz="6" w:space="0" w:color="000000"/>
            </w:tcBorders>
          </w:tcPr>
          <w:p>
            <w:pPr>
              <w:pStyle w:val="TableParagraph"/>
              <w:spacing w:line="190" w:lineRule="exact"/>
              <w:ind w:right="140"/>
              <w:rPr>
                <w:rFonts w:ascii="Times New Roman" w:eastAsia="Times New Roman"/>
                <w:sz w:val="18"/>
              </w:rPr>
            </w:pPr>
            <w:r>
              <w:rPr>
                <w:spacing w:val="-17"/>
                <w:sz w:val="18"/>
              </w:rPr>
              <w:t>引物、探针、脱氧核糖核苷三磷酸、参比荧光、</w:t>
            </w:r>
            <w:r>
              <w:rPr>
                <w:rFonts w:ascii="Times New Roman" w:eastAsia="Times New Roman"/>
                <w:sz w:val="18"/>
              </w:rPr>
              <w:t>PCR</w:t>
            </w:r>
          </w:p>
          <w:p>
            <w:pPr>
              <w:pStyle w:val="TableParagraph"/>
              <w:spacing w:line="190" w:lineRule="exact"/>
              <w:ind w:left="152" w:right="140"/>
              <w:rPr>
                <w:rFonts w:ascii="Times New Roman"/>
                <w:sz w:val="18"/>
              </w:rPr>
            </w:pPr>
            <w:r>
              <w:rPr>
                <w:rFonts w:ascii="Times New Roman"/>
                <w:sz w:val="18"/>
              </w:rPr>
              <w:t>buffer</w:t>
            </w:r>
          </w:p>
        </w:tc>
      </w:tr>
      <w:tr>
        <w:trPr>
          <w:trHeight w:val="200" w:hRule="atLeast"/>
        </w:trPr>
        <w:tc>
          <w:tcPr>
            <w:tcW w:w="697" w:type="dxa"/>
            <w:tcBorders>
              <w:top w:val="single" w:sz="6" w:space="0" w:color="000000"/>
              <w:left w:val="single" w:sz="6" w:space="0" w:color="000000"/>
              <w:bottom w:val="single" w:sz="6" w:space="0" w:color="000000"/>
              <w:right w:val="single" w:sz="6" w:space="0" w:color="000000"/>
            </w:tcBorders>
          </w:tcPr>
          <w:p>
            <w:pPr>
              <w:pStyle w:val="TableParagraph"/>
              <w:ind w:left="13"/>
              <w:rPr>
                <w:rFonts w:ascii="Times New Roman"/>
                <w:sz w:val="18"/>
              </w:rPr>
            </w:pPr>
            <w:r>
              <w:rPr>
                <w:rFonts w:ascii="Times New Roman"/>
                <w:sz w:val="18"/>
              </w:rPr>
              <w:t>3</w:t>
            </w:r>
          </w:p>
        </w:tc>
        <w:tc>
          <w:tcPr>
            <w:tcW w:w="2348" w:type="dxa"/>
            <w:tcBorders>
              <w:top w:val="single" w:sz="6" w:space="0" w:color="000000"/>
              <w:left w:val="single" w:sz="6" w:space="0" w:color="000000"/>
              <w:bottom w:val="single" w:sz="6" w:space="0" w:color="000000"/>
              <w:right w:val="single" w:sz="6" w:space="0" w:color="000000"/>
            </w:tcBorders>
          </w:tcPr>
          <w:p>
            <w:pPr>
              <w:pStyle w:val="TableParagraph"/>
              <w:ind w:left="425" w:right="406"/>
              <w:rPr>
                <w:sz w:val="18"/>
              </w:rPr>
            </w:pPr>
            <w:r>
              <w:rPr>
                <w:rFonts w:ascii="Times New Roman" w:eastAsia="Times New Roman"/>
                <w:sz w:val="18"/>
              </w:rPr>
              <w:t>RT</w:t>
            </w:r>
            <w:r>
              <w:rPr>
                <w:sz w:val="18"/>
              </w:rPr>
              <w:t>增强剂</w:t>
            </w:r>
          </w:p>
        </w:tc>
        <w:tc>
          <w:tcPr>
            <w:tcW w:w="1516" w:type="dxa"/>
            <w:tcBorders>
              <w:top w:val="single" w:sz="6" w:space="0" w:color="000000"/>
              <w:left w:val="single" w:sz="6" w:space="0" w:color="000000"/>
              <w:bottom w:val="single" w:sz="6" w:space="0" w:color="000000"/>
              <w:right w:val="single" w:sz="6" w:space="0" w:color="000000"/>
            </w:tcBorders>
          </w:tcPr>
          <w:p>
            <w:pPr>
              <w:pStyle w:val="TableParagraph"/>
              <w:ind w:left="289" w:right="269"/>
              <w:rPr>
                <w:sz w:val="18"/>
              </w:rPr>
            </w:pPr>
            <w:r>
              <w:rPr>
                <w:rFonts w:ascii="Times New Roman" w:hAnsi="Times New Roman" w:eastAsia="Times New Roman"/>
                <w:sz w:val="18"/>
              </w:rPr>
              <w:t>25μL×1</w:t>
            </w:r>
            <w:r>
              <w:rPr>
                <w:sz w:val="18"/>
              </w:rPr>
              <w:t>管</w:t>
            </w:r>
          </w:p>
        </w:tc>
        <w:tc>
          <w:tcPr>
            <w:tcW w:w="4110" w:type="dxa"/>
            <w:tcBorders>
              <w:top w:val="single" w:sz="6" w:space="0" w:color="000000"/>
              <w:left w:val="single" w:sz="6" w:space="0" w:color="000000"/>
              <w:bottom w:val="single" w:sz="6" w:space="0" w:color="000000"/>
            </w:tcBorders>
          </w:tcPr>
          <w:p>
            <w:pPr>
              <w:pStyle w:val="TableParagraph"/>
              <w:ind w:right="140"/>
              <w:rPr>
                <w:sz w:val="18"/>
              </w:rPr>
            </w:pPr>
            <w:r>
              <w:rPr>
                <w:sz w:val="18"/>
              </w:rPr>
              <w:t>硫酸锰</w:t>
            </w:r>
          </w:p>
        </w:tc>
      </w:tr>
      <w:tr>
        <w:trPr>
          <w:trHeight w:val="200" w:hRule="atLeast"/>
        </w:trPr>
        <w:tc>
          <w:tcPr>
            <w:tcW w:w="697" w:type="dxa"/>
            <w:tcBorders>
              <w:top w:val="single" w:sz="6" w:space="0" w:color="000000"/>
              <w:left w:val="single" w:sz="6" w:space="0" w:color="000000"/>
              <w:bottom w:val="single" w:sz="6" w:space="0" w:color="000000"/>
              <w:right w:val="single" w:sz="6" w:space="0" w:color="000000"/>
            </w:tcBorders>
          </w:tcPr>
          <w:p>
            <w:pPr>
              <w:pStyle w:val="TableParagraph"/>
              <w:ind w:left="13"/>
              <w:rPr>
                <w:rFonts w:ascii="Times New Roman"/>
                <w:sz w:val="18"/>
              </w:rPr>
            </w:pPr>
            <w:r>
              <w:rPr>
                <w:rFonts w:ascii="Times New Roman"/>
                <w:sz w:val="18"/>
              </w:rPr>
              <w:t>4</w:t>
            </w:r>
          </w:p>
        </w:tc>
        <w:tc>
          <w:tcPr>
            <w:tcW w:w="2348" w:type="dxa"/>
            <w:tcBorders>
              <w:top w:val="single" w:sz="6" w:space="0" w:color="000000"/>
              <w:left w:val="single" w:sz="6" w:space="0" w:color="000000"/>
              <w:bottom w:val="single" w:sz="6" w:space="0" w:color="000000"/>
              <w:right w:val="single" w:sz="6" w:space="0" w:color="000000"/>
            </w:tcBorders>
          </w:tcPr>
          <w:p>
            <w:pPr>
              <w:pStyle w:val="TableParagraph"/>
              <w:ind w:left="423" w:right="406"/>
              <w:rPr>
                <w:rFonts w:ascii="Times New Roman" w:eastAsia="Times New Roman"/>
                <w:sz w:val="18"/>
              </w:rPr>
            </w:pPr>
            <w:r>
              <w:rPr>
                <w:rFonts w:ascii="Times New Roman" w:eastAsia="Times New Roman"/>
                <w:sz w:val="18"/>
              </w:rPr>
              <w:t>HCV</w:t>
            </w:r>
            <w:r>
              <w:rPr>
                <w:sz w:val="18"/>
              </w:rPr>
              <w:t>定量参考品</w:t>
            </w:r>
            <w:r>
              <w:rPr>
                <w:rFonts w:ascii="Times New Roman" w:eastAsia="Times New Roman"/>
                <w:sz w:val="18"/>
              </w:rPr>
              <w:t>A</w:t>
            </w:r>
          </w:p>
        </w:tc>
        <w:tc>
          <w:tcPr>
            <w:tcW w:w="1516" w:type="dxa"/>
            <w:tcBorders>
              <w:top w:val="single" w:sz="6" w:space="0" w:color="000000"/>
              <w:left w:val="single" w:sz="6" w:space="0" w:color="000000"/>
              <w:bottom w:val="single" w:sz="6" w:space="0" w:color="000000"/>
              <w:right w:val="single" w:sz="6" w:space="0" w:color="000000"/>
            </w:tcBorders>
          </w:tcPr>
          <w:p>
            <w:pPr>
              <w:pStyle w:val="TableParagraph"/>
              <w:ind w:left="289" w:right="272"/>
              <w:rPr>
                <w:sz w:val="18"/>
              </w:rPr>
            </w:pPr>
            <w:r>
              <w:rPr>
                <w:rFonts w:ascii="Times New Roman" w:hAnsi="Times New Roman" w:eastAsia="Times New Roman"/>
                <w:sz w:val="18"/>
              </w:rPr>
              <w:t>1mL×1</w:t>
            </w:r>
            <w:r>
              <w:rPr>
                <w:sz w:val="18"/>
              </w:rPr>
              <w:t>管</w:t>
            </w:r>
          </w:p>
        </w:tc>
        <w:tc>
          <w:tcPr>
            <w:tcW w:w="4110" w:type="dxa"/>
            <w:tcBorders>
              <w:top w:val="single" w:sz="6" w:space="0" w:color="000000"/>
              <w:left w:val="single" w:sz="6" w:space="0" w:color="000000"/>
              <w:bottom w:val="single" w:sz="6" w:space="0" w:color="000000"/>
            </w:tcBorders>
          </w:tcPr>
          <w:p>
            <w:pPr>
              <w:pStyle w:val="TableParagraph"/>
              <w:ind w:right="137"/>
              <w:rPr>
                <w:sz w:val="18"/>
              </w:rPr>
            </w:pPr>
            <w:r>
              <w:rPr>
                <w:sz w:val="18"/>
              </w:rPr>
              <w:t>含</w:t>
            </w:r>
            <w:r>
              <w:rPr>
                <w:rFonts w:ascii="Times New Roman" w:eastAsia="Times New Roman"/>
                <w:sz w:val="18"/>
              </w:rPr>
              <w:t>HCV</w:t>
            </w:r>
            <w:r>
              <w:rPr>
                <w:sz w:val="18"/>
              </w:rPr>
              <w:t>片段假病毒</w:t>
            </w:r>
          </w:p>
        </w:tc>
      </w:tr>
      <w:tr>
        <w:trPr>
          <w:trHeight w:val="200" w:hRule="atLeast"/>
        </w:trPr>
        <w:tc>
          <w:tcPr>
            <w:tcW w:w="697" w:type="dxa"/>
            <w:tcBorders>
              <w:top w:val="single" w:sz="6" w:space="0" w:color="000000"/>
              <w:left w:val="single" w:sz="6" w:space="0" w:color="000000"/>
              <w:bottom w:val="single" w:sz="6" w:space="0" w:color="000000"/>
              <w:right w:val="single" w:sz="6" w:space="0" w:color="000000"/>
            </w:tcBorders>
          </w:tcPr>
          <w:p>
            <w:pPr>
              <w:pStyle w:val="TableParagraph"/>
              <w:ind w:left="13"/>
              <w:rPr>
                <w:rFonts w:ascii="Times New Roman"/>
                <w:sz w:val="18"/>
              </w:rPr>
            </w:pPr>
            <w:r>
              <w:rPr>
                <w:rFonts w:ascii="Times New Roman"/>
                <w:sz w:val="18"/>
              </w:rPr>
              <w:t>5</w:t>
            </w:r>
          </w:p>
        </w:tc>
        <w:tc>
          <w:tcPr>
            <w:tcW w:w="2348" w:type="dxa"/>
            <w:tcBorders>
              <w:top w:val="single" w:sz="6" w:space="0" w:color="000000"/>
              <w:left w:val="single" w:sz="6" w:space="0" w:color="000000"/>
              <w:bottom w:val="single" w:sz="6" w:space="0" w:color="000000"/>
              <w:right w:val="single" w:sz="6" w:space="0" w:color="000000"/>
            </w:tcBorders>
          </w:tcPr>
          <w:p>
            <w:pPr>
              <w:pStyle w:val="TableParagraph"/>
              <w:ind w:left="423" w:right="406"/>
              <w:rPr>
                <w:rFonts w:ascii="Times New Roman" w:eastAsia="Times New Roman"/>
                <w:sz w:val="18"/>
              </w:rPr>
            </w:pPr>
            <w:r>
              <w:rPr>
                <w:rFonts w:ascii="Times New Roman" w:eastAsia="Times New Roman"/>
                <w:sz w:val="18"/>
              </w:rPr>
              <w:t>HCV</w:t>
            </w:r>
            <w:r>
              <w:rPr>
                <w:sz w:val="18"/>
              </w:rPr>
              <w:t>定量参考品</w:t>
            </w:r>
            <w:r>
              <w:rPr>
                <w:rFonts w:ascii="Times New Roman" w:eastAsia="Times New Roman"/>
                <w:sz w:val="18"/>
              </w:rPr>
              <w:t>B</w:t>
            </w:r>
          </w:p>
        </w:tc>
        <w:tc>
          <w:tcPr>
            <w:tcW w:w="1516" w:type="dxa"/>
            <w:tcBorders>
              <w:top w:val="single" w:sz="6" w:space="0" w:color="000000"/>
              <w:left w:val="single" w:sz="6" w:space="0" w:color="000000"/>
              <w:bottom w:val="single" w:sz="6" w:space="0" w:color="000000"/>
              <w:right w:val="single" w:sz="6" w:space="0" w:color="000000"/>
            </w:tcBorders>
          </w:tcPr>
          <w:p>
            <w:pPr>
              <w:pStyle w:val="TableParagraph"/>
              <w:ind w:left="289" w:right="272"/>
              <w:rPr>
                <w:sz w:val="18"/>
              </w:rPr>
            </w:pPr>
            <w:r>
              <w:rPr>
                <w:rFonts w:ascii="Times New Roman" w:hAnsi="Times New Roman" w:eastAsia="Times New Roman"/>
                <w:sz w:val="18"/>
              </w:rPr>
              <w:t>1mL×1</w:t>
            </w:r>
            <w:r>
              <w:rPr>
                <w:sz w:val="18"/>
              </w:rPr>
              <w:t>管</w:t>
            </w:r>
          </w:p>
        </w:tc>
        <w:tc>
          <w:tcPr>
            <w:tcW w:w="4110" w:type="dxa"/>
            <w:tcBorders>
              <w:top w:val="single" w:sz="6" w:space="0" w:color="000000"/>
              <w:left w:val="single" w:sz="6" w:space="0" w:color="000000"/>
              <w:bottom w:val="single" w:sz="6" w:space="0" w:color="000000"/>
            </w:tcBorders>
          </w:tcPr>
          <w:p>
            <w:pPr>
              <w:pStyle w:val="TableParagraph"/>
              <w:ind w:right="137"/>
              <w:rPr>
                <w:sz w:val="18"/>
              </w:rPr>
            </w:pPr>
            <w:r>
              <w:rPr>
                <w:sz w:val="18"/>
              </w:rPr>
              <w:t>含</w:t>
            </w:r>
            <w:r>
              <w:rPr>
                <w:rFonts w:ascii="Times New Roman" w:eastAsia="Times New Roman"/>
                <w:sz w:val="18"/>
              </w:rPr>
              <w:t>HCV</w:t>
            </w:r>
            <w:r>
              <w:rPr>
                <w:sz w:val="18"/>
              </w:rPr>
              <w:t>片段假病毒</w:t>
            </w:r>
          </w:p>
        </w:tc>
      </w:tr>
      <w:tr>
        <w:trPr>
          <w:trHeight w:val="200" w:hRule="atLeast"/>
        </w:trPr>
        <w:tc>
          <w:tcPr>
            <w:tcW w:w="697" w:type="dxa"/>
            <w:tcBorders>
              <w:top w:val="single" w:sz="6" w:space="0" w:color="000000"/>
              <w:left w:val="single" w:sz="6" w:space="0" w:color="000000"/>
              <w:bottom w:val="single" w:sz="6" w:space="0" w:color="000000"/>
              <w:right w:val="single" w:sz="6" w:space="0" w:color="000000"/>
            </w:tcBorders>
          </w:tcPr>
          <w:p>
            <w:pPr>
              <w:pStyle w:val="TableParagraph"/>
              <w:ind w:left="13"/>
              <w:rPr>
                <w:rFonts w:ascii="Times New Roman"/>
                <w:sz w:val="18"/>
              </w:rPr>
            </w:pPr>
            <w:r>
              <w:rPr>
                <w:rFonts w:ascii="Times New Roman"/>
                <w:sz w:val="18"/>
              </w:rPr>
              <w:t>6</w:t>
            </w:r>
          </w:p>
        </w:tc>
        <w:tc>
          <w:tcPr>
            <w:tcW w:w="2348" w:type="dxa"/>
            <w:tcBorders>
              <w:top w:val="single" w:sz="6" w:space="0" w:color="000000"/>
              <w:left w:val="single" w:sz="6" w:space="0" w:color="000000"/>
              <w:bottom w:val="single" w:sz="6" w:space="0" w:color="000000"/>
              <w:right w:val="single" w:sz="6" w:space="0" w:color="000000"/>
            </w:tcBorders>
          </w:tcPr>
          <w:p>
            <w:pPr>
              <w:pStyle w:val="TableParagraph"/>
              <w:ind w:left="423" w:right="406"/>
              <w:rPr>
                <w:rFonts w:ascii="Times New Roman" w:eastAsia="Times New Roman"/>
                <w:sz w:val="18"/>
              </w:rPr>
            </w:pPr>
            <w:r>
              <w:rPr>
                <w:rFonts w:ascii="Times New Roman" w:eastAsia="Times New Roman"/>
                <w:sz w:val="18"/>
              </w:rPr>
              <w:t>HCV</w:t>
            </w:r>
            <w:r>
              <w:rPr>
                <w:sz w:val="18"/>
              </w:rPr>
              <w:t>定量参考品</w:t>
            </w:r>
            <w:r>
              <w:rPr>
                <w:rFonts w:ascii="Times New Roman" w:eastAsia="Times New Roman"/>
                <w:sz w:val="18"/>
              </w:rPr>
              <w:t>C</w:t>
            </w:r>
          </w:p>
        </w:tc>
        <w:tc>
          <w:tcPr>
            <w:tcW w:w="1516" w:type="dxa"/>
            <w:tcBorders>
              <w:top w:val="single" w:sz="6" w:space="0" w:color="000000"/>
              <w:left w:val="single" w:sz="6" w:space="0" w:color="000000"/>
              <w:bottom w:val="single" w:sz="6" w:space="0" w:color="000000"/>
              <w:right w:val="single" w:sz="6" w:space="0" w:color="000000"/>
            </w:tcBorders>
          </w:tcPr>
          <w:p>
            <w:pPr>
              <w:pStyle w:val="TableParagraph"/>
              <w:ind w:left="289" w:right="272"/>
              <w:rPr>
                <w:sz w:val="18"/>
              </w:rPr>
            </w:pPr>
            <w:r>
              <w:rPr>
                <w:rFonts w:ascii="Times New Roman" w:hAnsi="Times New Roman" w:eastAsia="Times New Roman"/>
                <w:sz w:val="18"/>
              </w:rPr>
              <w:t>1mL×1</w:t>
            </w:r>
            <w:r>
              <w:rPr>
                <w:sz w:val="18"/>
              </w:rPr>
              <w:t>管</w:t>
            </w:r>
          </w:p>
        </w:tc>
        <w:tc>
          <w:tcPr>
            <w:tcW w:w="4110" w:type="dxa"/>
            <w:tcBorders>
              <w:top w:val="single" w:sz="6" w:space="0" w:color="000000"/>
              <w:left w:val="single" w:sz="6" w:space="0" w:color="000000"/>
              <w:bottom w:val="single" w:sz="6" w:space="0" w:color="000000"/>
            </w:tcBorders>
          </w:tcPr>
          <w:p>
            <w:pPr>
              <w:pStyle w:val="TableParagraph"/>
              <w:ind w:right="137"/>
              <w:rPr>
                <w:sz w:val="18"/>
              </w:rPr>
            </w:pPr>
            <w:r>
              <w:rPr>
                <w:sz w:val="18"/>
              </w:rPr>
              <w:t>含</w:t>
            </w:r>
            <w:r>
              <w:rPr>
                <w:rFonts w:ascii="Times New Roman" w:eastAsia="Times New Roman"/>
                <w:sz w:val="18"/>
              </w:rPr>
              <w:t>HCV</w:t>
            </w:r>
            <w:r>
              <w:rPr>
                <w:sz w:val="18"/>
              </w:rPr>
              <w:t>片段假病毒</w:t>
            </w:r>
          </w:p>
        </w:tc>
      </w:tr>
      <w:tr>
        <w:trPr>
          <w:trHeight w:val="200" w:hRule="atLeast"/>
        </w:trPr>
        <w:tc>
          <w:tcPr>
            <w:tcW w:w="697" w:type="dxa"/>
            <w:tcBorders>
              <w:top w:val="single" w:sz="6" w:space="0" w:color="000000"/>
              <w:left w:val="single" w:sz="6" w:space="0" w:color="000000"/>
              <w:bottom w:val="single" w:sz="6" w:space="0" w:color="000000"/>
              <w:right w:val="single" w:sz="6" w:space="0" w:color="000000"/>
            </w:tcBorders>
          </w:tcPr>
          <w:p>
            <w:pPr>
              <w:pStyle w:val="TableParagraph"/>
              <w:ind w:left="13"/>
              <w:rPr>
                <w:rFonts w:ascii="Times New Roman"/>
                <w:sz w:val="18"/>
              </w:rPr>
            </w:pPr>
            <w:r>
              <w:rPr>
                <w:rFonts w:ascii="Times New Roman"/>
                <w:sz w:val="18"/>
              </w:rPr>
              <w:t>7</w:t>
            </w:r>
          </w:p>
        </w:tc>
        <w:tc>
          <w:tcPr>
            <w:tcW w:w="2348" w:type="dxa"/>
            <w:tcBorders>
              <w:top w:val="single" w:sz="6" w:space="0" w:color="000000"/>
              <w:left w:val="single" w:sz="6" w:space="0" w:color="000000"/>
              <w:bottom w:val="single" w:sz="6" w:space="0" w:color="000000"/>
              <w:right w:val="single" w:sz="6" w:space="0" w:color="000000"/>
            </w:tcBorders>
          </w:tcPr>
          <w:p>
            <w:pPr>
              <w:pStyle w:val="TableParagraph"/>
              <w:ind w:left="423" w:right="406"/>
              <w:rPr>
                <w:rFonts w:ascii="Times New Roman" w:eastAsia="Times New Roman"/>
                <w:sz w:val="18"/>
              </w:rPr>
            </w:pPr>
            <w:r>
              <w:rPr>
                <w:rFonts w:ascii="Times New Roman" w:eastAsia="Times New Roman"/>
                <w:sz w:val="18"/>
              </w:rPr>
              <w:t>HCV</w:t>
            </w:r>
            <w:r>
              <w:rPr>
                <w:sz w:val="18"/>
              </w:rPr>
              <w:t>定量参考品</w:t>
            </w:r>
            <w:r>
              <w:rPr>
                <w:rFonts w:ascii="Times New Roman" w:eastAsia="Times New Roman"/>
                <w:sz w:val="18"/>
              </w:rPr>
              <w:t>D</w:t>
            </w:r>
          </w:p>
        </w:tc>
        <w:tc>
          <w:tcPr>
            <w:tcW w:w="1516" w:type="dxa"/>
            <w:tcBorders>
              <w:top w:val="single" w:sz="6" w:space="0" w:color="000000"/>
              <w:left w:val="single" w:sz="6" w:space="0" w:color="000000"/>
              <w:bottom w:val="single" w:sz="6" w:space="0" w:color="000000"/>
              <w:right w:val="single" w:sz="6" w:space="0" w:color="000000"/>
            </w:tcBorders>
          </w:tcPr>
          <w:p>
            <w:pPr>
              <w:pStyle w:val="TableParagraph"/>
              <w:ind w:left="289" w:right="272"/>
              <w:rPr>
                <w:sz w:val="18"/>
              </w:rPr>
            </w:pPr>
            <w:r>
              <w:rPr>
                <w:rFonts w:ascii="Times New Roman" w:hAnsi="Times New Roman" w:eastAsia="Times New Roman"/>
                <w:sz w:val="18"/>
              </w:rPr>
              <w:t>1mL×1</w:t>
            </w:r>
            <w:r>
              <w:rPr>
                <w:sz w:val="18"/>
              </w:rPr>
              <w:t>管</w:t>
            </w:r>
          </w:p>
        </w:tc>
        <w:tc>
          <w:tcPr>
            <w:tcW w:w="4110" w:type="dxa"/>
            <w:tcBorders>
              <w:top w:val="single" w:sz="6" w:space="0" w:color="000000"/>
              <w:left w:val="single" w:sz="6" w:space="0" w:color="000000"/>
              <w:bottom w:val="single" w:sz="6" w:space="0" w:color="000000"/>
            </w:tcBorders>
          </w:tcPr>
          <w:p>
            <w:pPr>
              <w:pStyle w:val="TableParagraph"/>
              <w:ind w:right="137"/>
              <w:rPr>
                <w:sz w:val="18"/>
              </w:rPr>
            </w:pPr>
            <w:r>
              <w:rPr>
                <w:sz w:val="18"/>
              </w:rPr>
              <w:t>含</w:t>
            </w:r>
            <w:r>
              <w:rPr>
                <w:rFonts w:ascii="Times New Roman" w:eastAsia="Times New Roman"/>
                <w:sz w:val="18"/>
              </w:rPr>
              <w:t>HCV</w:t>
            </w:r>
            <w:r>
              <w:rPr>
                <w:sz w:val="18"/>
              </w:rPr>
              <w:t>片段假病毒</w:t>
            </w:r>
          </w:p>
        </w:tc>
      </w:tr>
      <w:tr>
        <w:trPr>
          <w:trHeight w:val="200" w:hRule="atLeast"/>
        </w:trPr>
        <w:tc>
          <w:tcPr>
            <w:tcW w:w="697" w:type="dxa"/>
            <w:tcBorders>
              <w:top w:val="single" w:sz="6" w:space="0" w:color="000000"/>
              <w:left w:val="single" w:sz="6" w:space="0" w:color="000000"/>
              <w:bottom w:val="single" w:sz="6" w:space="0" w:color="000000"/>
              <w:right w:val="single" w:sz="6" w:space="0" w:color="000000"/>
            </w:tcBorders>
          </w:tcPr>
          <w:p>
            <w:pPr>
              <w:pStyle w:val="TableParagraph"/>
              <w:ind w:left="13"/>
              <w:rPr>
                <w:rFonts w:ascii="Times New Roman"/>
                <w:sz w:val="18"/>
              </w:rPr>
            </w:pPr>
            <w:r>
              <w:rPr>
                <w:rFonts w:ascii="Times New Roman"/>
                <w:sz w:val="18"/>
              </w:rPr>
              <w:t>8</w:t>
            </w:r>
          </w:p>
        </w:tc>
        <w:tc>
          <w:tcPr>
            <w:tcW w:w="2348" w:type="dxa"/>
            <w:tcBorders>
              <w:top w:val="single" w:sz="6" w:space="0" w:color="000000"/>
              <w:left w:val="single" w:sz="6" w:space="0" w:color="000000"/>
              <w:bottom w:val="single" w:sz="6" w:space="0" w:color="000000"/>
              <w:right w:val="single" w:sz="6" w:space="0" w:color="000000"/>
            </w:tcBorders>
          </w:tcPr>
          <w:p>
            <w:pPr>
              <w:pStyle w:val="TableParagraph"/>
              <w:ind w:left="425" w:right="406"/>
              <w:rPr>
                <w:sz w:val="18"/>
              </w:rPr>
            </w:pPr>
            <w:r>
              <w:rPr>
                <w:rFonts w:ascii="Times New Roman" w:eastAsia="Times New Roman"/>
                <w:sz w:val="18"/>
              </w:rPr>
              <w:t>HCV</w:t>
            </w:r>
            <w:r>
              <w:rPr>
                <w:sz w:val="18"/>
              </w:rPr>
              <w:t>阴性对照</w:t>
            </w:r>
          </w:p>
        </w:tc>
        <w:tc>
          <w:tcPr>
            <w:tcW w:w="1516" w:type="dxa"/>
            <w:tcBorders>
              <w:top w:val="single" w:sz="6" w:space="0" w:color="000000"/>
              <w:left w:val="single" w:sz="6" w:space="0" w:color="000000"/>
              <w:bottom w:val="single" w:sz="6" w:space="0" w:color="000000"/>
              <w:right w:val="single" w:sz="6" w:space="0" w:color="000000"/>
            </w:tcBorders>
          </w:tcPr>
          <w:p>
            <w:pPr>
              <w:pStyle w:val="TableParagraph"/>
              <w:ind w:left="289" w:right="272"/>
              <w:rPr>
                <w:sz w:val="18"/>
              </w:rPr>
            </w:pPr>
            <w:r>
              <w:rPr>
                <w:rFonts w:ascii="Times New Roman" w:hAnsi="Times New Roman" w:eastAsia="Times New Roman"/>
                <w:sz w:val="18"/>
              </w:rPr>
              <w:t>1mL×1</w:t>
            </w:r>
            <w:r>
              <w:rPr>
                <w:sz w:val="18"/>
              </w:rPr>
              <w:t>管</w:t>
            </w:r>
          </w:p>
        </w:tc>
        <w:tc>
          <w:tcPr>
            <w:tcW w:w="4110" w:type="dxa"/>
            <w:tcBorders>
              <w:top w:val="single" w:sz="6" w:space="0" w:color="000000"/>
              <w:left w:val="single" w:sz="6" w:space="0" w:color="000000"/>
              <w:bottom w:val="single" w:sz="6" w:space="0" w:color="000000"/>
            </w:tcBorders>
          </w:tcPr>
          <w:p>
            <w:pPr>
              <w:pStyle w:val="TableParagraph"/>
              <w:ind w:right="140"/>
              <w:rPr>
                <w:sz w:val="18"/>
              </w:rPr>
            </w:pPr>
            <w:r>
              <w:rPr>
                <w:sz w:val="18"/>
              </w:rPr>
              <w:t>灭活的人阴性血清</w:t>
            </w:r>
          </w:p>
        </w:tc>
      </w:tr>
      <w:tr>
        <w:trPr>
          <w:trHeight w:val="200" w:hRule="atLeast"/>
        </w:trPr>
        <w:tc>
          <w:tcPr>
            <w:tcW w:w="697" w:type="dxa"/>
            <w:tcBorders>
              <w:top w:val="single" w:sz="6" w:space="0" w:color="000000"/>
              <w:left w:val="single" w:sz="6" w:space="0" w:color="000000"/>
              <w:bottom w:val="single" w:sz="6" w:space="0" w:color="000000"/>
              <w:right w:val="single" w:sz="6" w:space="0" w:color="000000"/>
            </w:tcBorders>
          </w:tcPr>
          <w:p>
            <w:pPr>
              <w:pStyle w:val="TableParagraph"/>
              <w:ind w:left="13"/>
              <w:rPr>
                <w:rFonts w:ascii="Times New Roman"/>
                <w:sz w:val="18"/>
              </w:rPr>
            </w:pPr>
            <w:r>
              <w:rPr>
                <w:rFonts w:ascii="Times New Roman"/>
                <w:sz w:val="18"/>
              </w:rPr>
              <w:t>9</w:t>
            </w:r>
          </w:p>
        </w:tc>
        <w:tc>
          <w:tcPr>
            <w:tcW w:w="2348" w:type="dxa"/>
            <w:tcBorders>
              <w:top w:val="single" w:sz="6" w:space="0" w:color="000000"/>
              <w:left w:val="single" w:sz="6" w:space="0" w:color="000000"/>
              <w:bottom w:val="single" w:sz="6" w:space="0" w:color="000000"/>
              <w:right w:val="single" w:sz="6" w:space="0" w:color="000000"/>
            </w:tcBorders>
          </w:tcPr>
          <w:p>
            <w:pPr>
              <w:pStyle w:val="TableParagraph"/>
              <w:ind w:left="425" w:right="406"/>
              <w:rPr>
                <w:sz w:val="18"/>
              </w:rPr>
            </w:pPr>
            <w:r>
              <w:rPr>
                <w:rFonts w:ascii="Times New Roman" w:eastAsia="Times New Roman"/>
                <w:sz w:val="18"/>
              </w:rPr>
              <w:t>HCV</w:t>
            </w:r>
            <w:r>
              <w:rPr>
                <w:sz w:val="18"/>
              </w:rPr>
              <w:t>强阳性对照</w:t>
            </w:r>
          </w:p>
        </w:tc>
        <w:tc>
          <w:tcPr>
            <w:tcW w:w="1516" w:type="dxa"/>
            <w:tcBorders>
              <w:top w:val="single" w:sz="6" w:space="0" w:color="000000"/>
              <w:left w:val="single" w:sz="6" w:space="0" w:color="000000"/>
              <w:bottom w:val="single" w:sz="6" w:space="0" w:color="000000"/>
              <w:right w:val="single" w:sz="6" w:space="0" w:color="000000"/>
            </w:tcBorders>
          </w:tcPr>
          <w:p>
            <w:pPr>
              <w:pStyle w:val="TableParagraph"/>
              <w:ind w:left="289" w:right="272"/>
              <w:rPr>
                <w:sz w:val="18"/>
              </w:rPr>
            </w:pPr>
            <w:r>
              <w:rPr>
                <w:rFonts w:ascii="Times New Roman" w:hAnsi="Times New Roman" w:eastAsia="Times New Roman"/>
                <w:sz w:val="18"/>
              </w:rPr>
              <w:t>1mL×1</w:t>
            </w:r>
            <w:r>
              <w:rPr>
                <w:sz w:val="18"/>
              </w:rPr>
              <w:t>管</w:t>
            </w:r>
          </w:p>
        </w:tc>
        <w:tc>
          <w:tcPr>
            <w:tcW w:w="4110" w:type="dxa"/>
            <w:tcBorders>
              <w:top w:val="single" w:sz="6" w:space="0" w:color="000000"/>
              <w:left w:val="single" w:sz="6" w:space="0" w:color="000000"/>
              <w:bottom w:val="single" w:sz="6" w:space="0" w:color="000000"/>
            </w:tcBorders>
          </w:tcPr>
          <w:p>
            <w:pPr>
              <w:pStyle w:val="TableParagraph"/>
              <w:ind w:right="137"/>
              <w:rPr>
                <w:sz w:val="18"/>
              </w:rPr>
            </w:pPr>
            <w:r>
              <w:rPr>
                <w:sz w:val="18"/>
              </w:rPr>
              <w:t>含</w:t>
            </w:r>
            <w:r>
              <w:rPr>
                <w:rFonts w:ascii="Times New Roman" w:eastAsia="Times New Roman"/>
                <w:sz w:val="18"/>
              </w:rPr>
              <w:t>HCV</w:t>
            </w:r>
            <w:r>
              <w:rPr>
                <w:sz w:val="18"/>
              </w:rPr>
              <w:t>片段假病毒</w:t>
            </w:r>
          </w:p>
        </w:tc>
      </w:tr>
      <w:tr>
        <w:trPr>
          <w:trHeight w:val="200" w:hRule="atLeast"/>
        </w:trPr>
        <w:tc>
          <w:tcPr>
            <w:tcW w:w="697" w:type="dxa"/>
            <w:tcBorders>
              <w:top w:val="single" w:sz="6" w:space="0" w:color="000000"/>
              <w:left w:val="single" w:sz="6" w:space="0" w:color="000000"/>
              <w:bottom w:val="single" w:sz="6" w:space="0" w:color="000000"/>
              <w:right w:val="single" w:sz="6" w:space="0" w:color="000000"/>
            </w:tcBorders>
          </w:tcPr>
          <w:p>
            <w:pPr>
              <w:pStyle w:val="TableParagraph"/>
              <w:ind w:left="148" w:right="133"/>
              <w:rPr>
                <w:rFonts w:ascii="Times New Roman"/>
                <w:sz w:val="18"/>
              </w:rPr>
            </w:pPr>
            <w:r>
              <w:rPr>
                <w:rFonts w:ascii="Times New Roman"/>
                <w:sz w:val="18"/>
              </w:rPr>
              <w:t>10</w:t>
            </w:r>
          </w:p>
        </w:tc>
        <w:tc>
          <w:tcPr>
            <w:tcW w:w="2348" w:type="dxa"/>
            <w:tcBorders>
              <w:top w:val="single" w:sz="6" w:space="0" w:color="000000"/>
              <w:left w:val="single" w:sz="6" w:space="0" w:color="000000"/>
              <w:bottom w:val="single" w:sz="6" w:space="0" w:color="000000"/>
              <w:right w:val="single" w:sz="6" w:space="0" w:color="000000"/>
            </w:tcBorders>
          </w:tcPr>
          <w:p>
            <w:pPr>
              <w:pStyle w:val="TableParagraph"/>
              <w:ind w:left="425" w:right="406"/>
              <w:rPr>
                <w:sz w:val="18"/>
              </w:rPr>
            </w:pPr>
            <w:r>
              <w:rPr>
                <w:rFonts w:ascii="Times New Roman" w:eastAsia="Times New Roman"/>
                <w:sz w:val="18"/>
              </w:rPr>
              <w:t>HCV</w:t>
            </w:r>
            <w:r>
              <w:rPr>
                <w:sz w:val="18"/>
              </w:rPr>
              <w:t>临界阳性对照</w:t>
            </w:r>
          </w:p>
        </w:tc>
        <w:tc>
          <w:tcPr>
            <w:tcW w:w="1516" w:type="dxa"/>
            <w:tcBorders>
              <w:top w:val="single" w:sz="6" w:space="0" w:color="000000"/>
              <w:left w:val="single" w:sz="6" w:space="0" w:color="000000"/>
              <w:bottom w:val="single" w:sz="6" w:space="0" w:color="000000"/>
              <w:right w:val="single" w:sz="6" w:space="0" w:color="000000"/>
            </w:tcBorders>
          </w:tcPr>
          <w:p>
            <w:pPr>
              <w:pStyle w:val="TableParagraph"/>
              <w:ind w:left="289" w:right="272"/>
              <w:rPr>
                <w:sz w:val="18"/>
              </w:rPr>
            </w:pPr>
            <w:r>
              <w:rPr>
                <w:rFonts w:ascii="Times New Roman" w:hAnsi="Times New Roman" w:eastAsia="Times New Roman"/>
                <w:sz w:val="18"/>
              </w:rPr>
              <w:t>1mL×1</w:t>
            </w:r>
            <w:r>
              <w:rPr>
                <w:sz w:val="18"/>
              </w:rPr>
              <w:t>管</w:t>
            </w:r>
          </w:p>
        </w:tc>
        <w:tc>
          <w:tcPr>
            <w:tcW w:w="4110" w:type="dxa"/>
            <w:tcBorders>
              <w:top w:val="single" w:sz="6" w:space="0" w:color="000000"/>
              <w:left w:val="single" w:sz="6" w:space="0" w:color="000000"/>
              <w:bottom w:val="single" w:sz="6" w:space="0" w:color="000000"/>
            </w:tcBorders>
          </w:tcPr>
          <w:p>
            <w:pPr>
              <w:pStyle w:val="TableParagraph"/>
              <w:ind w:right="137"/>
              <w:rPr>
                <w:sz w:val="18"/>
              </w:rPr>
            </w:pPr>
            <w:r>
              <w:rPr>
                <w:sz w:val="18"/>
              </w:rPr>
              <w:t>含</w:t>
            </w:r>
            <w:r>
              <w:rPr>
                <w:rFonts w:ascii="Times New Roman" w:eastAsia="Times New Roman"/>
                <w:sz w:val="18"/>
              </w:rPr>
              <w:t>HCV</w:t>
            </w:r>
            <w:r>
              <w:rPr>
                <w:sz w:val="18"/>
              </w:rPr>
              <w:t>片段假病毒</w:t>
            </w:r>
          </w:p>
        </w:tc>
      </w:tr>
      <w:tr>
        <w:trPr>
          <w:trHeight w:val="200" w:hRule="atLeast"/>
        </w:trPr>
        <w:tc>
          <w:tcPr>
            <w:tcW w:w="697" w:type="dxa"/>
            <w:tcBorders>
              <w:top w:val="single" w:sz="6" w:space="0" w:color="000000"/>
              <w:left w:val="single" w:sz="6" w:space="0" w:color="000000"/>
              <w:right w:val="single" w:sz="6" w:space="0" w:color="000000"/>
            </w:tcBorders>
          </w:tcPr>
          <w:p>
            <w:pPr>
              <w:pStyle w:val="TableParagraph"/>
              <w:ind w:left="148" w:right="128"/>
              <w:rPr>
                <w:rFonts w:ascii="Times New Roman"/>
                <w:sz w:val="18"/>
              </w:rPr>
            </w:pPr>
            <w:r>
              <w:rPr>
                <w:rFonts w:ascii="Times New Roman"/>
                <w:sz w:val="18"/>
              </w:rPr>
              <w:t>11</w:t>
            </w:r>
          </w:p>
        </w:tc>
        <w:tc>
          <w:tcPr>
            <w:tcW w:w="2348" w:type="dxa"/>
            <w:tcBorders>
              <w:top w:val="single" w:sz="6" w:space="0" w:color="000000"/>
              <w:left w:val="single" w:sz="6" w:space="0" w:color="000000"/>
              <w:right w:val="single" w:sz="6" w:space="0" w:color="000000"/>
            </w:tcBorders>
          </w:tcPr>
          <w:p>
            <w:pPr>
              <w:pStyle w:val="TableParagraph"/>
              <w:ind w:left="425" w:right="406"/>
              <w:rPr>
                <w:sz w:val="18"/>
              </w:rPr>
            </w:pPr>
            <w:r>
              <w:rPr>
                <w:rFonts w:ascii="Times New Roman" w:eastAsia="Times New Roman"/>
                <w:sz w:val="18"/>
              </w:rPr>
              <w:t>HCV</w:t>
            </w:r>
            <w:r>
              <w:rPr>
                <w:sz w:val="18"/>
              </w:rPr>
              <w:t>酶混合液</w:t>
            </w:r>
          </w:p>
        </w:tc>
        <w:tc>
          <w:tcPr>
            <w:tcW w:w="1516" w:type="dxa"/>
            <w:tcBorders>
              <w:top w:val="single" w:sz="6" w:space="0" w:color="000000"/>
              <w:left w:val="single" w:sz="6" w:space="0" w:color="000000"/>
              <w:right w:val="single" w:sz="6" w:space="0" w:color="000000"/>
            </w:tcBorders>
          </w:tcPr>
          <w:p>
            <w:pPr>
              <w:pStyle w:val="TableParagraph"/>
              <w:ind w:left="289" w:right="269"/>
              <w:rPr>
                <w:sz w:val="18"/>
              </w:rPr>
            </w:pPr>
            <w:r>
              <w:rPr>
                <w:rFonts w:ascii="Times New Roman" w:hAnsi="Times New Roman" w:eastAsia="Times New Roman"/>
                <w:sz w:val="18"/>
              </w:rPr>
              <w:t>96μL×1</w:t>
            </w:r>
            <w:r>
              <w:rPr>
                <w:sz w:val="18"/>
              </w:rPr>
              <w:t>管</w:t>
            </w:r>
          </w:p>
        </w:tc>
        <w:tc>
          <w:tcPr>
            <w:tcW w:w="4110" w:type="dxa"/>
            <w:tcBorders>
              <w:top w:val="single" w:sz="6" w:space="0" w:color="000000"/>
              <w:left w:val="single" w:sz="6" w:space="0" w:color="000000"/>
            </w:tcBorders>
          </w:tcPr>
          <w:p>
            <w:pPr>
              <w:pStyle w:val="TableParagraph"/>
              <w:ind w:right="140"/>
              <w:rPr>
                <w:sz w:val="18"/>
              </w:rPr>
            </w:pPr>
            <w:r>
              <w:rPr>
                <w:rFonts w:ascii="Times New Roman" w:eastAsia="Times New Roman"/>
                <w:sz w:val="18"/>
              </w:rPr>
              <w:t>Tth</w:t>
            </w:r>
            <w:r>
              <w:rPr>
                <w:sz w:val="18"/>
              </w:rPr>
              <w:t>酶、</w:t>
            </w:r>
            <w:r>
              <w:rPr>
                <w:rFonts w:ascii="Times New Roman" w:eastAsia="Times New Roman"/>
                <w:sz w:val="18"/>
              </w:rPr>
              <w:t>Taq</w:t>
            </w:r>
            <w:r>
              <w:rPr>
                <w:sz w:val="18"/>
              </w:rPr>
              <w:t>酶</w:t>
            </w:r>
          </w:p>
        </w:tc>
      </w:tr>
    </w:tbl>
    <w:p>
      <w:pPr>
        <w:pStyle w:val="BodyText"/>
        <w:spacing w:line="185" w:lineRule="exact"/>
        <w:ind w:left="470"/>
      </w:pPr>
      <w:r>
        <w:rPr>
          <w:b/>
        </w:rPr>
        <w:t>备注：</w:t>
      </w:r>
      <w:r>
        <w:rPr>
          <w:rFonts w:ascii="Times New Roman" w:eastAsia="Times New Roman"/>
          <w:b/>
        </w:rPr>
        <w:t>1</w:t>
      </w:r>
      <w:r>
        <w:rPr>
          <w:b/>
        </w:rPr>
        <w:t>）</w:t>
      </w:r>
      <w:r>
        <w:rPr/>
        <w:t>不同批号产品的成分之间不可以混用或互换。</w:t>
      </w:r>
    </w:p>
    <w:p>
      <w:pPr>
        <w:pStyle w:val="ListParagraph"/>
        <w:numPr>
          <w:ilvl w:val="0"/>
          <w:numId w:val="1"/>
        </w:numPr>
        <w:tabs>
          <w:tab w:pos="1273" w:val="left" w:leader="none"/>
        </w:tabs>
        <w:spacing w:line="200" w:lineRule="exact" w:before="0" w:after="0"/>
        <w:ind w:left="1273" w:right="0" w:hanging="270"/>
        <w:jc w:val="left"/>
        <w:rPr>
          <w:sz w:val="18"/>
        </w:rPr>
      </w:pPr>
      <w:r>
        <w:rPr>
          <w:spacing w:val="-3"/>
          <w:sz w:val="18"/>
        </w:rPr>
        <w:t>试剂盒内的生物样本均已经灭活处理；定量参考品</w:t>
      </w:r>
      <w:r>
        <w:rPr>
          <w:rFonts w:ascii="Times New Roman" w:eastAsia="Times New Roman"/>
          <w:spacing w:val="-3"/>
          <w:sz w:val="18"/>
        </w:rPr>
        <w:t>A</w:t>
      </w:r>
      <w:r>
        <w:rPr>
          <w:spacing w:val="-3"/>
          <w:sz w:val="18"/>
        </w:rPr>
        <w:t>～</w:t>
      </w:r>
      <w:r>
        <w:rPr>
          <w:rFonts w:ascii="Times New Roman" w:eastAsia="Times New Roman"/>
          <w:spacing w:val="-3"/>
          <w:sz w:val="18"/>
        </w:rPr>
        <w:t>D </w:t>
      </w:r>
      <w:r>
        <w:rPr>
          <w:spacing w:val="-5"/>
          <w:sz w:val="18"/>
        </w:rPr>
        <w:t>的具体浓度请参照试剂盒内给定值。</w:t>
      </w:r>
    </w:p>
    <w:p>
      <w:pPr>
        <w:pStyle w:val="ListParagraph"/>
        <w:numPr>
          <w:ilvl w:val="0"/>
          <w:numId w:val="1"/>
        </w:numPr>
        <w:tabs>
          <w:tab w:pos="1269" w:val="left" w:leader="none"/>
        </w:tabs>
        <w:spacing w:line="199" w:lineRule="exact" w:before="0" w:after="0"/>
        <w:ind w:left="1268" w:right="0" w:hanging="271"/>
        <w:jc w:val="left"/>
        <w:rPr>
          <w:sz w:val="18"/>
        </w:rPr>
      </w:pPr>
      <w:r>
        <w:rPr>
          <w:spacing w:val="-5"/>
          <w:sz w:val="18"/>
        </w:rPr>
        <w:t>提取试剂盒推荐使用本公司生产的核酸提取或纯化试剂</w:t>
      </w:r>
      <w:r>
        <w:rPr>
          <w:spacing w:val="-3"/>
          <w:sz w:val="18"/>
        </w:rPr>
        <w:t>（</w:t>
      </w:r>
      <w:r>
        <w:rPr>
          <w:spacing w:val="-14"/>
          <w:sz w:val="18"/>
        </w:rPr>
        <w:t>湘长械备 </w:t>
      </w:r>
      <w:r>
        <w:rPr>
          <w:rFonts w:ascii="Times New Roman" w:eastAsia="Times New Roman"/>
          <w:sz w:val="18"/>
        </w:rPr>
        <w:t>20150021</w:t>
      </w:r>
      <w:r>
        <w:rPr>
          <w:rFonts w:ascii="Times New Roman" w:eastAsia="Times New Roman"/>
          <w:spacing w:val="-6"/>
          <w:sz w:val="18"/>
        </w:rPr>
        <w:t> </w:t>
      </w:r>
      <w:r>
        <w:rPr>
          <w:spacing w:val="-5"/>
          <w:sz w:val="18"/>
        </w:rPr>
        <w:t>号）进行核酸提取。</w:t>
      </w:r>
    </w:p>
    <w:p>
      <w:pPr>
        <w:pStyle w:val="Heading1"/>
      </w:pPr>
      <w:r>
        <w:rPr/>
        <w:t>【储存条件及有效期】</w:t>
      </w:r>
    </w:p>
    <w:p>
      <w:pPr>
        <w:pStyle w:val="BodyText"/>
        <w:ind w:left="484"/>
      </w:pPr>
      <w:r>
        <w:rPr/>
        <w:t>试剂应避光密闭保存于</w:t>
      </w:r>
      <w:r>
        <w:rPr>
          <w:rFonts w:ascii="Times New Roman" w:hAnsi="Times New Roman" w:eastAsia="Times New Roman"/>
        </w:rPr>
        <w:t>-20±5</w:t>
      </w:r>
      <w:r>
        <w:rPr/>
        <w:t>℃，有效期为 </w:t>
      </w:r>
      <w:r>
        <w:rPr>
          <w:rFonts w:ascii="Times New Roman" w:hAnsi="Times New Roman" w:eastAsia="Times New Roman"/>
        </w:rPr>
        <w:t>12 </w:t>
      </w:r>
      <w:r>
        <w:rPr/>
        <w:t>个月；允许的最大反复冻融次数为 </w:t>
      </w:r>
      <w:r>
        <w:rPr>
          <w:rFonts w:ascii="Times New Roman" w:hAnsi="Times New Roman" w:eastAsia="Times New Roman"/>
        </w:rPr>
        <w:t>6 </w:t>
      </w:r>
      <w:r>
        <w:rPr/>
        <w:t>次；生产日期，失效日期请见外包装盒。</w:t>
      </w:r>
    </w:p>
    <w:p>
      <w:pPr>
        <w:pStyle w:val="Heading1"/>
        <w:spacing w:line="199" w:lineRule="exact"/>
      </w:pPr>
      <w:r>
        <w:rPr/>
        <w:t>【适用仪器】</w:t>
      </w:r>
    </w:p>
    <w:p>
      <w:pPr>
        <w:pStyle w:val="BodyText"/>
        <w:spacing w:line="208" w:lineRule="auto" w:before="7"/>
        <w:ind w:right="222" w:firstLine="352"/>
      </w:pPr>
      <w:r>
        <w:rPr>
          <w:spacing w:val="-12"/>
        </w:rPr>
        <w:t>适用于 </w:t>
      </w:r>
      <w:r>
        <w:rPr>
          <w:rFonts w:ascii="Times New Roman" w:eastAsia="Times New Roman"/>
        </w:rPr>
        <w:t>ABI7500 </w:t>
      </w:r>
      <w:r>
        <w:rPr>
          <w:spacing w:val="-15"/>
        </w:rPr>
        <w:t>荧光 </w:t>
      </w:r>
      <w:r>
        <w:rPr>
          <w:rFonts w:ascii="Times New Roman" w:eastAsia="Times New Roman"/>
        </w:rPr>
        <w:t>PCR </w:t>
      </w:r>
      <w:r>
        <w:rPr>
          <w:spacing w:val="2"/>
        </w:rPr>
        <w:t>仪、</w:t>
      </w:r>
      <w:r>
        <w:rPr>
          <w:rFonts w:ascii="Times New Roman" w:eastAsia="Times New Roman"/>
        </w:rPr>
        <w:t>SLAN-96P </w:t>
      </w:r>
      <w:r>
        <w:rPr>
          <w:spacing w:val="-8"/>
        </w:rPr>
        <w:t>全自动医用 </w:t>
      </w:r>
      <w:r>
        <w:rPr>
          <w:rFonts w:ascii="Times New Roman" w:eastAsia="Times New Roman"/>
        </w:rPr>
        <w:t>PCR </w:t>
      </w:r>
      <w:r>
        <w:rPr/>
        <w:t>分析系统、</w:t>
      </w:r>
      <w:r>
        <w:rPr>
          <w:rFonts w:ascii="Times New Roman" w:eastAsia="Times New Roman"/>
        </w:rPr>
        <w:t>Roche Light </w:t>
      </w:r>
      <w:r>
        <w:rPr>
          <w:rFonts w:ascii="Times New Roman" w:eastAsia="Times New Roman"/>
          <w:spacing w:val="-2"/>
        </w:rPr>
        <w:t>Cycler </w:t>
      </w:r>
      <w:r>
        <w:rPr>
          <w:rFonts w:ascii="Times New Roman" w:eastAsia="Times New Roman"/>
        </w:rPr>
        <w:t>480 </w:t>
      </w:r>
      <w:r>
        <w:rPr>
          <w:spacing w:val="-15"/>
        </w:rPr>
        <w:t>荧光 </w:t>
      </w:r>
      <w:r>
        <w:rPr>
          <w:rFonts w:ascii="Times New Roman" w:eastAsia="Times New Roman"/>
        </w:rPr>
        <w:t>PCR </w:t>
      </w:r>
      <w:r>
        <w:rPr>
          <w:spacing w:val="2"/>
        </w:rPr>
        <w:t>仪、</w:t>
      </w:r>
      <w:r>
        <w:rPr>
          <w:rFonts w:ascii="Times New Roman" w:eastAsia="Times New Roman"/>
        </w:rPr>
        <w:t>Life </w:t>
      </w:r>
      <w:r>
        <w:rPr>
          <w:rFonts w:ascii="Times New Roman" w:eastAsia="Times New Roman"/>
          <w:spacing w:val="-4"/>
        </w:rPr>
        <w:t>Technologies </w:t>
      </w:r>
      <w:r>
        <w:rPr>
          <w:rFonts w:ascii="Times New Roman" w:eastAsia="Times New Roman"/>
          <w:spacing w:val="-3"/>
        </w:rPr>
        <w:t>QuantStudio</w:t>
      </w:r>
      <w:r>
        <w:rPr>
          <w:rFonts w:ascii="Times New Roman" w:eastAsia="Times New Roman"/>
          <w:spacing w:val="-3"/>
          <w:position w:val="6"/>
          <w:sz w:val="11"/>
        </w:rPr>
        <w:t>TM </w:t>
      </w:r>
      <w:r>
        <w:rPr>
          <w:rFonts w:ascii="Times New Roman" w:eastAsia="Times New Roman"/>
        </w:rPr>
        <w:t>3/5 </w:t>
      </w:r>
      <w:r>
        <w:rPr>
          <w:spacing w:val="17"/>
        </w:rPr>
        <w:t>荧光</w:t>
      </w:r>
      <w:r>
        <w:rPr>
          <w:rFonts w:ascii="Times New Roman" w:eastAsia="Times New Roman"/>
        </w:rPr>
        <w:t>PCR </w:t>
      </w:r>
      <w:r>
        <w:rPr>
          <w:spacing w:val="-3"/>
        </w:rPr>
        <w:t>仪。</w:t>
      </w:r>
    </w:p>
    <w:p>
      <w:pPr>
        <w:pStyle w:val="Heading1"/>
        <w:spacing w:line="191" w:lineRule="exact"/>
      </w:pPr>
      <w:r>
        <w:rPr/>
        <w:t>【样本要求】</w:t>
      </w:r>
    </w:p>
    <w:p>
      <w:pPr>
        <w:pStyle w:val="ListParagraph"/>
        <w:numPr>
          <w:ilvl w:val="0"/>
          <w:numId w:val="2"/>
        </w:numPr>
        <w:tabs>
          <w:tab w:pos="300" w:val="left" w:leader="none"/>
        </w:tabs>
        <w:spacing w:line="200" w:lineRule="exact" w:before="0" w:after="0"/>
        <w:ind w:left="300" w:right="0" w:hanging="173"/>
        <w:jc w:val="left"/>
        <w:rPr>
          <w:sz w:val="18"/>
        </w:rPr>
      </w:pPr>
      <w:r>
        <w:rPr>
          <w:spacing w:val="-5"/>
          <w:sz w:val="18"/>
        </w:rPr>
        <w:t>适用样本类型：血清或血浆。</w:t>
      </w:r>
    </w:p>
    <w:p>
      <w:pPr>
        <w:pStyle w:val="ListParagraph"/>
        <w:numPr>
          <w:ilvl w:val="0"/>
          <w:numId w:val="2"/>
        </w:numPr>
        <w:tabs>
          <w:tab w:pos="300" w:val="left" w:leader="none"/>
        </w:tabs>
        <w:spacing w:line="200" w:lineRule="exact" w:before="0" w:after="0"/>
        <w:ind w:left="300" w:right="0" w:hanging="173"/>
        <w:jc w:val="left"/>
        <w:rPr>
          <w:sz w:val="18"/>
        </w:rPr>
      </w:pPr>
      <w:r>
        <w:rPr>
          <w:spacing w:val="-4"/>
          <w:sz w:val="18"/>
        </w:rPr>
        <w:t>样本采集：</w:t>
      </w:r>
    </w:p>
    <w:p>
      <w:pPr>
        <w:pStyle w:val="ListParagraph"/>
        <w:numPr>
          <w:ilvl w:val="1"/>
          <w:numId w:val="2"/>
        </w:numPr>
        <w:tabs>
          <w:tab w:pos="389" w:val="left" w:leader="none"/>
        </w:tabs>
        <w:spacing w:line="199" w:lineRule="exact" w:before="0" w:after="0"/>
        <w:ind w:left="388" w:right="0" w:hanging="262"/>
        <w:jc w:val="left"/>
        <w:rPr>
          <w:sz w:val="18"/>
        </w:rPr>
      </w:pPr>
      <w:r>
        <w:rPr>
          <w:spacing w:val="-9"/>
          <w:sz w:val="18"/>
        </w:rPr>
        <w:t>血清样本采集：用无菌注射器抽取受检者静脉血 </w:t>
      </w:r>
      <w:r>
        <w:rPr>
          <w:rFonts w:ascii="Times New Roman" w:eastAsia="Times New Roman"/>
          <w:spacing w:val="-6"/>
          <w:sz w:val="18"/>
        </w:rPr>
        <w:t>2mL</w:t>
      </w:r>
      <w:r>
        <w:rPr>
          <w:spacing w:val="-10"/>
          <w:sz w:val="18"/>
        </w:rPr>
        <w:t>，注入无菌收集管，室温不超过 </w:t>
      </w:r>
      <w:r>
        <w:rPr>
          <w:rFonts w:ascii="Times New Roman" w:eastAsia="Times New Roman"/>
          <w:sz w:val="18"/>
        </w:rPr>
        <w:t>4</w:t>
      </w:r>
      <w:r>
        <w:rPr>
          <w:rFonts w:ascii="Times New Roman" w:eastAsia="Times New Roman"/>
          <w:spacing w:val="-3"/>
          <w:sz w:val="18"/>
        </w:rPr>
        <w:t> </w:t>
      </w:r>
      <w:r>
        <w:rPr>
          <w:spacing w:val="-8"/>
          <w:sz w:val="18"/>
        </w:rPr>
        <w:t>小时，待样本自行析出血清，或直接室温</w:t>
      </w:r>
    </w:p>
    <w:p>
      <w:pPr>
        <w:pStyle w:val="BodyText"/>
        <w:ind w:left="307"/>
      </w:pPr>
      <w:r>
        <w:rPr>
          <w:rFonts w:ascii="Times New Roman" w:hAnsi="Times New Roman" w:eastAsia="Times New Roman"/>
        </w:rPr>
        <w:t>1000</w:t>
      </w:r>
      <w:r>
        <w:rPr>
          <w:rFonts w:ascii="Arial" w:hAnsi="Arial" w:eastAsia="Arial"/>
        </w:rPr>
        <w:t>×</w:t>
      </w:r>
      <w:r>
        <w:rPr>
          <w:rFonts w:ascii="Times New Roman" w:hAnsi="Times New Roman" w:eastAsia="Times New Roman"/>
        </w:rPr>
        <w:t>g </w:t>
      </w:r>
      <w:r>
        <w:rPr/>
        <w:t>离心 </w:t>
      </w:r>
      <w:r>
        <w:rPr>
          <w:rFonts w:ascii="Times New Roman" w:hAnsi="Times New Roman" w:eastAsia="Times New Roman"/>
        </w:rPr>
        <w:t>5 </w:t>
      </w:r>
      <w:r>
        <w:rPr/>
        <w:t>分钟分离出血清，转移到 </w:t>
      </w:r>
      <w:r>
        <w:rPr>
          <w:rFonts w:ascii="Times New Roman" w:hAnsi="Times New Roman" w:eastAsia="Times New Roman"/>
        </w:rPr>
        <w:t>1.5mL </w:t>
      </w:r>
      <w:r>
        <w:rPr/>
        <w:t>灭菌离心管中备用。</w:t>
      </w:r>
    </w:p>
    <w:p>
      <w:pPr>
        <w:pStyle w:val="ListParagraph"/>
        <w:numPr>
          <w:ilvl w:val="1"/>
          <w:numId w:val="2"/>
        </w:numPr>
        <w:tabs>
          <w:tab w:pos="389" w:val="left" w:leader="none"/>
        </w:tabs>
        <w:spacing w:line="206" w:lineRule="auto" w:before="11" w:after="0"/>
        <w:ind w:left="307" w:right="235" w:hanging="180"/>
        <w:jc w:val="left"/>
        <w:rPr>
          <w:sz w:val="18"/>
        </w:rPr>
      </w:pPr>
      <w:r>
        <w:rPr>
          <w:spacing w:val="-10"/>
          <w:sz w:val="18"/>
        </w:rPr>
        <w:t>血浆样本采集：用无菌注射器抽取受检者静脉血 </w:t>
      </w:r>
      <w:r>
        <w:rPr>
          <w:rFonts w:ascii="Times New Roman" w:hAnsi="Times New Roman" w:eastAsia="Times New Roman"/>
          <w:spacing w:val="-7"/>
          <w:sz w:val="18"/>
        </w:rPr>
        <w:t>2mL</w:t>
      </w:r>
      <w:r>
        <w:rPr>
          <w:spacing w:val="3"/>
          <w:sz w:val="18"/>
        </w:rPr>
        <w:t>，注入含有</w:t>
      </w:r>
      <w:r>
        <w:rPr>
          <w:rFonts w:ascii="Times New Roman" w:hAnsi="Times New Roman" w:eastAsia="Times New Roman"/>
          <w:spacing w:val="-5"/>
          <w:sz w:val="18"/>
        </w:rPr>
        <w:t>EDTA</w:t>
      </w:r>
      <w:r>
        <w:rPr>
          <w:rFonts w:ascii="Times New Roman" w:hAnsi="Times New Roman" w:eastAsia="Times New Roman"/>
          <w:spacing w:val="-6"/>
          <w:sz w:val="18"/>
        </w:rPr>
        <w:t> </w:t>
      </w:r>
      <w:r>
        <w:rPr>
          <w:spacing w:val="-8"/>
          <w:sz w:val="18"/>
        </w:rPr>
        <w:t>或柠檬酸钠抗凝剂的无菌收集管，立即轻轻颠倒混匀，室</w:t>
      </w:r>
      <w:r>
        <w:rPr>
          <w:spacing w:val="-14"/>
          <w:sz w:val="18"/>
        </w:rPr>
        <w:t>温不超过 </w:t>
      </w:r>
      <w:r>
        <w:rPr>
          <w:rFonts w:ascii="Times New Roman" w:hAnsi="Times New Roman" w:eastAsia="Times New Roman"/>
          <w:sz w:val="18"/>
        </w:rPr>
        <w:t>4</w:t>
      </w:r>
      <w:r>
        <w:rPr>
          <w:rFonts w:ascii="Times New Roman" w:hAnsi="Times New Roman" w:eastAsia="Times New Roman"/>
          <w:spacing w:val="-4"/>
          <w:sz w:val="18"/>
        </w:rPr>
        <w:t> </w:t>
      </w:r>
      <w:r>
        <w:rPr>
          <w:spacing w:val="-8"/>
          <w:sz w:val="18"/>
        </w:rPr>
        <w:t>小时，待样本自行析出血浆，或直接 </w:t>
      </w:r>
      <w:r>
        <w:rPr>
          <w:rFonts w:ascii="Times New Roman" w:hAnsi="Times New Roman" w:eastAsia="Times New Roman"/>
          <w:sz w:val="18"/>
        </w:rPr>
        <w:t>1000</w:t>
      </w:r>
      <w:r>
        <w:rPr>
          <w:rFonts w:ascii="Arial" w:hAnsi="Arial" w:eastAsia="Arial"/>
          <w:sz w:val="18"/>
        </w:rPr>
        <w:t>×</w:t>
      </w:r>
      <w:r>
        <w:rPr>
          <w:rFonts w:ascii="Times New Roman" w:hAnsi="Times New Roman" w:eastAsia="Times New Roman"/>
          <w:sz w:val="18"/>
        </w:rPr>
        <w:t>g</w:t>
      </w:r>
      <w:r>
        <w:rPr>
          <w:rFonts w:ascii="Times New Roman" w:hAnsi="Times New Roman" w:eastAsia="Times New Roman"/>
          <w:spacing w:val="-4"/>
          <w:sz w:val="18"/>
        </w:rPr>
        <w:t> </w:t>
      </w:r>
      <w:r>
        <w:rPr>
          <w:spacing w:val="-19"/>
          <w:sz w:val="18"/>
        </w:rPr>
        <w:t>离心 </w:t>
      </w:r>
      <w:r>
        <w:rPr>
          <w:rFonts w:ascii="Times New Roman" w:hAnsi="Times New Roman" w:eastAsia="Times New Roman"/>
          <w:sz w:val="18"/>
        </w:rPr>
        <w:t>5</w:t>
      </w:r>
      <w:r>
        <w:rPr>
          <w:rFonts w:ascii="Times New Roman" w:hAnsi="Times New Roman" w:eastAsia="Times New Roman"/>
          <w:spacing w:val="-3"/>
          <w:sz w:val="18"/>
        </w:rPr>
        <w:t> </w:t>
      </w:r>
      <w:r>
        <w:rPr>
          <w:spacing w:val="-9"/>
          <w:sz w:val="18"/>
        </w:rPr>
        <w:t>分钟分离出血浆，转移到 </w:t>
      </w:r>
      <w:r>
        <w:rPr>
          <w:rFonts w:ascii="Times New Roman" w:hAnsi="Times New Roman" w:eastAsia="Times New Roman"/>
          <w:sz w:val="18"/>
        </w:rPr>
        <w:t>1.5mL</w:t>
      </w:r>
      <w:r>
        <w:rPr>
          <w:rFonts w:ascii="Times New Roman" w:hAnsi="Times New Roman" w:eastAsia="Times New Roman"/>
          <w:spacing w:val="-5"/>
          <w:sz w:val="18"/>
        </w:rPr>
        <w:t> </w:t>
      </w:r>
      <w:r>
        <w:rPr>
          <w:spacing w:val="-5"/>
          <w:sz w:val="18"/>
        </w:rPr>
        <w:t>灭菌离心管中备用。</w:t>
      </w:r>
    </w:p>
    <w:p>
      <w:pPr>
        <w:pStyle w:val="BodyText"/>
        <w:spacing w:line="208" w:lineRule="auto"/>
        <w:ind w:left="307" w:right="232" w:hanging="178"/>
      </w:pPr>
      <w:r>
        <w:rPr>
          <w:rFonts w:ascii="Times New Roman" w:hAnsi="Times New Roman" w:eastAsia="Times New Roman"/>
        </w:rPr>
        <w:t>3</w:t>
      </w:r>
      <w:r>
        <w:rPr>
          <w:rFonts w:ascii="Times New Roman" w:hAnsi="Times New Roman" w:eastAsia="Times New Roman"/>
          <w:spacing w:val="17"/>
        </w:rPr>
        <w:t>. </w:t>
      </w:r>
      <w:r>
        <w:rPr>
          <w:spacing w:val="-8"/>
        </w:rPr>
        <w:t>样本保存和运送：经上述处理后的待测样本可立即用于检测，或</w:t>
      </w:r>
      <w:r>
        <w:rPr>
          <w:rFonts w:ascii="Times New Roman" w:hAnsi="Times New Roman" w:eastAsia="Times New Roman"/>
          <w:spacing w:val="-3"/>
        </w:rPr>
        <w:t>-20±5</w:t>
      </w:r>
      <w:r>
        <w:rPr>
          <w:spacing w:val="-8"/>
        </w:rPr>
        <w:t>℃保存</w:t>
      </w:r>
      <w:r>
        <w:rPr/>
        <w:t>（</w:t>
      </w:r>
      <w:r>
        <w:rPr>
          <w:rFonts w:ascii="Times New Roman" w:hAnsi="Times New Roman" w:eastAsia="Times New Roman"/>
        </w:rPr>
        <w:t>6 </w:t>
      </w:r>
      <w:r>
        <w:rPr>
          <w:spacing w:val="-5"/>
        </w:rPr>
        <w:t>个月</w:t>
      </w:r>
      <w:r>
        <w:rPr>
          <w:spacing w:val="-15"/>
        </w:rPr>
        <w:t>）</w:t>
      </w:r>
      <w:r>
        <w:rPr>
          <w:spacing w:val="-7"/>
        </w:rPr>
        <w:t>，长期保存请置于</w:t>
      </w:r>
      <w:r>
        <w:rPr>
          <w:rFonts w:ascii="Times New Roman" w:hAnsi="Times New Roman" w:eastAsia="Times New Roman"/>
          <w:spacing w:val="-3"/>
        </w:rPr>
        <w:t>-70</w:t>
      </w:r>
      <w:r>
        <w:rPr>
          <w:spacing w:val="-7"/>
        </w:rPr>
        <w:t>℃以下。应避免反复</w:t>
      </w:r>
      <w:r>
        <w:rPr>
          <w:spacing w:val="-5"/>
        </w:rPr>
        <w:t>冻融。标本运送采用冰壶加冰或泡沫箱加冰密封进行运输。</w:t>
      </w:r>
    </w:p>
    <w:p>
      <w:pPr>
        <w:pStyle w:val="Heading1"/>
        <w:spacing w:line="191" w:lineRule="exact"/>
      </w:pPr>
      <w:r>
        <w:rPr/>
        <w:t>【检验方法】</w:t>
      </w:r>
    </w:p>
    <w:p>
      <w:pPr>
        <w:pStyle w:val="ListParagraph"/>
        <w:numPr>
          <w:ilvl w:val="0"/>
          <w:numId w:val="3"/>
        </w:numPr>
        <w:tabs>
          <w:tab w:pos="344" w:val="left" w:leader="none"/>
        </w:tabs>
        <w:spacing w:line="200" w:lineRule="exact" w:before="0" w:after="0"/>
        <w:ind w:left="343" w:right="0" w:hanging="217"/>
        <w:jc w:val="left"/>
        <w:rPr>
          <w:b/>
          <w:sz w:val="18"/>
        </w:rPr>
      </w:pPr>
      <w:r>
        <w:rPr>
          <w:b/>
          <w:spacing w:val="-4"/>
          <w:sz w:val="18"/>
        </w:rPr>
        <w:t>试剂准备</w:t>
      </w:r>
      <w:r>
        <w:rPr>
          <w:b/>
          <w:spacing w:val="-5"/>
          <w:sz w:val="18"/>
        </w:rPr>
        <w:t>（在试剂准备区进行</w:t>
      </w:r>
      <w:r>
        <w:rPr>
          <w:b/>
          <w:sz w:val="18"/>
        </w:rPr>
        <w:t>）</w:t>
      </w:r>
    </w:p>
    <w:p>
      <w:pPr>
        <w:pStyle w:val="ListParagraph"/>
        <w:numPr>
          <w:ilvl w:val="1"/>
          <w:numId w:val="3"/>
        </w:numPr>
        <w:tabs>
          <w:tab w:pos="432" w:val="left" w:leader="none"/>
        </w:tabs>
        <w:spacing w:line="209" w:lineRule="exact" w:before="0" w:after="0"/>
        <w:ind w:left="432" w:right="0" w:hanging="305"/>
        <w:jc w:val="left"/>
        <w:rPr>
          <w:sz w:val="18"/>
        </w:rPr>
      </w:pPr>
      <w:r>
        <w:rPr>
          <w:spacing w:val="-5"/>
          <w:sz w:val="18"/>
        </w:rPr>
        <w:t>取出包装盒中的各组分，室温放置，待其温度平衡至室温后，混匀后备用。</w:t>
      </w:r>
    </w:p>
    <w:p>
      <w:pPr>
        <w:pStyle w:val="ListParagraph"/>
        <w:numPr>
          <w:ilvl w:val="1"/>
          <w:numId w:val="3"/>
        </w:numPr>
        <w:tabs>
          <w:tab w:pos="432" w:val="left" w:leader="none"/>
        </w:tabs>
        <w:spacing w:line="228" w:lineRule="auto" w:before="2" w:after="0"/>
        <w:ind w:left="314" w:right="170" w:hanging="188"/>
        <w:jc w:val="left"/>
        <w:rPr>
          <w:sz w:val="18"/>
        </w:rPr>
      </w:pPr>
      <w:r>
        <w:rPr>
          <w:spacing w:val="-7"/>
          <w:sz w:val="18"/>
        </w:rPr>
        <w:t>根据待测样本、阴性对照、强阳性对照、临界阳性对照以及定量标准品</w:t>
      </w:r>
      <w:r>
        <w:rPr>
          <w:rFonts w:ascii="Times New Roman" w:hAnsi="Times New Roman" w:eastAsia="Times New Roman"/>
          <w:sz w:val="18"/>
        </w:rPr>
        <w:t>A~D</w:t>
      </w:r>
      <w:r>
        <w:rPr>
          <w:rFonts w:ascii="Times New Roman" w:hAnsi="Times New Roman" w:eastAsia="Times New Roman"/>
          <w:spacing w:val="-4"/>
          <w:sz w:val="18"/>
        </w:rPr>
        <w:t> </w:t>
      </w:r>
      <w:r>
        <w:rPr>
          <w:spacing w:val="-7"/>
          <w:sz w:val="18"/>
        </w:rPr>
        <w:t>数量，按比例</w:t>
      </w:r>
      <w:r>
        <w:rPr>
          <w:spacing w:val="-3"/>
          <w:sz w:val="18"/>
        </w:rPr>
        <w:t>（</w:t>
      </w:r>
      <w:r>
        <w:rPr>
          <w:rFonts w:ascii="Times New Roman" w:hAnsi="Times New Roman" w:eastAsia="Times New Roman"/>
          <w:spacing w:val="-3"/>
          <w:sz w:val="18"/>
        </w:rPr>
        <w:t>HCV</w:t>
      </w:r>
      <w:r>
        <w:rPr>
          <w:rFonts w:ascii="Times New Roman" w:hAnsi="Times New Roman" w:eastAsia="Times New Roman"/>
          <w:spacing w:val="-7"/>
          <w:sz w:val="18"/>
        </w:rPr>
        <w:t> </w:t>
      </w:r>
      <w:r>
        <w:rPr>
          <w:rFonts w:ascii="Times New Roman" w:hAnsi="Times New Roman" w:eastAsia="Times New Roman"/>
          <w:sz w:val="18"/>
        </w:rPr>
        <w:t>PCR</w:t>
      </w:r>
      <w:r>
        <w:rPr>
          <w:rFonts w:ascii="Times New Roman" w:hAnsi="Times New Roman" w:eastAsia="Times New Roman"/>
          <w:spacing w:val="-5"/>
          <w:sz w:val="18"/>
        </w:rPr>
        <w:t> </w:t>
      </w:r>
      <w:r>
        <w:rPr>
          <w:spacing w:val="-15"/>
          <w:sz w:val="18"/>
        </w:rPr>
        <w:t>反应液 </w:t>
      </w:r>
      <w:r>
        <w:rPr>
          <w:rFonts w:ascii="Times New Roman" w:hAnsi="Times New Roman" w:eastAsia="Times New Roman"/>
          <w:spacing w:val="-3"/>
          <w:sz w:val="18"/>
        </w:rPr>
        <w:t>25μL/</w:t>
      </w:r>
      <w:r>
        <w:rPr>
          <w:spacing w:val="-4"/>
          <w:sz w:val="18"/>
        </w:rPr>
        <w:t>人份</w:t>
      </w:r>
      <w:r>
        <w:rPr>
          <w:rFonts w:ascii="Times New Roman" w:hAnsi="Times New Roman" w:eastAsia="Times New Roman"/>
          <w:spacing w:val="-4"/>
          <w:sz w:val="18"/>
        </w:rPr>
        <w:t>+RT</w:t>
      </w:r>
      <w:r>
        <w:rPr>
          <w:rFonts w:ascii="Times New Roman" w:hAnsi="Times New Roman" w:eastAsia="Times New Roman"/>
          <w:spacing w:val="-7"/>
          <w:sz w:val="18"/>
        </w:rPr>
        <w:t> </w:t>
      </w:r>
      <w:r>
        <w:rPr>
          <w:sz w:val="18"/>
        </w:rPr>
        <w:t>增</w:t>
      </w:r>
      <w:r>
        <w:rPr>
          <w:spacing w:val="-20"/>
          <w:sz w:val="18"/>
        </w:rPr>
        <w:t>强剂 </w:t>
      </w:r>
      <w:r>
        <w:rPr>
          <w:rFonts w:ascii="Times New Roman" w:hAnsi="Times New Roman" w:eastAsia="Times New Roman"/>
          <w:spacing w:val="-3"/>
          <w:sz w:val="18"/>
        </w:rPr>
        <w:t>1μL/</w:t>
      </w:r>
      <w:r>
        <w:rPr>
          <w:spacing w:val="-4"/>
          <w:sz w:val="18"/>
        </w:rPr>
        <w:t>人份</w:t>
      </w:r>
      <w:r>
        <w:rPr>
          <w:rFonts w:ascii="Times New Roman" w:hAnsi="Times New Roman" w:eastAsia="Times New Roman"/>
          <w:sz w:val="18"/>
        </w:rPr>
        <w:t>+HCV</w:t>
      </w:r>
      <w:r>
        <w:rPr>
          <w:rFonts w:ascii="Times New Roman" w:hAnsi="Times New Roman" w:eastAsia="Times New Roman"/>
          <w:spacing w:val="-4"/>
          <w:sz w:val="18"/>
        </w:rPr>
        <w:t> </w:t>
      </w:r>
      <w:r>
        <w:rPr>
          <w:spacing w:val="-14"/>
          <w:sz w:val="18"/>
        </w:rPr>
        <w:t>酶混合液 </w:t>
      </w:r>
      <w:r>
        <w:rPr>
          <w:rFonts w:ascii="Times New Roman" w:hAnsi="Times New Roman" w:eastAsia="Times New Roman"/>
          <w:spacing w:val="-3"/>
          <w:sz w:val="18"/>
        </w:rPr>
        <w:t>4μL/</w:t>
      </w:r>
      <w:r>
        <w:rPr>
          <w:spacing w:val="-4"/>
          <w:sz w:val="18"/>
        </w:rPr>
        <w:t>人份</w:t>
      </w:r>
      <w:r>
        <w:rPr>
          <w:spacing w:val="-5"/>
          <w:sz w:val="18"/>
        </w:rPr>
        <w:t>）</w:t>
      </w:r>
      <w:r>
        <w:rPr>
          <w:spacing w:val="4"/>
          <w:sz w:val="18"/>
        </w:rPr>
        <w:t>取相应量的</w:t>
      </w:r>
      <w:r>
        <w:rPr>
          <w:rFonts w:ascii="Times New Roman" w:hAnsi="Times New Roman" w:eastAsia="Times New Roman"/>
          <w:sz w:val="18"/>
        </w:rPr>
        <w:t>HCV</w:t>
      </w:r>
      <w:r>
        <w:rPr>
          <w:rFonts w:ascii="Times New Roman" w:hAnsi="Times New Roman" w:eastAsia="Times New Roman"/>
          <w:spacing w:val="-12"/>
          <w:sz w:val="18"/>
        </w:rPr>
        <w:t> </w:t>
      </w:r>
      <w:r>
        <w:rPr>
          <w:rFonts w:ascii="Times New Roman" w:hAnsi="Times New Roman" w:eastAsia="Times New Roman"/>
          <w:sz w:val="18"/>
        </w:rPr>
        <w:t>PCR</w:t>
      </w:r>
      <w:r>
        <w:rPr>
          <w:rFonts w:ascii="Times New Roman" w:hAnsi="Times New Roman" w:eastAsia="Times New Roman"/>
          <w:spacing w:val="-6"/>
          <w:sz w:val="18"/>
        </w:rPr>
        <w:t> </w:t>
      </w:r>
      <w:r>
        <w:rPr>
          <w:spacing w:val="-5"/>
          <w:sz w:val="18"/>
        </w:rPr>
        <w:t>反应液、</w:t>
      </w:r>
      <w:r>
        <w:rPr>
          <w:rFonts w:ascii="Times New Roman" w:hAnsi="Times New Roman" w:eastAsia="Times New Roman"/>
          <w:spacing w:val="-5"/>
          <w:sz w:val="18"/>
        </w:rPr>
        <w:t>RT</w:t>
      </w:r>
      <w:r>
        <w:rPr>
          <w:rFonts w:ascii="Times New Roman" w:hAnsi="Times New Roman" w:eastAsia="Times New Roman"/>
          <w:spacing w:val="-8"/>
          <w:sz w:val="18"/>
        </w:rPr>
        <w:t> </w:t>
      </w:r>
      <w:r>
        <w:rPr>
          <w:spacing w:val="6"/>
          <w:sz w:val="18"/>
        </w:rPr>
        <w:t>增强剂和</w:t>
      </w:r>
      <w:r>
        <w:rPr>
          <w:rFonts w:ascii="Times New Roman" w:hAnsi="Times New Roman" w:eastAsia="Times New Roman"/>
          <w:sz w:val="18"/>
        </w:rPr>
        <w:t>HCV</w:t>
      </w:r>
      <w:r>
        <w:rPr>
          <w:rFonts w:ascii="Times New Roman" w:hAnsi="Times New Roman" w:eastAsia="Times New Roman"/>
          <w:spacing w:val="-6"/>
          <w:sz w:val="18"/>
        </w:rPr>
        <w:t> </w:t>
      </w:r>
      <w:r>
        <w:rPr>
          <w:spacing w:val="-1"/>
          <w:sz w:val="18"/>
        </w:rPr>
        <w:t>酶混合液，充分混匀成</w:t>
      </w:r>
      <w:r>
        <w:rPr>
          <w:rFonts w:ascii="Times New Roman" w:hAnsi="Times New Roman" w:eastAsia="Times New Roman"/>
          <w:spacing w:val="-3"/>
          <w:sz w:val="18"/>
        </w:rPr>
        <w:t>PCR-</w:t>
      </w:r>
      <w:r>
        <w:rPr>
          <w:spacing w:val="-4"/>
          <w:sz w:val="18"/>
        </w:rPr>
        <w:t>混合液， </w:t>
      </w:r>
      <w:r>
        <w:rPr>
          <w:rFonts w:ascii="Times New Roman" w:hAnsi="Times New Roman" w:eastAsia="Times New Roman"/>
          <w:spacing w:val="-3"/>
          <w:sz w:val="18"/>
        </w:rPr>
        <w:t>2000rpm</w:t>
      </w:r>
      <w:r>
        <w:rPr>
          <w:rFonts w:ascii="Times New Roman" w:hAnsi="Times New Roman" w:eastAsia="Times New Roman"/>
          <w:spacing w:val="-5"/>
          <w:sz w:val="18"/>
        </w:rPr>
        <w:t> </w:t>
      </w:r>
      <w:r>
        <w:rPr>
          <w:spacing w:val="-19"/>
          <w:sz w:val="18"/>
        </w:rPr>
        <w:t>离心 </w:t>
      </w:r>
      <w:r>
        <w:rPr>
          <w:rFonts w:ascii="Times New Roman" w:hAnsi="Times New Roman" w:eastAsia="Times New Roman"/>
          <w:sz w:val="18"/>
        </w:rPr>
        <w:t>10s</w:t>
      </w:r>
      <w:r>
        <w:rPr>
          <w:rFonts w:ascii="Times New Roman" w:hAnsi="Times New Roman" w:eastAsia="Times New Roman"/>
          <w:spacing w:val="-5"/>
          <w:sz w:val="18"/>
        </w:rPr>
        <w:t> </w:t>
      </w:r>
      <w:r>
        <w:rPr>
          <w:spacing w:val="-4"/>
          <w:sz w:val="18"/>
        </w:rPr>
        <w:t>后备用。</w:t>
      </w:r>
    </w:p>
    <w:p>
      <w:pPr>
        <w:pStyle w:val="ListParagraph"/>
        <w:numPr>
          <w:ilvl w:val="0"/>
          <w:numId w:val="3"/>
        </w:numPr>
        <w:tabs>
          <w:tab w:pos="344" w:val="left" w:leader="none"/>
        </w:tabs>
        <w:spacing w:line="192" w:lineRule="exact" w:before="0" w:after="0"/>
        <w:ind w:left="343" w:right="0" w:hanging="217"/>
        <w:jc w:val="left"/>
        <w:rPr>
          <w:rFonts w:ascii="Times New Roman" w:eastAsia="Times New Roman"/>
          <w:sz w:val="18"/>
        </w:rPr>
      </w:pPr>
      <w:r>
        <w:rPr>
          <w:b/>
          <w:spacing w:val="-4"/>
          <w:sz w:val="18"/>
        </w:rPr>
        <w:t>样本处理</w:t>
      </w:r>
      <w:r>
        <w:rPr>
          <w:b/>
          <w:spacing w:val="-5"/>
          <w:sz w:val="18"/>
        </w:rPr>
        <w:t>（在样本处理区进行</w:t>
      </w:r>
      <w:r>
        <w:rPr>
          <w:b/>
          <w:spacing w:val="-4"/>
          <w:sz w:val="18"/>
        </w:rPr>
        <w:t>）</w:t>
      </w:r>
      <w:r>
        <w:rPr>
          <w:spacing w:val="-4"/>
          <w:sz w:val="18"/>
        </w:rPr>
        <w:t>（</w:t>
      </w:r>
      <w:r>
        <w:rPr>
          <w:spacing w:val="-5"/>
          <w:sz w:val="18"/>
        </w:rPr>
        <w:t>阴性对照、强阳性对照、临界阳性对照、定量参考品与待测样本同步处理</w:t>
      </w:r>
      <w:r>
        <w:rPr>
          <w:rFonts w:ascii="Times New Roman" w:eastAsia="Times New Roman"/>
          <w:sz w:val="18"/>
        </w:rPr>
        <w:t>)</w:t>
      </w:r>
    </w:p>
    <w:p>
      <w:pPr>
        <w:pStyle w:val="ListParagraph"/>
        <w:numPr>
          <w:ilvl w:val="1"/>
          <w:numId w:val="3"/>
        </w:numPr>
        <w:tabs>
          <w:tab w:pos="432" w:val="left" w:leader="none"/>
        </w:tabs>
        <w:spacing w:line="208" w:lineRule="auto" w:before="7" w:after="0"/>
        <w:ind w:left="127" w:right="237" w:firstLine="0"/>
        <w:jc w:val="left"/>
        <w:rPr>
          <w:sz w:val="18"/>
        </w:rPr>
      </w:pPr>
      <w:r>
        <w:rPr>
          <w:spacing w:val="-4"/>
          <w:sz w:val="18"/>
        </w:rPr>
        <w:t>按推荐的核酸提取或纯化试剂提取待测样本、阴性对照、强阳性对照、临界阳性对照以及定量参考品</w:t>
      </w:r>
      <w:r>
        <w:rPr>
          <w:rFonts w:ascii="Times New Roman" w:hAnsi="Times New Roman" w:eastAsia="Times New Roman"/>
          <w:spacing w:val="-3"/>
          <w:sz w:val="18"/>
        </w:rPr>
        <w:t>A~D</w:t>
      </w:r>
      <w:r>
        <w:rPr>
          <w:spacing w:val="-14"/>
          <w:sz w:val="18"/>
        </w:rPr>
        <w:t>；内标按 </w:t>
      </w:r>
      <w:r>
        <w:rPr>
          <w:rFonts w:ascii="Times New Roman" w:hAnsi="Times New Roman" w:eastAsia="Times New Roman"/>
          <w:sz w:val="18"/>
        </w:rPr>
        <w:t>1μL/</w:t>
      </w:r>
      <w:r>
        <w:rPr>
          <w:spacing w:val="-3"/>
          <w:sz w:val="18"/>
        </w:rPr>
        <w:t>人份加</w:t>
      </w:r>
      <w:r>
        <w:rPr>
          <w:spacing w:val="-5"/>
          <w:sz w:val="18"/>
        </w:rPr>
        <w:t>入到推荐的提取溶液中；提取完后保留核酸待用。</w:t>
      </w:r>
    </w:p>
    <w:p>
      <w:pPr>
        <w:pStyle w:val="ListParagraph"/>
        <w:numPr>
          <w:ilvl w:val="1"/>
          <w:numId w:val="3"/>
        </w:numPr>
        <w:tabs>
          <w:tab w:pos="432" w:val="left" w:leader="none"/>
        </w:tabs>
        <w:spacing w:line="191" w:lineRule="exact" w:before="0" w:after="0"/>
        <w:ind w:left="432" w:right="0" w:hanging="305"/>
        <w:jc w:val="left"/>
        <w:rPr>
          <w:rFonts w:ascii="Times New Roman" w:hAnsi="Times New Roman" w:eastAsia="Times New Roman"/>
          <w:sz w:val="18"/>
        </w:rPr>
      </w:pPr>
      <w:r>
        <w:rPr>
          <w:spacing w:val="10"/>
          <w:sz w:val="18"/>
        </w:rPr>
        <w:t>在每个</w:t>
      </w:r>
      <w:r>
        <w:rPr>
          <w:rFonts w:ascii="Times New Roman" w:hAnsi="Times New Roman" w:eastAsia="Times New Roman"/>
          <w:sz w:val="18"/>
        </w:rPr>
        <w:t>PCR</w:t>
      </w:r>
      <w:r>
        <w:rPr>
          <w:rFonts w:ascii="Times New Roman" w:hAnsi="Times New Roman" w:eastAsia="Times New Roman"/>
          <w:spacing w:val="-5"/>
          <w:sz w:val="18"/>
        </w:rPr>
        <w:t> </w:t>
      </w:r>
      <w:r>
        <w:rPr>
          <w:spacing w:val="-12"/>
          <w:sz w:val="18"/>
        </w:rPr>
        <w:t>反应管中按 </w:t>
      </w:r>
      <w:r>
        <w:rPr>
          <w:rFonts w:ascii="Times New Roman" w:hAnsi="Times New Roman" w:eastAsia="Times New Roman"/>
          <w:spacing w:val="-3"/>
          <w:sz w:val="18"/>
        </w:rPr>
        <w:t>30μL/</w:t>
      </w:r>
      <w:r>
        <w:rPr>
          <w:spacing w:val="6"/>
          <w:sz w:val="18"/>
        </w:rPr>
        <w:t>人份加入</w:t>
      </w:r>
      <w:r>
        <w:rPr>
          <w:rFonts w:ascii="Times New Roman" w:hAnsi="Times New Roman" w:eastAsia="Times New Roman"/>
          <w:spacing w:val="-3"/>
          <w:sz w:val="18"/>
        </w:rPr>
        <w:t>PCR-</w:t>
      </w:r>
      <w:r>
        <w:rPr>
          <w:spacing w:val="-10"/>
          <w:sz w:val="18"/>
        </w:rPr>
        <w:t>混合液后，再分别加入提取好的核酸，盖紧管盖</w:t>
      </w:r>
      <w:r>
        <w:rPr>
          <w:spacing w:val="-5"/>
          <w:sz w:val="18"/>
        </w:rPr>
        <w:t>（</w:t>
      </w:r>
      <w:r>
        <w:rPr>
          <w:spacing w:val="4"/>
          <w:sz w:val="18"/>
        </w:rPr>
        <w:t>如有必要将</w:t>
      </w:r>
      <w:r>
        <w:rPr>
          <w:rFonts w:ascii="Times New Roman" w:hAnsi="Times New Roman" w:eastAsia="Times New Roman"/>
          <w:sz w:val="18"/>
        </w:rPr>
        <w:t>PCR</w:t>
      </w:r>
      <w:r>
        <w:rPr>
          <w:rFonts w:ascii="Times New Roman" w:hAnsi="Times New Roman" w:eastAsia="Times New Roman"/>
          <w:spacing w:val="-6"/>
          <w:sz w:val="18"/>
        </w:rPr>
        <w:t> </w:t>
      </w:r>
      <w:r>
        <w:rPr>
          <w:spacing w:val="-15"/>
          <w:sz w:val="18"/>
        </w:rPr>
        <w:t>反应管 </w:t>
      </w:r>
      <w:r>
        <w:rPr>
          <w:rFonts w:ascii="Times New Roman" w:hAnsi="Times New Roman" w:eastAsia="Times New Roman"/>
          <w:spacing w:val="-3"/>
          <w:sz w:val="18"/>
        </w:rPr>
        <w:t>2000rpm</w:t>
      </w:r>
    </w:p>
    <w:p>
      <w:pPr>
        <w:pStyle w:val="BodyText"/>
        <w:ind w:left="424"/>
      </w:pPr>
      <w:r>
        <w:rPr/>
        <w:t>离心 </w:t>
      </w:r>
      <w:r>
        <w:rPr>
          <w:rFonts w:ascii="Times New Roman" w:eastAsia="Times New Roman"/>
        </w:rPr>
        <w:t>10s</w:t>
      </w:r>
      <w:r>
        <w:rPr/>
        <w:t>）转移至</w:t>
      </w:r>
      <w:r>
        <w:rPr>
          <w:rFonts w:ascii="Times New Roman" w:eastAsia="Times New Roman"/>
        </w:rPr>
        <w:t>PCR </w:t>
      </w:r>
      <w:r>
        <w:rPr/>
        <w:t>扩增区。</w:t>
      </w:r>
    </w:p>
    <w:p>
      <w:pPr>
        <w:pStyle w:val="ListParagraph"/>
        <w:numPr>
          <w:ilvl w:val="0"/>
          <w:numId w:val="3"/>
        </w:numPr>
        <w:tabs>
          <w:tab w:pos="300" w:val="left" w:leader="none"/>
        </w:tabs>
        <w:spacing w:line="200" w:lineRule="exact" w:before="0" w:after="0"/>
        <w:ind w:left="300" w:right="0" w:hanging="173"/>
        <w:jc w:val="left"/>
        <w:rPr>
          <w:sz w:val="18"/>
        </w:rPr>
      </w:pPr>
      <w:r>
        <w:rPr>
          <w:rFonts w:ascii="Times New Roman" w:eastAsia="Times New Roman"/>
          <w:b/>
          <w:sz w:val="18"/>
        </w:rPr>
        <w:t>PCR</w:t>
      </w:r>
      <w:r>
        <w:rPr>
          <w:rFonts w:ascii="Times New Roman" w:eastAsia="Times New Roman"/>
          <w:b/>
          <w:spacing w:val="35"/>
          <w:sz w:val="18"/>
        </w:rPr>
        <w:t> </w:t>
      </w:r>
      <w:r>
        <w:rPr>
          <w:b/>
          <w:spacing w:val="-4"/>
          <w:sz w:val="18"/>
        </w:rPr>
        <w:t>扩增</w:t>
      </w:r>
      <w:r>
        <w:rPr>
          <w:b/>
          <w:spacing w:val="-3"/>
          <w:sz w:val="18"/>
        </w:rPr>
        <w:t>（</w:t>
      </w:r>
      <w:r>
        <w:rPr>
          <w:b/>
          <w:spacing w:val="-5"/>
          <w:sz w:val="18"/>
        </w:rPr>
        <w:t>在扩增与分析区进行</w:t>
      </w:r>
      <w:r>
        <w:rPr>
          <w:b/>
          <w:spacing w:val="-4"/>
          <w:sz w:val="18"/>
        </w:rPr>
        <w:t>）</w:t>
      </w:r>
      <w:r>
        <w:rPr>
          <w:spacing w:val="-4"/>
          <w:sz w:val="18"/>
        </w:rPr>
        <w:t>（</w:t>
      </w:r>
      <w:r>
        <w:rPr>
          <w:spacing w:val="-5"/>
          <w:sz w:val="18"/>
        </w:rPr>
        <w:t>请参照各仪器使用说明书进行设置</w:t>
      </w:r>
      <w:r>
        <w:rPr>
          <w:sz w:val="18"/>
        </w:rPr>
        <w:t>）</w:t>
      </w:r>
    </w:p>
    <w:p>
      <w:pPr>
        <w:pStyle w:val="ListParagraph"/>
        <w:numPr>
          <w:ilvl w:val="1"/>
          <w:numId w:val="3"/>
        </w:numPr>
        <w:tabs>
          <w:tab w:pos="435" w:val="left" w:leader="none"/>
        </w:tabs>
        <w:spacing w:line="206" w:lineRule="auto" w:before="10" w:after="0"/>
        <w:ind w:left="480" w:right="235" w:hanging="351"/>
        <w:jc w:val="left"/>
        <w:rPr>
          <w:sz w:val="18"/>
        </w:rPr>
      </w:pPr>
      <w:r>
        <w:rPr>
          <w:spacing w:val="-5"/>
          <w:sz w:val="18"/>
        </w:rPr>
        <w:t>将</w:t>
      </w:r>
      <w:r>
        <w:rPr>
          <w:rFonts w:ascii="Times New Roman" w:eastAsia="Times New Roman"/>
          <w:spacing w:val="-3"/>
          <w:sz w:val="18"/>
        </w:rPr>
        <w:t>PCR</w:t>
      </w:r>
      <w:r>
        <w:rPr>
          <w:spacing w:val="-10"/>
          <w:sz w:val="18"/>
        </w:rPr>
        <w:t>反应管放入扩增仪样品槽，设置阴性对照、强阳性对照、临界阳性对照、定量参考品</w:t>
      </w:r>
      <w:r>
        <w:rPr>
          <w:rFonts w:ascii="Times New Roman" w:eastAsia="Times New Roman"/>
          <w:spacing w:val="-20"/>
          <w:sz w:val="18"/>
        </w:rPr>
        <w:t>A</w:t>
      </w:r>
      <w:r>
        <w:rPr>
          <w:spacing w:val="-20"/>
          <w:sz w:val="18"/>
        </w:rPr>
        <w:t>～</w:t>
      </w:r>
      <w:r>
        <w:rPr>
          <w:rFonts w:ascii="Times New Roman" w:eastAsia="Times New Roman"/>
          <w:spacing w:val="-20"/>
          <w:sz w:val="18"/>
        </w:rPr>
        <w:t>D</w:t>
      </w:r>
      <w:r>
        <w:rPr>
          <w:spacing w:val="-8"/>
          <w:sz w:val="18"/>
        </w:rPr>
        <w:t>以及待测样本，并设置样本名称</w:t>
      </w:r>
      <w:r>
        <w:rPr>
          <w:spacing w:val="-5"/>
          <w:sz w:val="18"/>
        </w:rPr>
        <w:t>及定量参考品浓度。</w:t>
      </w:r>
    </w:p>
    <w:p>
      <w:pPr>
        <w:pStyle w:val="ListParagraph"/>
        <w:numPr>
          <w:ilvl w:val="1"/>
          <w:numId w:val="3"/>
        </w:numPr>
        <w:tabs>
          <w:tab w:pos="435" w:val="left" w:leader="none"/>
        </w:tabs>
        <w:spacing w:line="194" w:lineRule="exact" w:before="0" w:after="0"/>
        <w:ind w:left="434" w:right="0" w:hanging="306"/>
        <w:jc w:val="left"/>
        <w:rPr>
          <w:rFonts w:ascii="Times New Roman" w:eastAsia="Times New Roman"/>
          <w:b/>
          <w:sz w:val="18"/>
        </w:rPr>
      </w:pPr>
      <w:r>
        <w:rPr>
          <w:spacing w:val="-5"/>
          <w:sz w:val="18"/>
        </w:rPr>
        <w:t>荧光检测通道选择</w:t>
      </w:r>
      <w:r>
        <w:rPr>
          <w:rFonts w:ascii="Times New Roman" w:eastAsia="Times New Roman"/>
          <w:b/>
          <w:sz w:val="18"/>
        </w:rPr>
        <w:t>:</w:t>
      </w:r>
    </w:p>
    <w:p>
      <w:pPr>
        <w:pStyle w:val="ListParagraph"/>
        <w:numPr>
          <w:ilvl w:val="2"/>
          <w:numId w:val="3"/>
        </w:numPr>
        <w:tabs>
          <w:tab w:pos="521" w:val="left" w:leader="none"/>
        </w:tabs>
        <w:spacing w:line="199" w:lineRule="exact" w:before="0" w:after="0"/>
        <w:ind w:left="520" w:right="0" w:hanging="394"/>
        <w:jc w:val="left"/>
        <w:rPr>
          <w:sz w:val="18"/>
        </w:rPr>
      </w:pPr>
      <w:r>
        <w:rPr>
          <w:rFonts w:ascii="Times New Roman" w:eastAsia="Times New Roman"/>
          <w:sz w:val="18"/>
        </w:rPr>
        <w:t>ABI7500</w:t>
      </w:r>
      <w:r>
        <w:rPr>
          <w:spacing w:val="11"/>
          <w:sz w:val="18"/>
        </w:rPr>
        <w:t>、宏石</w:t>
      </w:r>
      <w:r>
        <w:rPr>
          <w:rFonts w:ascii="Times New Roman" w:eastAsia="Times New Roman"/>
          <w:sz w:val="18"/>
        </w:rPr>
        <w:t>SLAN-96p</w:t>
      </w:r>
      <w:r>
        <w:rPr>
          <w:rFonts w:ascii="Times New Roman" w:eastAsia="Times New Roman"/>
          <w:spacing w:val="-7"/>
          <w:sz w:val="18"/>
        </w:rPr>
        <w:t> </w:t>
      </w:r>
      <w:r>
        <w:rPr>
          <w:sz w:val="18"/>
        </w:rPr>
        <w:t>仪器：</w:t>
      </w:r>
    </w:p>
    <w:p>
      <w:pPr>
        <w:pStyle w:val="BodyText"/>
        <w:spacing w:line="208" w:lineRule="auto" w:before="8"/>
        <w:ind w:left="134" w:right="112" w:firstLine="369"/>
      </w:pPr>
      <w:r>
        <w:rPr>
          <w:rFonts w:ascii="Times New Roman" w:eastAsia="Times New Roman"/>
          <w:spacing w:val="-33"/>
        </w:rPr>
        <w:t>1</w:t>
      </w:r>
      <w:r>
        <w:rPr>
          <w:spacing w:val="-33"/>
        </w:rPr>
        <w:t>）</w:t>
      </w:r>
      <w:r>
        <w:rPr>
          <w:spacing w:val="-3"/>
        </w:rPr>
        <w:t>选择</w:t>
      </w:r>
      <w:r>
        <w:rPr>
          <w:rFonts w:ascii="Times New Roman" w:eastAsia="Times New Roman"/>
        </w:rPr>
        <w:t>FAM</w:t>
      </w:r>
      <w:r>
        <w:rPr>
          <w:spacing w:val="-32"/>
        </w:rPr>
        <w:t>通道</w:t>
      </w:r>
      <w:r>
        <w:rPr>
          <w:spacing w:val="-3"/>
        </w:rPr>
        <w:t>（</w:t>
      </w:r>
      <w:r>
        <w:rPr>
          <w:rFonts w:ascii="Times New Roman" w:eastAsia="Times New Roman"/>
          <w:spacing w:val="-3"/>
        </w:rPr>
        <w:t>Reporter</w:t>
      </w:r>
      <w:r>
        <w:rPr>
          <w:rFonts w:ascii="Times New Roman" w:eastAsia="Times New Roman"/>
          <w:b/>
          <w:spacing w:val="-3"/>
        </w:rPr>
        <w:t>: </w:t>
      </w:r>
      <w:r>
        <w:rPr>
          <w:rFonts w:ascii="Times New Roman" w:eastAsia="Times New Roman"/>
        </w:rPr>
        <w:t>FAM, </w:t>
      </w:r>
      <w:r>
        <w:rPr>
          <w:rFonts w:ascii="Times New Roman" w:eastAsia="Times New Roman"/>
          <w:spacing w:val="-3"/>
        </w:rPr>
        <w:t>Quencher</w:t>
      </w:r>
      <w:r>
        <w:rPr>
          <w:rFonts w:ascii="Times New Roman" w:eastAsia="Times New Roman"/>
          <w:b/>
          <w:spacing w:val="-3"/>
        </w:rPr>
        <w:t>: </w:t>
      </w:r>
      <w:r>
        <w:rPr>
          <w:rFonts w:ascii="Times New Roman" w:eastAsia="Times New Roman"/>
          <w:spacing w:val="-15"/>
        </w:rPr>
        <w:t>none</w:t>
      </w:r>
      <w:r>
        <w:rPr>
          <w:spacing w:val="-15"/>
        </w:rPr>
        <w:t>）</w:t>
      </w:r>
      <w:r>
        <w:rPr>
          <w:spacing w:val="-3"/>
        </w:rPr>
        <w:t>检测</w:t>
      </w:r>
      <w:r>
        <w:rPr>
          <w:rFonts w:ascii="Times New Roman" w:eastAsia="Times New Roman"/>
          <w:spacing w:val="-15"/>
        </w:rPr>
        <w:t>HCV-RNA</w:t>
      </w:r>
      <w:r>
        <w:rPr>
          <w:spacing w:val="-15"/>
        </w:rPr>
        <w:t>；</w:t>
      </w:r>
      <w:r>
        <w:rPr>
          <w:rFonts w:ascii="Times New Roman" w:eastAsia="Times New Roman"/>
          <w:spacing w:val="-15"/>
        </w:rPr>
        <w:t>2</w:t>
      </w:r>
      <w:r>
        <w:rPr>
          <w:spacing w:val="-15"/>
        </w:rPr>
        <w:t>）</w:t>
      </w:r>
      <w:r>
        <w:rPr>
          <w:spacing w:val="-3"/>
        </w:rPr>
        <w:t>选择</w:t>
      </w:r>
      <w:r>
        <w:rPr>
          <w:rFonts w:ascii="Times New Roman" w:eastAsia="Times New Roman"/>
          <w:spacing w:val="-2"/>
        </w:rPr>
        <w:t>HEX</w:t>
      </w:r>
      <w:r>
        <w:rPr>
          <w:spacing w:val="-3"/>
        </w:rPr>
        <w:t>或</w:t>
      </w:r>
      <w:r>
        <w:rPr>
          <w:rFonts w:ascii="Times New Roman" w:eastAsia="Times New Roman"/>
          <w:spacing w:val="-3"/>
        </w:rPr>
        <w:t>VIC</w:t>
      </w:r>
      <w:r>
        <w:rPr>
          <w:spacing w:val="-31"/>
        </w:rPr>
        <w:t>通道</w:t>
      </w:r>
      <w:r>
        <w:rPr>
          <w:spacing w:val="-3"/>
        </w:rPr>
        <w:t>（</w:t>
      </w:r>
      <w:r>
        <w:rPr>
          <w:rFonts w:ascii="Times New Roman" w:eastAsia="Times New Roman"/>
          <w:spacing w:val="-3"/>
        </w:rPr>
        <w:t>Reporter</w:t>
      </w:r>
      <w:r>
        <w:rPr>
          <w:rFonts w:ascii="Times New Roman" w:eastAsia="Times New Roman"/>
          <w:b/>
          <w:spacing w:val="-3"/>
        </w:rPr>
        <w:t>: </w:t>
      </w:r>
      <w:r>
        <w:rPr>
          <w:rFonts w:ascii="Times New Roman" w:eastAsia="Times New Roman"/>
        </w:rPr>
        <w:t>HEX/VIC</w:t>
      </w:r>
      <w:r>
        <w:rPr>
          <w:rFonts w:ascii="Times New Roman" w:eastAsia="Times New Roman"/>
          <w:spacing w:val="-4"/>
        </w:rPr>
        <w:t>, </w:t>
      </w:r>
      <w:r>
        <w:rPr>
          <w:rFonts w:ascii="Times New Roman" w:eastAsia="Times New Roman"/>
          <w:spacing w:val="-3"/>
        </w:rPr>
        <w:t>Quencher</w:t>
      </w:r>
      <w:r>
        <w:rPr>
          <w:rFonts w:ascii="Times New Roman" w:eastAsia="Times New Roman"/>
          <w:b/>
          <w:spacing w:val="-3"/>
        </w:rPr>
        <w:t>; </w:t>
      </w:r>
      <w:r>
        <w:rPr>
          <w:rFonts w:ascii="Times New Roman" w:eastAsia="Times New Roman"/>
        </w:rPr>
        <w:t>none</w:t>
      </w:r>
      <w:r>
        <w:rPr/>
        <w:t>） </w:t>
      </w:r>
      <w:r>
        <w:rPr>
          <w:spacing w:val="-4"/>
        </w:rPr>
        <w:t>检测</w:t>
      </w:r>
      <w:r>
        <w:rPr>
          <w:rFonts w:ascii="Times New Roman" w:eastAsia="Times New Roman"/>
          <w:spacing w:val="-3"/>
        </w:rPr>
        <w:t>HCV</w:t>
      </w:r>
      <w:r>
        <w:rPr>
          <w:spacing w:val="-5"/>
        </w:rPr>
        <w:t>内标；</w:t>
      </w:r>
      <w:r>
        <w:rPr>
          <w:rFonts w:ascii="Times New Roman" w:eastAsia="Times New Roman"/>
          <w:spacing w:val="-5"/>
        </w:rPr>
        <w:t>3</w:t>
      </w:r>
      <w:r>
        <w:rPr>
          <w:spacing w:val="-5"/>
        </w:rPr>
        <w:t>）参比荧光</w:t>
      </w:r>
      <w:r>
        <w:rPr>
          <w:spacing w:val="-3"/>
        </w:rPr>
        <w:t>（</w:t>
      </w:r>
      <w:r>
        <w:rPr>
          <w:rFonts w:ascii="Times New Roman" w:eastAsia="Times New Roman"/>
          <w:spacing w:val="-3"/>
        </w:rPr>
        <w:t>Reference </w:t>
      </w:r>
      <w:r>
        <w:rPr>
          <w:rFonts w:ascii="Times New Roman" w:eastAsia="Times New Roman"/>
          <w:spacing w:val="-4"/>
        </w:rPr>
        <w:t>Dye</w:t>
      </w:r>
      <w:r>
        <w:rPr>
          <w:spacing w:val="-4"/>
        </w:rPr>
        <w:t>）</w:t>
      </w:r>
      <w:r>
        <w:rPr>
          <w:spacing w:val="-5"/>
        </w:rPr>
        <w:t>：选择</w:t>
      </w:r>
      <w:r>
        <w:rPr>
          <w:rFonts w:ascii="Times New Roman" w:eastAsia="Times New Roman"/>
          <w:spacing w:val="-3"/>
        </w:rPr>
        <w:t>ROX</w:t>
      </w:r>
      <w:r>
        <w:rPr>
          <w:spacing w:val="-3"/>
        </w:rPr>
        <w:t>（</w:t>
      </w:r>
      <w:r>
        <w:rPr>
          <w:spacing w:val="-5"/>
        </w:rPr>
        <w:t>无</w:t>
      </w:r>
      <w:r>
        <w:rPr>
          <w:rFonts w:ascii="Times New Roman" w:eastAsia="Times New Roman"/>
          <w:spacing w:val="-3"/>
        </w:rPr>
        <w:t>ROX</w:t>
      </w:r>
      <w:r>
        <w:rPr>
          <w:spacing w:val="-5"/>
        </w:rPr>
        <w:t>矫正系统的仪器不选此设置）。设置</w:t>
      </w:r>
      <w:r>
        <w:rPr>
          <w:rFonts w:ascii="Times New Roman" w:eastAsia="Times New Roman"/>
        </w:rPr>
        <w:t>Sample </w:t>
      </w:r>
      <w:r>
        <w:rPr>
          <w:rFonts w:ascii="Times New Roman" w:eastAsia="Times New Roman"/>
          <w:spacing w:val="-3"/>
        </w:rPr>
        <w:t>Volume</w:t>
      </w:r>
      <w:r>
        <w:rPr>
          <w:spacing w:val="-5"/>
        </w:rPr>
        <w:t>为</w:t>
      </w:r>
      <w:r>
        <w:rPr>
          <w:rFonts w:ascii="Times New Roman" w:eastAsia="Times New Roman"/>
          <w:spacing w:val="-3"/>
        </w:rPr>
        <w:t>50</w:t>
      </w:r>
      <w:r>
        <w:rPr/>
        <w:t>。</w:t>
      </w:r>
    </w:p>
    <w:p>
      <w:pPr>
        <w:pStyle w:val="ListParagraph"/>
        <w:numPr>
          <w:ilvl w:val="2"/>
          <w:numId w:val="3"/>
        </w:numPr>
        <w:tabs>
          <w:tab w:pos="521" w:val="left" w:leader="none"/>
        </w:tabs>
        <w:spacing w:line="191" w:lineRule="exact" w:before="0" w:after="0"/>
        <w:ind w:left="520" w:right="0" w:hanging="394"/>
        <w:jc w:val="left"/>
        <w:rPr>
          <w:sz w:val="18"/>
        </w:rPr>
      </w:pPr>
      <w:r>
        <w:rPr>
          <w:rFonts w:ascii="Times New Roman" w:eastAsia="Times New Roman"/>
          <w:spacing w:val="-3"/>
          <w:sz w:val="18"/>
        </w:rPr>
        <w:t>Roche</w:t>
      </w:r>
      <w:r>
        <w:rPr>
          <w:rFonts w:ascii="Times New Roman" w:eastAsia="Times New Roman"/>
          <w:spacing w:val="-5"/>
          <w:sz w:val="18"/>
        </w:rPr>
        <w:t> </w:t>
      </w:r>
      <w:r>
        <w:rPr>
          <w:rFonts w:ascii="Times New Roman" w:eastAsia="Times New Roman"/>
          <w:sz w:val="18"/>
        </w:rPr>
        <w:t>480</w:t>
      </w:r>
      <w:r>
        <w:rPr>
          <w:rFonts w:ascii="Times New Roman" w:eastAsia="Times New Roman"/>
          <w:spacing w:val="1"/>
          <w:sz w:val="18"/>
        </w:rPr>
        <w:t> </w:t>
      </w:r>
      <w:r>
        <w:rPr>
          <w:spacing w:val="17"/>
          <w:sz w:val="18"/>
        </w:rPr>
        <w:t>荧光</w:t>
      </w:r>
      <w:r>
        <w:rPr>
          <w:rFonts w:ascii="Times New Roman" w:eastAsia="Times New Roman"/>
          <w:sz w:val="18"/>
        </w:rPr>
        <w:t>PCR</w:t>
      </w:r>
      <w:r>
        <w:rPr>
          <w:rFonts w:ascii="Times New Roman" w:eastAsia="Times New Roman"/>
          <w:spacing w:val="-5"/>
          <w:sz w:val="18"/>
        </w:rPr>
        <w:t> </w:t>
      </w:r>
      <w:r>
        <w:rPr>
          <w:spacing w:val="-3"/>
          <w:sz w:val="18"/>
        </w:rPr>
        <w:t>仪：</w:t>
      </w:r>
    </w:p>
    <w:p>
      <w:pPr>
        <w:pStyle w:val="BodyText"/>
        <w:ind w:left="0" w:right="215"/>
        <w:jc w:val="right"/>
        <w:rPr>
          <w:rFonts w:ascii="Times New Roman" w:eastAsia="Times New Roman"/>
        </w:rPr>
      </w:pPr>
      <w:r>
        <w:rPr>
          <w:spacing w:val="19"/>
        </w:rPr>
        <w:t>选择</w:t>
      </w:r>
      <w:r>
        <w:rPr>
          <w:rFonts w:ascii="Times New Roman" w:eastAsia="Times New Roman"/>
          <w:spacing w:val="-1"/>
        </w:rPr>
        <w:t>Ne</w:t>
      </w:r>
      <w:r>
        <w:rPr>
          <w:rFonts w:ascii="Times New Roman" w:eastAsia="Times New Roman"/>
        </w:rPr>
        <w:t>w</w:t>
      </w:r>
      <w:r>
        <w:rPr>
          <w:rFonts w:ascii="Times New Roman" w:eastAsia="Times New Roman"/>
          <w:spacing w:val="2"/>
        </w:rPr>
        <w:t> </w:t>
      </w:r>
      <w:r>
        <w:rPr>
          <w:rFonts w:ascii="Times New Roman" w:eastAsia="Times New Roman"/>
        </w:rPr>
        <w:t>E</w:t>
      </w:r>
      <w:r>
        <w:rPr>
          <w:rFonts w:ascii="Times New Roman" w:eastAsia="Times New Roman"/>
          <w:spacing w:val="-2"/>
        </w:rPr>
        <w:t>x</w:t>
      </w:r>
      <w:r>
        <w:rPr>
          <w:rFonts w:ascii="Times New Roman" w:eastAsia="Times New Roman"/>
          <w:spacing w:val="1"/>
        </w:rPr>
        <w:t>p</w:t>
      </w:r>
      <w:r>
        <w:rPr>
          <w:rFonts w:ascii="Times New Roman" w:eastAsia="Times New Roman"/>
          <w:spacing w:val="-1"/>
        </w:rPr>
        <w:t>e</w:t>
      </w:r>
      <w:r>
        <w:rPr>
          <w:rFonts w:ascii="Times New Roman" w:eastAsia="Times New Roman"/>
        </w:rPr>
        <w:t>ri</w:t>
      </w:r>
      <w:r>
        <w:rPr>
          <w:rFonts w:ascii="Times New Roman" w:eastAsia="Times New Roman"/>
          <w:spacing w:val="-4"/>
        </w:rPr>
        <w:t>m</w:t>
      </w:r>
      <w:r>
        <w:rPr>
          <w:rFonts w:ascii="Times New Roman" w:eastAsia="Times New Roman"/>
          <w:spacing w:val="1"/>
        </w:rPr>
        <w:t>en</w:t>
      </w:r>
      <w:r>
        <w:rPr>
          <w:rFonts w:ascii="Times New Roman" w:eastAsia="Times New Roman"/>
        </w:rPr>
        <w:t>t,</w:t>
      </w:r>
      <w:r>
        <w:rPr>
          <w:rFonts w:ascii="Times New Roman" w:eastAsia="Times New Roman"/>
          <w:spacing w:val="-1"/>
        </w:rPr>
        <w:t>  </w:t>
      </w:r>
      <w:r>
        <w:rPr>
          <w:spacing w:val="38"/>
        </w:rPr>
        <w:t>在</w:t>
      </w:r>
      <w:r>
        <w:rPr>
          <w:rFonts w:ascii="Times New Roman" w:eastAsia="Times New Roman"/>
          <w:spacing w:val="-1"/>
        </w:rPr>
        <w:t>se</w:t>
      </w:r>
      <w:r>
        <w:rPr>
          <w:rFonts w:ascii="Times New Roman" w:eastAsia="Times New Roman"/>
        </w:rPr>
        <w:t>t</w:t>
      </w:r>
      <w:r>
        <w:rPr>
          <w:rFonts w:ascii="Times New Roman" w:eastAsia="Times New Roman"/>
          <w:spacing w:val="-2"/>
        </w:rPr>
        <w:t>u</w:t>
      </w:r>
      <w:r>
        <w:rPr>
          <w:rFonts w:ascii="Times New Roman" w:eastAsia="Times New Roman"/>
        </w:rPr>
        <w:t>p</w:t>
      </w:r>
      <w:r>
        <w:rPr>
          <w:rFonts w:ascii="Times New Roman" w:eastAsia="Times New Roman"/>
          <w:spacing w:val="-6"/>
        </w:rPr>
        <w:t> </w:t>
      </w:r>
      <w:r>
        <w:rPr>
          <w:spacing w:val="9"/>
        </w:rPr>
        <w:t>设置面板</w:t>
      </w:r>
      <w:r>
        <w:rPr>
          <w:rFonts w:ascii="Times New Roman" w:eastAsia="Times New Roman"/>
          <w:spacing w:val="-1"/>
        </w:rPr>
        <w:t>De</w:t>
      </w:r>
      <w:r>
        <w:rPr>
          <w:rFonts w:ascii="Times New Roman" w:eastAsia="Times New Roman"/>
        </w:rPr>
        <w:t>t</w:t>
      </w:r>
      <w:r>
        <w:rPr>
          <w:rFonts w:ascii="Times New Roman" w:eastAsia="Times New Roman"/>
          <w:spacing w:val="-1"/>
        </w:rPr>
        <w:t>ec</w:t>
      </w:r>
      <w:r>
        <w:rPr>
          <w:rFonts w:ascii="Times New Roman" w:eastAsia="Times New Roman"/>
        </w:rPr>
        <w:t>ti</w:t>
      </w:r>
      <w:r>
        <w:rPr>
          <w:rFonts w:ascii="Times New Roman" w:eastAsia="Times New Roman"/>
          <w:spacing w:val="1"/>
        </w:rPr>
        <w:t>o</w:t>
      </w:r>
      <w:r>
        <w:rPr>
          <w:rFonts w:ascii="Times New Roman" w:eastAsia="Times New Roman"/>
        </w:rPr>
        <w:t>n</w:t>
      </w:r>
      <w:r>
        <w:rPr>
          <w:rFonts w:ascii="Times New Roman" w:eastAsia="Times New Roman"/>
          <w:spacing w:val="1"/>
        </w:rPr>
        <w:t> </w:t>
      </w:r>
      <w:r>
        <w:rPr>
          <w:rFonts w:ascii="Times New Roman" w:eastAsia="Times New Roman"/>
          <w:spacing w:val="-3"/>
        </w:rPr>
        <w:t>f</w:t>
      </w:r>
      <w:r>
        <w:rPr>
          <w:rFonts w:ascii="Times New Roman" w:eastAsia="Times New Roman"/>
          <w:spacing w:val="1"/>
        </w:rPr>
        <w:t>o</w:t>
      </w:r>
      <w:r>
        <w:rPr>
          <w:rFonts w:ascii="Times New Roman" w:eastAsia="Times New Roman"/>
        </w:rPr>
        <w:t>r</w:t>
      </w:r>
      <w:r>
        <w:rPr>
          <w:rFonts w:ascii="Times New Roman" w:eastAsia="Times New Roman"/>
          <w:spacing w:val="-1"/>
        </w:rPr>
        <w:t>ma</w:t>
      </w:r>
      <w:r>
        <w:rPr>
          <w:rFonts w:ascii="Times New Roman" w:eastAsia="Times New Roman"/>
        </w:rPr>
        <w:t>t</w:t>
      </w:r>
      <w:r>
        <w:rPr>
          <w:rFonts w:ascii="Times New Roman" w:eastAsia="Times New Roman"/>
          <w:spacing w:val="-7"/>
        </w:rPr>
        <w:t> </w:t>
      </w:r>
      <w:r>
        <w:rPr>
          <w:spacing w:val="5"/>
        </w:rPr>
        <w:t>下拉菜单中选择</w:t>
      </w:r>
      <w:r>
        <w:rPr>
          <w:rFonts w:ascii="Times New Roman" w:eastAsia="Times New Roman"/>
          <w:spacing w:val="-1"/>
        </w:rPr>
        <w:t>D</w:t>
      </w:r>
      <w:r>
        <w:rPr>
          <w:rFonts w:ascii="Times New Roman" w:eastAsia="Times New Roman"/>
          <w:spacing w:val="1"/>
        </w:rPr>
        <w:t>u</w:t>
      </w:r>
      <w:r>
        <w:rPr>
          <w:rFonts w:ascii="Times New Roman" w:eastAsia="Times New Roman"/>
          <w:spacing w:val="-1"/>
        </w:rPr>
        <w:t>a</w:t>
      </w:r>
      <w:r>
        <w:rPr>
          <w:rFonts w:ascii="Times New Roman" w:eastAsia="Times New Roman"/>
        </w:rPr>
        <w:t>l</w:t>
      </w:r>
      <w:r>
        <w:rPr>
          <w:rFonts w:ascii="Times New Roman" w:eastAsia="Times New Roman"/>
          <w:spacing w:val="1"/>
        </w:rPr>
        <w:t> </w:t>
      </w:r>
      <w:r>
        <w:rPr>
          <w:rFonts w:ascii="Times New Roman" w:eastAsia="Times New Roman"/>
          <w:spacing w:val="-1"/>
        </w:rPr>
        <w:t>C</w:t>
      </w:r>
      <w:r>
        <w:rPr>
          <w:rFonts w:ascii="Times New Roman" w:eastAsia="Times New Roman"/>
          <w:spacing w:val="1"/>
        </w:rPr>
        <w:t>o</w:t>
      </w:r>
      <w:r>
        <w:rPr>
          <w:rFonts w:ascii="Times New Roman" w:eastAsia="Times New Roman"/>
        </w:rPr>
        <w:t>l</w:t>
      </w:r>
      <w:r>
        <w:rPr>
          <w:rFonts w:ascii="Times New Roman" w:eastAsia="Times New Roman"/>
          <w:spacing w:val="-2"/>
        </w:rPr>
        <w:t>o</w:t>
      </w:r>
      <w:r>
        <w:rPr>
          <w:rFonts w:ascii="Times New Roman" w:eastAsia="Times New Roman"/>
        </w:rPr>
        <w:t>r </w:t>
      </w:r>
      <w:r>
        <w:rPr>
          <w:rFonts w:ascii="Times New Roman" w:eastAsia="Times New Roman"/>
          <w:spacing w:val="-1"/>
        </w:rPr>
        <w:t>H</w:t>
      </w:r>
      <w:r>
        <w:rPr>
          <w:rFonts w:ascii="Times New Roman" w:eastAsia="Times New Roman"/>
          <w:spacing w:val="-2"/>
        </w:rPr>
        <w:t>y</w:t>
      </w:r>
      <w:r>
        <w:rPr>
          <w:rFonts w:ascii="Times New Roman" w:eastAsia="Times New Roman"/>
          <w:spacing w:val="1"/>
        </w:rPr>
        <w:t>d</w:t>
      </w:r>
      <w:r>
        <w:rPr>
          <w:rFonts w:ascii="Times New Roman" w:eastAsia="Times New Roman"/>
        </w:rPr>
        <w:t>r</w:t>
      </w:r>
      <w:r>
        <w:rPr>
          <w:rFonts w:ascii="Times New Roman" w:eastAsia="Times New Roman"/>
          <w:spacing w:val="1"/>
        </w:rPr>
        <w:t>o</w:t>
      </w:r>
      <w:r>
        <w:rPr>
          <w:rFonts w:ascii="Times New Roman" w:eastAsia="Times New Roman"/>
        </w:rPr>
        <w:t>l</w:t>
      </w:r>
      <w:r>
        <w:rPr>
          <w:rFonts w:ascii="Times New Roman" w:eastAsia="Times New Roman"/>
          <w:spacing w:val="-4"/>
        </w:rPr>
        <w:t>y</w:t>
      </w:r>
      <w:r>
        <w:rPr>
          <w:rFonts w:ascii="Times New Roman" w:eastAsia="Times New Roman"/>
          <w:spacing w:val="1"/>
        </w:rPr>
        <w:t>s</w:t>
      </w:r>
      <w:r>
        <w:rPr>
          <w:rFonts w:ascii="Times New Roman" w:eastAsia="Times New Roman"/>
        </w:rPr>
        <w:t>is</w:t>
      </w:r>
      <w:r>
        <w:rPr>
          <w:rFonts w:ascii="Times New Roman" w:eastAsia="Times New Roman"/>
          <w:spacing w:val="2"/>
        </w:rPr>
        <w:t> </w:t>
      </w:r>
      <w:r>
        <w:rPr>
          <w:rFonts w:ascii="Times New Roman" w:eastAsia="Times New Roman"/>
        </w:rPr>
        <w:t>Pr</w:t>
      </w:r>
      <w:r>
        <w:rPr>
          <w:rFonts w:ascii="Times New Roman" w:eastAsia="Times New Roman"/>
          <w:spacing w:val="1"/>
        </w:rPr>
        <w:t>o</w:t>
      </w:r>
      <w:r>
        <w:rPr>
          <w:rFonts w:ascii="Times New Roman" w:eastAsia="Times New Roman"/>
          <w:spacing w:val="-2"/>
        </w:rPr>
        <w:t>b</w:t>
      </w:r>
      <w:r>
        <w:rPr>
          <w:rFonts w:ascii="Times New Roman" w:eastAsia="Times New Roman"/>
          <w:spacing w:val="-1"/>
        </w:rPr>
        <w:t>e</w:t>
      </w:r>
      <w:r>
        <w:rPr>
          <w:rFonts w:ascii="Times New Roman" w:eastAsia="Times New Roman"/>
        </w:rPr>
        <w:t>/</w:t>
      </w:r>
      <w:r>
        <w:rPr>
          <w:rFonts w:ascii="Times New Roman" w:eastAsia="Times New Roman"/>
          <w:spacing w:val="-1"/>
        </w:rPr>
        <w:t>U</w:t>
      </w:r>
      <w:r>
        <w:rPr>
          <w:rFonts w:ascii="Times New Roman" w:eastAsia="Times New Roman"/>
        </w:rPr>
        <w:t>PL</w:t>
      </w:r>
      <w:r>
        <w:rPr>
          <w:rFonts w:ascii="Times New Roman" w:eastAsia="Times New Roman"/>
          <w:spacing w:val="-7"/>
        </w:rPr>
        <w:t> </w:t>
      </w:r>
      <w:r>
        <w:rPr>
          <w:rFonts w:ascii="Times New Roman" w:eastAsia="Times New Roman"/>
        </w:rPr>
        <w:t>Pr</w:t>
      </w:r>
      <w:r>
        <w:rPr>
          <w:rFonts w:ascii="Times New Roman" w:eastAsia="Times New Roman"/>
          <w:spacing w:val="1"/>
        </w:rPr>
        <w:t>o</w:t>
      </w:r>
      <w:r>
        <w:rPr>
          <w:rFonts w:ascii="Times New Roman" w:eastAsia="Times New Roman"/>
          <w:spacing w:val="-2"/>
        </w:rPr>
        <w:t>b</w:t>
      </w:r>
      <w:r>
        <w:rPr>
          <w:rFonts w:ascii="Times New Roman" w:eastAsia="Times New Roman"/>
          <w:spacing w:val="-1"/>
        </w:rPr>
        <w:t>e</w:t>
      </w:r>
      <w:r>
        <w:rPr>
          <w:spacing w:val="-48"/>
        </w:rPr>
        <w:t>，在 </w:t>
      </w:r>
      <w:r>
        <w:rPr>
          <w:rFonts w:ascii="Times New Roman" w:eastAsia="Times New Roman"/>
          <w:spacing w:val="-1"/>
        </w:rPr>
        <w:t>C</w:t>
      </w:r>
      <w:r>
        <w:rPr>
          <w:rFonts w:ascii="Times New Roman" w:eastAsia="Times New Roman"/>
          <w:spacing w:val="1"/>
        </w:rPr>
        <w:t>u</w:t>
      </w:r>
      <w:r>
        <w:rPr>
          <w:rFonts w:ascii="Times New Roman" w:eastAsia="Times New Roman"/>
          <w:spacing w:val="-1"/>
        </w:rPr>
        <w:t>s</w:t>
      </w:r>
      <w:r>
        <w:rPr>
          <w:rFonts w:ascii="Times New Roman" w:eastAsia="Times New Roman"/>
        </w:rPr>
        <w:t>t</w:t>
      </w:r>
      <w:r>
        <w:rPr>
          <w:rFonts w:ascii="Times New Roman" w:eastAsia="Times New Roman"/>
          <w:spacing w:val="1"/>
        </w:rPr>
        <w:t>o</w:t>
      </w:r>
      <w:r>
        <w:rPr>
          <w:rFonts w:ascii="Times New Roman" w:eastAsia="Times New Roman"/>
          <w:spacing w:val="-4"/>
        </w:rPr>
        <w:t>m</w:t>
      </w:r>
      <w:r>
        <w:rPr>
          <w:rFonts w:ascii="Times New Roman" w:eastAsia="Times New Roman"/>
        </w:rPr>
        <w:t>i</w:t>
      </w:r>
      <w:r>
        <w:rPr>
          <w:rFonts w:ascii="Times New Roman" w:eastAsia="Times New Roman"/>
          <w:spacing w:val="1"/>
        </w:rPr>
        <w:t>z</w:t>
      </w:r>
      <w:r>
        <w:rPr>
          <w:rFonts w:ascii="Times New Roman" w:eastAsia="Times New Roman"/>
        </w:rPr>
        <w:t>e</w:t>
      </w:r>
    </w:p>
    <w:p>
      <w:pPr>
        <w:pStyle w:val="BodyText"/>
        <w:ind w:left="0" w:right="304"/>
        <w:jc w:val="right"/>
      </w:pPr>
      <w:r>
        <w:rPr/>
        <w:t>下拉菜单中：</w:t>
      </w:r>
      <w:r>
        <w:rPr>
          <w:rFonts w:ascii="Times New Roman" w:hAnsi="Times New Roman" w:eastAsia="Times New Roman"/>
        </w:rPr>
        <w:t>1</w:t>
      </w:r>
      <w:r>
        <w:rPr/>
        <w:t>）选择 </w:t>
      </w:r>
      <w:r>
        <w:rPr>
          <w:rFonts w:ascii="Times New Roman" w:hAnsi="Times New Roman" w:eastAsia="Times New Roman"/>
        </w:rPr>
        <w:t>FAM </w:t>
      </w:r>
      <w:r>
        <w:rPr/>
        <w:t>通道检测</w:t>
      </w:r>
      <w:r>
        <w:rPr>
          <w:rFonts w:ascii="Times New Roman" w:hAnsi="Times New Roman" w:eastAsia="Times New Roman"/>
        </w:rPr>
        <w:t>HCV-RNA</w:t>
      </w:r>
      <w:r>
        <w:rPr/>
        <w:t>；</w:t>
      </w:r>
      <w:r>
        <w:rPr>
          <w:rFonts w:ascii="Times New Roman" w:hAnsi="Times New Roman" w:eastAsia="Times New Roman"/>
        </w:rPr>
        <w:t>2</w:t>
      </w:r>
      <w:r>
        <w:rPr/>
        <w:t>）选择 </w:t>
      </w:r>
      <w:r>
        <w:rPr>
          <w:rFonts w:ascii="Times New Roman" w:hAnsi="Times New Roman" w:eastAsia="Times New Roman"/>
        </w:rPr>
        <w:t>VIC/HEX /Yellow 555 </w:t>
      </w:r>
      <w:r>
        <w:rPr/>
        <w:t>通道检测内标。设置</w:t>
      </w:r>
      <w:r>
        <w:rPr>
          <w:rFonts w:ascii="Times New Roman" w:hAnsi="Times New Roman" w:eastAsia="Times New Roman"/>
        </w:rPr>
        <w:t>Reaction Volume </w:t>
      </w:r>
      <w:r>
        <w:rPr/>
        <w:t>为 </w:t>
      </w:r>
      <w:r>
        <w:rPr>
          <w:rFonts w:ascii="Times New Roman" w:hAnsi="Times New Roman" w:eastAsia="Times New Roman"/>
        </w:rPr>
        <w:t>50μL</w:t>
      </w:r>
      <w:r>
        <w:rPr/>
        <w:t>。</w:t>
      </w:r>
    </w:p>
    <w:p>
      <w:pPr>
        <w:pStyle w:val="ListParagraph"/>
        <w:numPr>
          <w:ilvl w:val="1"/>
          <w:numId w:val="3"/>
        </w:numPr>
        <w:tabs>
          <w:tab w:pos="432" w:val="left" w:leader="none"/>
        </w:tabs>
        <w:spacing w:line="215" w:lineRule="exact" w:before="0" w:after="0"/>
        <w:ind w:left="432" w:right="0" w:hanging="305"/>
        <w:jc w:val="left"/>
        <w:rPr>
          <w:sz w:val="18"/>
        </w:rPr>
      </w:pPr>
      <w:r>
        <w:rPr>
          <w:spacing w:val="-5"/>
          <w:sz w:val="18"/>
        </w:rPr>
        <w:t>循环参数设定：</w:t>
      </w:r>
    </w:p>
    <w:tbl>
      <w:tblPr>
        <w:tblW w:w="0" w:type="auto"/>
        <w:jc w:val="left"/>
        <w:tblInd w:w="17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539"/>
        <w:gridCol w:w="2833"/>
        <w:gridCol w:w="898"/>
        <w:gridCol w:w="1116"/>
        <w:gridCol w:w="1440"/>
      </w:tblGrid>
      <w:tr>
        <w:trPr>
          <w:trHeight w:val="200" w:hRule="atLeast"/>
        </w:trPr>
        <w:tc>
          <w:tcPr>
            <w:tcW w:w="3372" w:type="dxa"/>
            <w:gridSpan w:val="2"/>
          </w:tcPr>
          <w:p>
            <w:pPr>
              <w:pStyle w:val="TableParagraph"/>
              <w:ind w:left="1486" w:right="1476"/>
              <w:rPr>
                <w:sz w:val="18"/>
              </w:rPr>
            </w:pPr>
            <w:r>
              <w:rPr>
                <w:sz w:val="18"/>
              </w:rPr>
              <w:t>步骤</w:t>
            </w:r>
          </w:p>
        </w:tc>
        <w:tc>
          <w:tcPr>
            <w:tcW w:w="898" w:type="dxa"/>
          </w:tcPr>
          <w:p>
            <w:pPr>
              <w:pStyle w:val="TableParagraph"/>
              <w:ind w:left="247" w:right="235"/>
              <w:rPr>
                <w:sz w:val="18"/>
              </w:rPr>
            </w:pPr>
            <w:r>
              <w:rPr>
                <w:sz w:val="18"/>
              </w:rPr>
              <w:t>温度</w:t>
            </w:r>
          </w:p>
        </w:tc>
        <w:tc>
          <w:tcPr>
            <w:tcW w:w="1116" w:type="dxa"/>
          </w:tcPr>
          <w:p>
            <w:pPr>
              <w:pStyle w:val="TableParagraph"/>
              <w:ind w:left="246" w:right="232"/>
              <w:rPr>
                <w:sz w:val="18"/>
              </w:rPr>
            </w:pPr>
            <w:r>
              <w:rPr>
                <w:sz w:val="18"/>
              </w:rPr>
              <w:t>时间</w:t>
            </w:r>
          </w:p>
        </w:tc>
        <w:tc>
          <w:tcPr>
            <w:tcW w:w="1440" w:type="dxa"/>
          </w:tcPr>
          <w:p>
            <w:pPr>
              <w:pStyle w:val="TableParagraph"/>
              <w:ind w:left="430" w:right="419"/>
              <w:rPr>
                <w:sz w:val="18"/>
              </w:rPr>
            </w:pPr>
            <w:r>
              <w:rPr>
                <w:sz w:val="18"/>
              </w:rPr>
              <w:t>循环数</w:t>
            </w:r>
          </w:p>
        </w:tc>
      </w:tr>
      <w:tr>
        <w:trPr>
          <w:trHeight w:val="200" w:hRule="atLeast"/>
        </w:trPr>
        <w:tc>
          <w:tcPr>
            <w:tcW w:w="539" w:type="dxa"/>
          </w:tcPr>
          <w:p>
            <w:pPr>
              <w:pStyle w:val="TableParagraph"/>
              <w:ind w:left="0" w:right="212"/>
              <w:jc w:val="right"/>
              <w:rPr>
                <w:rFonts w:ascii="Times New Roman"/>
                <w:sz w:val="18"/>
              </w:rPr>
            </w:pPr>
            <w:r>
              <w:rPr>
                <w:rFonts w:ascii="Times New Roman"/>
                <w:sz w:val="18"/>
              </w:rPr>
              <w:t>1</w:t>
            </w:r>
          </w:p>
        </w:tc>
        <w:tc>
          <w:tcPr>
            <w:tcW w:w="2833" w:type="dxa"/>
          </w:tcPr>
          <w:p>
            <w:pPr>
              <w:pStyle w:val="TableParagraph"/>
              <w:ind w:left="107"/>
              <w:jc w:val="left"/>
              <w:rPr>
                <w:sz w:val="18"/>
              </w:rPr>
            </w:pPr>
            <w:r>
              <w:rPr>
                <w:sz w:val="18"/>
              </w:rPr>
              <w:t>预变性和酶激活</w:t>
            </w:r>
          </w:p>
        </w:tc>
        <w:tc>
          <w:tcPr>
            <w:tcW w:w="898" w:type="dxa"/>
          </w:tcPr>
          <w:p>
            <w:pPr>
              <w:pStyle w:val="TableParagraph"/>
              <w:ind w:left="247" w:right="235"/>
              <w:rPr>
                <w:sz w:val="18"/>
              </w:rPr>
            </w:pPr>
            <w:r>
              <w:rPr>
                <w:rFonts w:ascii="Times New Roman" w:hAnsi="Times New Roman"/>
                <w:sz w:val="18"/>
              </w:rPr>
              <w:t>95</w:t>
            </w:r>
            <w:r>
              <w:rPr>
                <w:sz w:val="18"/>
              </w:rPr>
              <w:t>℃</w:t>
            </w:r>
          </w:p>
        </w:tc>
        <w:tc>
          <w:tcPr>
            <w:tcW w:w="1116" w:type="dxa"/>
          </w:tcPr>
          <w:p>
            <w:pPr>
              <w:pStyle w:val="TableParagraph"/>
              <w:ind w:left="246" w:right="235"/>
              <w:rPr>
                <w:sz w:val="18"/>
              </w:rPr>
            </w:pPr>
            <w:r>
              <w:rPr>
                <w:rFonts w:ascii="Times New Roman" w:eastAsia="Times New Roman"/>
                <w:sz w:val="18"/>
              </w:rPr>
              <w:t>1 </w:t>
            </w:r>
            <w:r>
              <w:rPr>
                <w:sz w:val="18"/>
              </w:rPr>
              <w:t>分钟</w:t>
            </w:r>
          </w:p>
        </w:tc>
        <w:tc>
          <w:tcPr>
            <w:tcW w:w="1440" w:type="dxa"/>
          </w:tcPr>
          <w:p>
            <w:pPr>
              <w:pStyle w:val="TableParagraph"/>
              <w:ind w:left="10"/>
              <w:rPr>
                <w:rFonts w:ascii="Times New Roman"/>
                <w:sz w:val="18"/>
              </w:rPr>
            </w:pPr>
            <w:r>
              <w:rPr>
                <w:rFonts w:ascii="Times New Roman"/>
                <w:sz w:val="18"/>
              </w:rPr>
              <w:t>1</w:t>
            </w:r>
          </w:p>
        </w:tc>
      </w:tr>
      <w:tr>
        <w:trPr>
          <w:trHeight w:val="200" w:hRule="atLeast"/>
        </w:trPr>
        <w:tc>
          <w:tcPr>
            <w:tcW w:w="539" w:type="dxa"/>
          </w:tcPr>
          <w:p>
            <w:pPr>
              <w:pStyle w:val="TableParagraph"/>
              <w:ind w:left="0" w:right="212"/>
              <w:jc w:val="right"/>
              <w:rPr>
                <w:rFonts w:ascii="Times New Roman"/>
                <w:sz w:val="18"/>
              </w:rPr>
            </w:pPr>
            <w:r>
              <w:rPr>
                <w:rFonts w:ascii="Times New Roman"/>
                <w:sz w:val="18"/>
              </w:rPr>
              <w:t>2</w:t>
            </w:r>
          </w:p>
        </w:tc>
        <w:tc>
          <w:tcPr>
            <w:tcW w:w="2833" w:type="dxa"/>
          </w:tcPr>
          <w:p>
            <w:pPr>
              <w:pStyle w:val="TableParagraph"/>
              <w:ind w:left="107"/>
              <w:jc w:val="left"/>
              <w:rPr>
                <w:sz w:val="18"/>
              </w:rPr>
            </w:pPr>
            <w:r>
              <w:rPr>
                <w:sz w:val="18"/>
              </w:rPr>
              <w:t>逆转录</w:t>
            </w:r>
          </w:p>
        </w:tc>
        <w:tc>
          <w:tcPr>
            <w:tcW w:w="898" w:type="dxa"/>
          </w:tcPr>
          <w:p>
            <w:pPr>
              <w:pStyle w:val="TableParagraph"/>
              <w:ind w:left="247" w:right="235"/>
              <w:rPr>
                <w:sz w:val="18"/>
              </w:rPr>
            </w:pPr>
            <w:r>
              <w:rPr>
                <w:rFonts w:ascii="Times New Roman" w:hAnsi="Times New Roman"/>
                <w:sz w:val="18"/>
              </w:rPr>
              <w:t>60</w:t>
            </w:r>
            <w:r>
              <w:rPr>
                <w:sz w:val="18"/>
              </w:rPr>
              <w:t>℃</w:t>
            </w:r>
          </w:p>
        </w:tc>
        <w:tc>
          <w:tcPr>
            <w:tcW w:w="1116" w:type="dxa"/>
          </w:tcPr>
          <w:p>
            <w:pPr>
              <w:pStyle w:val="TableParagraph"/>
              <w:ind w:left="246" w:right="235"/>
              <w:rPr>
                <w:sz w:val="18"/>
              </w:rPr>
            </w:pPr>
            <w:r>
              <w:rPr>
                <w:rFonts w:ascii="Times New Roman" w:eastAsia="Times New Roman"/>
                <w:sz w:val="18"/>
              </w:rPr>
              <w:t>30 </w:t>
            </w:r>
            <w:r>
              <w:rPr>
                <w:sz w:val="18"/>
              </w:rPr>
              <w:t>分钟</w:t>
            </w:r>
          </w:p>
        </w:tc>
        <w:tc>
          <w:tcPr>
            <w:tcW w:w="1440" w:type="dxa"/>
          </w:tcPr>
          <w:p>
            <w:pPr>
              <w:pStyle w:val="TableParagraph"/>
              <w:ind w:left="10"/>
              <w:rPr>
                <w:rFonts w:ascii="Times New Roman"/>
                <w:sz w:val="18"/>
              </w:rPr>
            </w:pPr>
            <w:r>
              <w:rPr>
                <w:rFonts w:ascii="Times New Roman"/>
                <w:sz w:val="18"/>
              </w:rPr>
              <w:t>1</w:t>
            </w:r>
          </w:p>
        </w:tc>
      </w:tr>
      <w:tr>
        <w:trPr>
          <w:trHeight w:val="200" w:hRule="atLeast"/>
        </w:trPr>
        <w:tc>
          <w:tcPr>
            <w:tcW w:w="539" w:type="dxa"/>
          </w:tcPr>
          <w:p>
            <w:pPr>
              <w:pStyle w:val="TableParagraph"/>
              <w:ind w:left="0" w:right="212"/>
              <w:jc w:val="right"/>
              <w:rPr>
                <w:rFonts w:ascii="Times New Roman"/>
                <w:sz w:val="18"/>
              </w:rPr>
            </w:pPr>
            <w:r>
              <w:rPr>
                <w:rFonts w:ascii="Times New Roman"/>
                <w:sz w:val="18"/>
              </w:rPr>
              <w:t>3</w:t>
            </w:r>
          </w:p>
        </w:tc>
        <w:tc>
          <w:tcPr>
            <w:tcW w:w="2833" w:type="dxa"/>
          </w:tcPr>
          <w:p>
            <w:pPr>
              <w:pStyle w:val="TableParagraph"/>
              <w:ind w:left="107"/>
              <w:jc w:val="left"/>
              <w:rPr>
                <w:sz w:val="18"/>
              </w:rPr>
            </w:pPr>
            <w:r>
              <w:rPr>
                <w:rFonts w:ascii="Times New Roman" w:eastAsia="Times New Roman"/>
                <w:sz w:val="18"/>
              </w:rPr>
              <w:t>cDNA </w:t>
            </w:r>
            <w:r>
              <w:rPr>
                <w:sz w:val="18"/>
              </w:rPr>
              <w:t>预变性</w:t>
            </w:r>
          </w:p>
        </w:tc>
        <w:tc>
          <w:tcPr>
            <w:tcW w:w="898" w:type="dxa"/>
          </w:tcPr>
          <w:p>
            <w:pPr>
              <w:pStyle w:val="TableParagraph"/>
              <w:ind w:left="247" w:right="235"/>
              <w:rPr>
                <w:sz w:val="18"/>
              </w:rPr>
            </w:pPr>
            <w:r>
              <w:rPr>
                <w:rFonts w:ascii="Times New Roman" w:hAnsi="Times New Roman"/>
                <w:sz w:val="18"/>
              </w:rPr>
              <w:t>95</w:t>
            </w:r>
            <w:r>
              <w:rPr>
                <w:sz w:val="18"/>
              </w:rPr>
              <w:t>℃</w:t>
            </w:r>
          </w:p>
        </w:tc>
        <w:tc>
          <w:tcPr>
            <w:tcW w:w="1116" w:type="dxa"/>
          </w:tcPr>
          <w:p>
            <w:pPr>
              <w:pStyle w:val="TableParagraph"/>
              <w:ind w:left="246" w:right="235"/>
              <w:rPr>
                <w:sz w:val="18"/>
              </w:rPr>
            </w:pPr>
            <w:r>
              <w:rPr>
                <w:rFonts w:ascii="Times New Roman" w:eastAsia="Times New Roman"/>
                <w:sz w:val="18"/>
              </w:rPr>
              <w:t>1 </w:t>
            </w:r>
            <w:r>
              <w:rPr>
                <w:sz w:val="18"/>
              </w:rPr>
              <w:t>分钟</w:t>
            </w:r>
          </w:p>
        </w:tc>
        <w:tc>
          <w:tcPr>
            <w:tcW w:w="1440" w:type="dxa"/>
          </w:tcPr>
          <w:p>
            <w:pPr>
              <w:pStyle w:val="TableParagraph"/>
              <w:ind w:left="10"/>
              <w:rPr>
                <w:rFonts w:ascii="Times New Roman"/>
                <w:sz w:val="18"/>
              </w:rPr>
            </w:pPr>
            <w:r>
              <w:rPr>
                <w:rFonts w:ascii="Times New Roman"/>
                <w:sz w:val="18"/>
              </w:rPr>
              <w:t>1</w:t>
            </w:r>
          </w:p>
        </w:tc>
      </w:tr>
      <w:tr>
        <w:trPr>
          <w:trHeight w:val="197" w:hRule="atLeast"/>
        </w:trPr>
        <w:tc>
          <w:tcPr>
            <w:tcW w:w="539" w:type="dxa"/>
          </w:tcPr>
          <w:p>
            <w:pPr>
              <w:pStyle w:val="TableParagraph"/>
              <w:spacing w:line="178" w:lineRule="exact"/>
              <w:ind w:left="0" w:right="212"/>
              <w:jc w:val="right"/>
              <w:rPr>
                <w:rFonts w:ascii="Times New Roman"/>
                <w:sz w:val="18"/>
              </w:rPr>
            </w:pPr>
            <w:r>
              <w:rPr>
                <w:rFonts w:ascii="Times New Roman"/>
                <w:sz w:val="18"/>
              </w:rPr>
              <w:t>4</w:t>
            </w:r>
          </w:p>
        </w:tc>
        <w:tc>
          <w:tcPr>
            <w:tcW w:w="2833" w:type="dxa"/>
          </w:tcPr>
          <w:p>
            <w:pPr>
              <w:pStyle w:val="TableParagraph"/>
              <w:spacing w:line="178" w:lineRule="exact"/>
              <w:ind w:left="107"/>
              <w:jc w:val="left"/>
              <w:rPr>
                <w:sz w:val="18"/>
              </w:rPr>
            </w:pPr>
            <w:r>
              <w:rPr>
                <w:sz w:val="18"/>
              </w:rPr>
              <w:t>变性</w:t>
            </w:r>
          </w:p>
        </w:tc>
        <w:tc>
          <w:tcPr>
            <w:tcW w:w="898" w:type="dxa"/>
          </w:tcPr>
          <w:p>
            <w:pPr>
              <w:pStyle w:val="TableParagraph"/>
              <w:spacing w:line="178" w:lineRule="exact"/>
              <w:ind w:left="247" w:right="235"/>
              <w:rPr>
                <w:sz w:val="18"/>
              </w:rPr>
            </w:pPr>
            <w:r>
              <w:rPr>
                <w:rFonts w:ascii="Times New Roman" w:hAnsi="Times New Roman"/>
                <w:sz w:val="18"/>
              </w:rPr>
              <w:t>95</w:t>
            </w:r>
            <w:r>
              <w:rPr>
                <w:sz w:val="18"/>
              </w:rPr>
              <w:t>℃</w:t>
            </w:r>
          </w:p>
        </w:tc>
        <w:tc>
          <w:tcPr>
            <w:tcW w:w="1116" w:type="dxa"/>
          </w:tcPr>
          <w:p>
            <w:pPr>
              <w:pStyle w:val="TableParagraph"/>
              <w:spacing w:line="178" w:lineRule="exact"/>
              <w:ind w:left="246" w:right="232"/>
              <w:rPr>
                <w:sz w:val="18"/>
              </w:rPr>
            </w:pPr>
            <w:r>
              <w:rPr>
                <w:rFonts w:ascii="Times New Roman" w:eastAsia="Times New Roman"/>
                <w:sz w:val="18"/>
              </w:rPr>
              <w:t>15 </w:t>
            </w:r>
            <w:r>
              <w:rPr>
                <w:sz w:val="18"/>
              </w:rPr>
              <w:t>秒</w:t>
            </w:r>
          </w:p>
        </w:tc>
        <w:tc>
          <w:tcPr>
            <w:tcW w:w="1440" w:type="dxa"/>
          </w:tcPr>
          <w:p>
            <w:pPr>
              <w:pStyle w:val="TableParagraph"/>
              <w:spacing w:line="178" w:lineRule="exact"/>
              <w:ind w:left="430" w:right="417"/>
              <w:rPr>
                <w:rFonts w:ascii="Times New Roman"/>
                <w:sz w:val="18"/>
              </w:rPr>
            </w:pPr>
            <w:r>
              <w:rPr>
                <w:rFonts w:ascii="Times New Roman"/>
                <w:sz w:val="18"/>
              </w:rPr>
              <w:t>45</w:t>
            </w:r>
          </w:p>
        </w:tc>
      </w:tr>
    </w:tbl>
    <w:p>
      <w:pPr>
        <w:spacing w:after="0" w:line="178" w:lineRule="exact"/>
        <w:rPr>
          <w:rFonts w:ascii="Times New Roman"/>
          <w:sz w:val="18"/>
        </w:rPr>
        <w:sectPr>
          <w:type w:val="continuous"/>
          <w:pgSz w:w="11910" w:h="16840"/>
          <w:pgMar w:top="680" w:bottom="660" w:left="780" w:right="660"/>
        </w:sectPr>
      </w:pPr>
    </w:p>
    <w:tbl>
      <w:tblPr>
        <w:tblW w:w="0" w:type="auto"/>
        <w:jc w:val="left"/>
        <w:tblInd w:w="12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
      <w:tblGrid>
        <w:gridCol w:w="1633"/>
        <w:gridCol w:w="539"/>
        <w:gridCol w:w="2833"/>
        <w:gridCol w:w="898"/>
        <w:gridCol w:w="1116"/>
        <w:gridCol w:w="1440"/>
        <w:gridCol w:w="1633"/>
      </w:tblGrid>
      <w:tr>
        <w:trPr>
          <w:trHeight w:val="197" w:hRule="atLeast"/>
        </w:trPr>
        <w:tc>
          <w:tcPr>
            <w:tcW w:w="1633" w:type="dxa"/>
            <w:vMerge w:val="restart"/>
            <w:tcBorders>
              <w:left w:val="nil"/>
              <w:bottom w:val="nil"/>
              <w:right w:val="single" w:sz="4" w:space="0" w:color="000000"/>
            </w:tcBorders>
          </w:tcPr>
          <w:p>
            <w:pPr>
              <w:pStyle w:val="TableParagraph"/>
              <w:spacing w:line="240" w:lineRule="auto"/>
              <w:ind w:left="0"/>
              <w:jc w:val="left"/>
              <w:rPr>
                <w:rFonts w:ascii="Times New Roman"/>
                <w:sz w:val="18"/>
              </w:rPr>
            </w:pPr>
          </w:p>
        </w:tc>
        <w:tc>
          <w:tcPr>
            <w:tcW w:w="539" w:type="dxa"/>
            <w:tcBorders>
              <w:top w:val="single" w:sz="12" w:space="0" w:color="000000"/>
              <w:left w:val="single" w:sz="4" w:space="0" w:color="000000"/>
              <w:bottom w:val="single" w:sz="4" w:space="0" w:color="000000"/>
              <w:right w:val="single" w:sz="4" w:space="0" w:color="000000"/>
            </w:tcBorders>
          </w:tcPr>
          <w:p>
            <w:pPr>
              <w:pStyle w:val="TableParagraph"/>
              <w:spacing w:line="240" w:lineRule="auto"/>
              <w:ind w:left="0"/>
              <w:jc w:val="left"/>
              <w:rPr>
                <w:rFonts w:ascii="Times New Roman"/>
                <w:sz w:val="12"/>
              </w:rPr>
            </w:pPr>
          </w:p>
        </w:tc>
        <w:tc>
          <w:tcPr>
            <w:tcW w:w="2833" w:type="dxa"/>
            <w:tcBorders>
              <w:top w:val="single" w:sz="12" w:space="0" w:color="000000"/>
              <w:left w:val="single" w:sz="4" w:space="0" w:color="000000"/>
              <w:bottom w:val="single" w:sz="4" w:space="0" w:color="000000"/>
              <w:right w:val="single" w:sz="4" w:space="0" w:color="000000"/>
            </w:tcBorders>
          </w:tcPr>
          <w:p>
            <w:pPr>
              <w:pStyle w:val="TableParagraph"/>
              <w:spacing w:line="178" w:lineRule="exact"/>
              <w:ind w:left="110"/>
              <w:jc w:val="left"/>
              <w:rPr>
                <w:sz w:val="18"/>
              </w:rPr>
            </w:pPr>
            <w:r>
              <w:rPr>
                <w:sz w:val="18"/>
              </w:rPr>
              <w:t>退火，延伸及荧光采集</w:t>
            </w:r>
          </w:p>
        </w:tc>
        <w:tc>
          <w:tcPr>
            <w:tcW w:w="898" w:type="dxa"/>
            <w:tcBorders>
              <w:top w:val="single" w:sz="12" w:space="0" w:color="000000"/>
              <w:left w:val="single" w:sz="4" w:space="0" w:color="000000"/>
              <w:bottom w:val="single" w:sz="4" w:space="0" w:color="000000"/>
              <w:right w:val="single" w:sz="4" w:space="0" w:color="000000"/>
            </w:tcBorders>
          </w:tcPr>
          <w:p>
            <w:pPr>
              <w:pStyle w:val="TableParagraph"/>
              <w:spacing w:line="178" w:lineRule="exact"/>
              <w:ind w:left="250" w:right="233"/>
              <w:rPr>
                <w:sz w:val="18"/>
              </w:rPr>
            </w:pPr>
            <w:r>
              <w:rPr>
                <w:rFonts w:ascii="Times New Roman" w:hAnsi="Times New Roman"/>
                <w:sz w:val="18"/>
              </w:rPr>
              <w:t>60</w:t>
            </w:r>
            <w:r>
              <w:rPr>
                <w:sz w:val="18"/>
              </w:rPr>
              <w:t>℃</w:t>
            </w:r>
          </w:p>
        </w:tc>
        <w:tc>
          <w:tcPr>
            <w:tcW w:w="1116" w:type="dxa"/>
            <w:tcBorders>
              <w:top w:val="single" w:sz="12" w:space="0" w:color="000000"/>
              <w:left w:val="single" w:sz="4" w:space="0" w:color="000000"/>
              <w:bottom w:val="single" w:sz="4" w:space="0" w:color="000000"/>
              <w:right w:val="single" w:sz="4" w:space="0" w:color="000000"/>
            </w:tcBorders>
          </w:tcPr>
          <w:p>
            <w:pPr>
              <w:pStyle w:val="TableParagraph"/>
              <w:spacing w:line="178" w:lineRule="exact"/>
              <w:ind w:left="246" w:right="231"/>
              <w:rPr>
                <w:rFonts w:ascii="Times New Roman" w:eastAsia="Times New Roman"/>
                <w:sz w:val="18"/>
              </w:rPr>
            </w:pPr>
            <w:r>
              <w:rPr>
                <w:rFonts w:ascii="Times New Roman" w:eastAsia="Times New Roman"/>
                <w:sz w:val="18"/>
              </w:rPr>
              <w:t>30 </w:t>
            </w:r>
            <w:r>
              <w:rPr>
                <w:sz w:val="18"/>
              </w:rPr>
              <w:t>秒</w:t>
            </w:r>
            <w:r>
              <w:rPr>
                <w:rFonts w:ascii="Times New Roman" w:eastAsia="Times New Roman"/>
                <w:sz w:val="18"/>
              </w:rPr>
              <w:t>*</w:t>
            </w:r>
          </w:p>
        </w:tc>
        <w:tc>
          <w:tcPr>
            <w:tcW w:w="1440" w:type="dxa"/>
            <w:tcBorders>
              <w:top w:val="single" w:sz="12" w:space="0" w:color="000000"/>
              <w:left w:val="single" w:sz="4" w:space="0" w:color="000000"/>
              <w:bottom w:val="single" w:sz="4" w:space="0" w:color="000000"/>
              <w:right w:val="single" w:sz="4" w:space="0" w:color="000000"/>
            </w:tcBorders>
          </w:tcPr>
          <w:p>
            <w:pPr>
              <w:pStyle w:val="TableParagraph"/>
              <w:spacing w:line="240" w:lineRule="auto"/>
              <w:ind w:left="0"/>
              <w:jc w:val="left"/>
              <w:rPr>
                <w:rFonts w:ascii="Times New Roman"/>
                <w:sz w:val="12"/>
              </w:rPr>
            </w:pPr>
          </w:p>
        </w:tc>
        <w:tc>
          <w:tcPr>
            <w:tcW w:w="1633" w:type="dxa"/>
            <w:vMerge w:val="restart"/>
            <w:tcBorders>
              <w:left w:val="single" w:sz="4" w:space="0" w:color="000000"/>
              <w:bottom w:val="nil"/>
              <w:right w:val="nil"/>
            </w:tcBorders>
          </w:tcPr>
          <w:p>
            <w:pPr>
              <w:pStyle w:val="TableParagraph"/>
              <w:spacing w:line="240" w:lineRule="auto"/>
              <w:ind w:left="0"/>
              <w:jc w:val="left"/>
              <w:rPr>
                <w:rFonts w:ascii="Times New Roman"/>
                <w:sz w:val="18"/>
              </w:rPr>
            </w:pPr>
          </w:p>
        </w:tc>
      </w:tr>
      <w:tr>
        <w:trPr>
          <w:trHeight w:val="200" w:hRule="atLeast"/>
        </w:trPr>
        <w:tc>
          <w:tcPr>
            <w:tcW w:w="1633" w:type="dxa"/>
            <w:vMerge/>
            <w:tcBorders>
              <w:top w:val="nil"/>
              <w:left w:val="nil"/>
              <w:bottom w:val="nil"/>
              <w:right w:val="single" w:sz="4" w:space="0" w:color="000000"/>
            </w:tcBorders>
          </w:tcPr>
          <w:p>
            <w:pPr>
              <w:rPr>
                <w:sz w:val="2"/>
                <w:szCs w:val="2"/>
              </w:rPr>
            </w:pPr>
          </w:p>
        </w:tc>
        <w:tc>
          <w:tcPr>
            <w:tcW w:w="539" w:type="dxa"/>
            <w:tcBorders>
              <w:top w:val="single" w:sz="4" w:space="0" w:color="000000"/>
              <w:left w:val="single" w:sz="4" w:space="0" w:color="000000"/>
              <w:bottom w:val="single" w:sz="4" w:space="0" w:color="000000"/>
              <w:right w:val="single" w:sz="4" w:space="0" w:color="000000"/>
            </w:tcBorders>
          </w:tcPr>
          <w:p>
            <w:pPr>
              <w:pStyle w:val="TableParagraph"/>
              <w:ind w:left="15"/>
              <w:rPr>
                <w:rFonts w:ascii="Times New Roman"/>
                <w:sz w:val="18"/>
              </w:rPr>
            </w:pPr>
            <w:r>
              <w:rPr>
                <w:rFonts w:ascii="Times New Roman"/>
                <w:sz w:val="18"/>
              </w:rPr>
              <w:t>5</w:t>
            </w:r>
          </w:p>
        </w:tc>
        <w:tc>
          <w:tcPr>
            <w:tcW w:w="2833" w:type="dxa"/>
            <w:tcBorders>
              <w:top w:val="single" w:sz="4" w:space="0" w:color="000000"/>
              <w:left w:val="single" w:sz="4" w:space="0" w:color="000000"/>
              <w:bottom w:val="single" w:sz="4" w:space="0" w:color="000000"/>
              <w:right w:val="single" w:sz="4" w:space="0" w:color="000000"/>
            </w:tcBorders>
          </w:tcPr>
          <w:p>
            <w:pPr>
              <w:pStyle w:val="TableParagraph"/>
              <w:ind w:left="110"/>
              <w:jc w:val="left"/>
              <w:rPr>
                <w:sz w:val="18"/>
              </w:rPr>
            </w:pPr>
            <w:r>
              <w:rPr>
                <w:sz w:val="18"/>
              </w:rPr>
              <w:t>仪器冷却</w:t>
            </w:r>
          </w:p>
        </w:tc>
        <w:tc>
          <w:tcPr>
            <w:tcW w:w="898" w:type="dxa"/>
            <w:tcBorders>
              <w:top w:val="single" w:sz="4" w:space="0" w:color="000000"/>
              <w:left w:val="single" w:sz="4" w:space="0" w:color="000000"/>
              <w:bottom w:val="single" w:sz="4" w:space="0" w:color="000000"/>
              <w:right w:val="single" w:sz="4" w:space="0" w:color="000000"/>
            </w:tcBorders>
          </w:tcPr>
          <w:p>
            <w:pPr>
              <w:pStyle w:val="TableParagraph"/>
              <w:ind w:left="250" w:right="233"/>
              <w:rPr>
                <w:sz w:val="18"/>
              </w:rPr>
            </w:pPr>
            <w:r>
              <w:rPr>
                <w:rFonts w:ascii="Times New Roman" w:hAnsi="Times New Roman"/>
                <w:sz w:val="18"/>
              </w:rPr>
              <w:t>37</w:t>
            </w:r>
            <w:r>
              <w:rPr>
                <w:sz w:val="18"/>
              </w:rPr>
              <w:t>℃</w:t>
            </w:r>
          </w:p>
        </w:tc>
        <w:tc>
          <w:tcPr>
            <w:tcW w:w="1116" w:type="dxa"/>
            <w:tcBorders>
              <w:top w:val="single" w:sz="4" w:space="0" w:color="000000"/>
              <w:left w:val="single" w:sz="4" w:space="0" w:color="000000"/>
              <w:bottom w:val="single" w:sz="4" w:space="0" w:color="000000"/>
              <w:right w:val="single" w:sz="4" w:space="0" w:color="000000"/>
            </w:tcBorders>
          </w:tcPr>
          <w:p>
            <w:pPr>
              <w:pStyle w:val="TableParagraph"/>
              <w:ind w:left="246" w:right="227"/>
              <w:rPr>
                <w:sz w:val="18"/>
              </w:rPr>
            </w:pPr>
            <w:r>
              <w:rPr>
                <w:rFonts w:ascii="Times New Roman" w:eastAsia="Times New Roman"/>
                <w:sz w:val="18"/>
              </w:rPr>
              <w:t>10 </w:t>
            </w:r>
            <w:r>
              <w:rPr>
                <w:sz w:val="18"/>
              </w:rPr>
              <w:t>秒</w:t>
            </w:r>
          </w:p>
        </w:tc>
        <w:tc>
          <w:tcPr>
            <w:tcW w:w="1440" w:type="dxa"/>
            <w:tcBorders>
              <w:top w:val="single" w:sz="4" w:space="0" w:color="000000"/>
              <w:left w:val="single" w:sz="4" w:space="0" w:color="000000"/>
              <w:bottom w:val="single" w:sz="4" w:space="0" w:color="000000"/>
              <w:right w:val="single" w:sz="4" w:space="0" w:color="000000"/>
            </w:tcBorders>
          </w:tcPr>
          <w:p>
            <w:pPr>
              <w:pStyle w:val="TableParagraph"/>
              <w:ind w:left="15"/>
              <w:rPr>
                <w:rFonts w:ascii="Times New Roman"/>
                <w:sz w:val="18"/>
              </w:rPr>
            </w:pPr>
            <w:r>
              <w:rPr>
                <w:rFonts w:ascii="Times New Roman"/>
                <w:sz w:val="18"/>
              </w:rPr>
              <w:t>1</w:t>
            </w:r>
          </w:p>
        </w:tc>
        <w:tc>
          <w:tcPr>
            <w:tcW w:w="1633" w:type="dxa"/>
            <w:vMerge/>
            <w:tcBorders>
              <w:top w:val="nil"/>
              <w:left w:val="single" w:sz="4" w:space="0" w:color="000000"/>
              <w:bottom w:val="nil"/>
              <w:right w:val="nil"/>
            </w:tcBorders>
          </w:tcPr>
          <w:p>
            <w:pPr>
              <w:rPr>
                <w:sz w:val="2"/>
                <w:szCs w:val="2"/>
              </w:rPr>
            </w:pPr>
          </w:p>
        </w:tc>
      </w:tr>
    </w:tbl>
    <w:p>
      <w:pPr>
        <w:pStyle w:val="BodyText"/>
        <w:spacing w:line="205" w:lineRule="exact"/>
        <w:ind w:left="494"/>
        <w:jc w:val="both"/>
        <w:rPr>
          <w:rFonts w:ascii="Times New Roman" w:eastAsia="Times New Roman"/>
        </w:rPr>
      </w:pPr>
      <w:r>
        <w:rPr/>
        <w:t>设置完毕，保存文件，运行反应程序。 </w:t>
      </w:r>
      <w:r>
        <w:rPr>
          <w:rFonts w:ascii="Times New Roman" w:eastAsia="Times New Roman"/>
        </w:rPr>
        <w:t>(*</w:t>
      </w:r>
      <w:r>
        <w:rPr/>
        <w:t>注：由于</w:t>
      </w:r>
      <w:r>
        <w:rPr>
          <w:rFonts w:ascii="Times New Roman" w:eastAsia="Times New Roman"/>
        </w:rPr>
        <w:t>ABI7500 </w:t>
      </w:r>
      <w:r>
        <w:rPr/>
        <w:t>仪器原因，不能设置为 </w:t>
      </w:r>
      <w:r>
        <w:rPr>
          <w:rFonts w:ascii="Times New Roman" w:eastAsia="Times New Roman"/>
        </w:rPr>
        <w:t>30 </w:t>
      </w:r>
      <w:r>
        <w:rPr/>
        <w:t>秒，可以设置为 </w:t>
      </w:r>
      <w:r>
        <w:rPr>
          <w:rFonts w:ascii="Times New Roman" w:eastAsia="Times New Roman"/>
        </w:rPr>
        <w:t>31 </w:t>
      </w:r>
      <w:r>
        <w:rPr/>
        <w:t>秒或 </w:t>
      </w:r>
      <w:r>
        <w:rPr>
          <w:rFonts w:ascii="Times New Roman" w:eastAsia="Times New Roman"/>
        </w:rPr>
        <w:t>32 </w:t>
      </w:r>
      <w:r>
        <w:rPr/>
        <w:t>秒。</w:t>
      </w:r>
      <w:r>
        <w:rPr>
          <w:rFonts w:ascii="Times New Roman" w:eastAsia="Times New Roman"/>
        </w:rPr>
        <w:t>)</w:t>
      </w:r>
    </w:p>
    <w:p>
      <w:pPr>
        <w:pStyle w:val="ListParagraph"/>
        <w:numPr>
          <w:ilvl w:val="0"/>
          <w:numId w:val="3"/>
        </w:numPr>
        <w:tabs>
          <w:tab w:pos="344" w:val="left" w:leader="none"/>
        </w:tabs>
        <w:spacing w:line="199" w:lineRule="exact" w:before="0" w:after="0"/>
        <w:ind w:left="343" w:right="0" w:hanging="217"/>
        <w:jc w:val="both"/>
        <w:rPr>
          <w:sz w:val="18"/>
        </w:rPr>
      </w:pPr>
      <w:r>
        <w:rPr>
          <w:b/>
          <w:spacing w:val="-5"/>
          <w:sz w:val="18"/>
        </w:rPr>
        <w:t>结果分析</w:t>
      </w:r>
      <w:r>
        <w:rPr>
          <w:spacing w:val="-3"/>
          <w:sz w:val="18"/>
        </w:rPr>
        <w:t>（请参照各仪器使用说明书进行设置，以下分析以</w:t>
      </w:r>
      <w:r>
        <w:rPr>
          <w:rFonts w:ascii="Times New Roman" w:eastAsia="Times New Roman"/>
          <w:sz w:val="18"/>
        </w:rPr>
        <w:t>ABI</w:t>
      </w:r>
      <w:r>
        <w:rPr>
          <w:rFonts w:ascii="Times New Roman" w:eastAsia="Times New Roman"/>
          <w:spacing w:val="-1"/>
          <w:sz w:val="18"/>
        </w:rPr>
        <w:t> </w:t>
      </w:r>
      <w:r>
        <w:rPr>
          <w:sz w:val="18"/>
        </w:rPr>
        <w:t>系列仪器为例）</w:t>
      </w:r>
    </w:p>
    <w:p>
      <w:pPr>
        <w:pStyle w:val="BodyText"/>
        <w:spacing w:line="208" w:lineRule="auto" w:before="7"/>
        <w:ind w:right="235" w:firstLine="357"/>
        <w:jc w:val="both"/>
      </w:pPr>
      <w:r>
        <w:rPr>
          <w:spacing w:val="-2"/>
        </w:rPr>
        <w:t>反应结束后自动保存结果，对</w:t>
      </w:r>
      <w:r>
        <w:rPr>
          <w:rFonts w:ascii="Times New Roman" w:eastAsia="Times New Roman"/>
        </w:rPr>
        <w:t>HCV </w:t>
      </w:r>
      <w:r>
        <w:rPr>
          <w:spacing w:val="-5"/>
        </w:rPr>
        <w:t>曲线和内标曲线</w:t>
      </w:r>
      <w:r>
        <w:rPr/>
        <w:t>（</w:t>
      </w:r>
      <w:r>
        <w:rPr>
          <w:rFonts w:ascii="Times New Roman" w:eastAsia="Times New Roman"/>
        </w:rPr>
        <w:t>HEX </w:t>
      </w:r>
      <w:r>
        <w:rPr>
          <w:spacing w:val="40"/>
        </w:rPr>
        <w:t>或</w:t>
      </w:r>
      <w:r>
        <w:rPr>
          <w:rFonts w:ascii="Times New Roman" w:eastAsia="Times New Roman"/>
        </w:rPr>
        <w:t>VIC </w:t>
      </w:r>
      <w:r>
        <w:rPr>
          <w:spacing w:val="-4"/>
        </w:rPr>
        <w:t>通道</w:t>
      </w:r>
      <w:r>
        <w:rPr>
          <w:spacing w:val="-3"/>
        </w:rPr>
        <w:t>）分别进行分析。根据分析后图像调节</w:t>
      </w:r>
      <w:r>
        <w:rPr>
          <w:rFonts w:ascii="Times New Roman" w:eastAsia="Times New Roman"/>
        </w:rPr>
        <w:t>Baseline </w:t>
      </w:r>
      <w:r>
        <w:rPr>
          <w:spacing w:val="40"/>
        </w:rPr>
        <w:t>的</w:t>
      </w:r>
      <w:r>
        <w:rPr>
          <w:rFonts w:ascii="Times New Roman" w:eastAsia="Times New Roman"/>
          <w:spacing w:val="-3"/>
        </w:rPr>
        <w:t>Start </w:t>
      </w:r>
      <w:r>
        <w:rPr>
          <w:spacing w:val="-3"/>
        </w:rPr>
        <w:t>值、</w:t>
      </w:r>
      <w:r>
        <w:rPr>
          <w:rFonts w:ascii="Times New Roman" w:eastAsia="Times New Roman"/>
        </w:rPr>
        <w:t>End </w:t>
      </w:r>
      <w:r>
        <w:rPr>
          <w:spacing w:val="-3"/>
        </w:rPr>
        <w:t>值（用户可根据实际情况自行调整，</w:t>
      </w:r>
      <w:r>
        <w:rPr>
          <w:rFonts w:ascii="Times New Roman" w:eastAsia="Times New Roman"/>
        </w:rPr>
        <w:t>Start </w:t>
      </w:r>
      <w:r>
        <w:rPr>
          <w:spacing w:val="-13"/>
        </w:rPr>
        <w:t>值可以在 </w:t>
      </w:r>
      <w:r>
        <w:rPr>
          <w:rFonts w:ascii="Times New Roman" w:eastAsia="Times New Roman"/>
          <w:spacing w:val="-3"/>
        </w:rPr>
        <w:t>3</w:t>
      </w:r>
      <w:r>
        <w:rPr>
          <w:spacing w:val="-3"/>
        </w:rPr>
        <w:t>～</w:t>
      </w:r>
      <w:r>
        <w:rPr>
          <w:rFonts w:ascii="Times New Roman" w:eastAsia="Times New Roman"/>
          <w:spacing w:val="-3"/>
        </w:rPr>
        <w:t>15</w:t>
      </w:r>
      <w:r>
        <w:rPr>
          <w:spacing w:val="-3"/>
        </w:rPr>
        <w:t>、</w:t>
      </w:r>
      <w:r>
        <w:rPr>
          <w:rFonts w:ascii="Times New Roman" w:eastAsia="Times New Roman"/>
        </w:rPr>
        <w:t>End </w:t>
      </w:r>
      <w:r>
        <w:rPr>
          <w:spacing w:val="-14"/>
        </w:rPr>
        <w:t>值可设在 </w:t>
      </w:r>
      <w:r>
        <w:rPr>
          <w:rFonts w:ascii="Times New Roman" w:eastAsia="Times New Roman"/>
        </w:rPr>
        <w:t>5</w:t>
      </w:r>
      <w:r>
        <w:rPr/>
        <w:t>～</w:t>
      </w:r>
      <w:r>
        <w:rPr>
          <w:rFonts w:ascii="Times New Roman" w:eastAsia="Times New Roman"/>
        </w:rPr>
        <w:t>20</w:t>
      </w:r>
      <w:r>
        <w:rPr/>
        <w:t>）</w:t>
      </w:r>
      <w:r>
        <w:rPr>
          <w:spacing w:val="18"/>
        </w:rPr>
        <w:t>以及</w:t>
      </w:r>
      <w:r>
        <w:rPr>
          <w:rFonts w:ascii="Times New Roman" w:eastAsia="Times New Roman"/>
        </w:rPr>
        <w:t>Threshold </w:t>
      </w:r>
      <w:r>
        <w:rPr>
          <w:spacing w:val="-3"/>
        </w:rPr>
        <w:t>值（阈值设定原则以阈值</w:t>
      </w:r>
      <w:r>
        <w:rPr>
          <w:spacing w:val="-5"/>
        </w:rPr>
        <w:t>线刚好超过正常阴性对照品检测曲线的最高点），</w:t>
      </w:r>
      <w:r>
        <w:rPr>
          <w:spacing w:val="17"/>
        </w:rPr>
        <w:t>点击</w:t>
      </w:r>
      <w:r>
        <w:rPr>
          <w:rFonts w:ascii="Times New Roman" w:eastAsia="Times New Roman"/>
        </w:rPr>
        <w:t>Analyze </w:t>
      </w:r>
      <w:r>
        <w:rPr/>
        <w:t>进行分析，然后到</w:t>
      </w:r>
      <w:r>
        <w:rPr>
          <w:rFonts w:ascii="Times New Roman" w:eastAsia="Times New Roman"/>
        </w:rPr>
        <w:t>Plate </w:t>
      </w:r>
      <w:r>
        <w:rPr>
          <w:spacing w:val="-5"/>
        </w:rPr>
        <w:t>窗口下记录检测结果。</w:t>
      </w:r>
    </w:p>
    <w:p>
      <w:pPr>
        <w:pStyle w:val="Heading1"/>
        <w:numPr>
          <w:ilvl w:val="0"/>
          <w:numId w:val="3"/>
        </w:numPr>
        <w:tabs>
          <w:tab w:pos="344" w:val="left" w:leader="none"/>
        </w:tabs>
        <w:spacing w:line="191" w:lineRule="exact" w:before="0" w:after="0"/>
        <w:ind w:left="343" w:right="0" w:hanging="217"/>
        <w:jc w:val="both"/>
      </w:pPr>
      <w:r>
        <w:rPr>
          <w:spacing w:val="-3"/>
        </w:rPr>
        <w:t>质量控制</w:t>
      </w:r>
    </w:p>
    <w:p>
      <w:pPr>
        <w:pStyle w:val="ListParagraph"/>
        <w:numPr>
          <w:ilvl w:val="1"/>
          <w:numId w:val="3"/>
        </w:numPr>
        <w:tabs>
          <w:tab w:pos="519" w:val="left" w:leader="none"/>
        </w:tabs>
        <w:spacing w:line="200" w:lineRule="exact" w:before="0" w:after="0"/>
        <w:ind w:left="518" w:right="0" w:hanging="392"/>
        <w:jc w:val="both"/>
        <w:rPr>
          <w:sz w:val="18"/>
        </w:rPr>
      </w:pPr>
      <w:r>
        <w:rPr>
          <w:spacing w:val="-5"/>
          <w:sz w:val="18"/>
        </w:rPr>
        <w:t>阴性对照：无</w:t>
      </w:r>
      <w:r>
        <w:rPr>
          <w:rFonts w:ascii="Times New Roman" w:hAnsi="Times New Roman" w:eastAsia="Times New Roman"/>
          <w:spacing w:val="-3"/>
          <w:sz w:val="18"/>
        </w:rPr>
        <w:t>Ct</w:t>
      </w:r>
      <w:r>
        <w:rPr>
          <w:spacing w:val="-5"/>
          <w:sz w:val="18"/>
        </w:rPr>
        <w:t>值显示，且内标检测为阳性，</w:t>
      </w:r>
      <w:r>
        <w:rPr>
          <w:rFonts w:ascii="Times New Roman" w:hAnsi="Times New Roman" w:eastAsia="Times New Roman"/>
          <w:spacing w:val="-3"/>
          <w:sz w:val="18"/>
        </w:rPr>
        <w:t>Ct≤38</w:t>
      </w:r>
      <w:r>
        <w:rPr>
          <w:sz w:val="18"/>
        </w:rPr>
        <w:t>。</w:t>
      </w:r>
    </w:p>
    <w:p>
      <w:pPr>
        <w:pStyle w:val="ListParagraph"/>
        <w:numPr>
          <w:ilvl w:val="1"/>
          <w:numId w:val="3"/>
        </w:numPr>
        <w:tabs>
          <w:tab w:pos="519" w:val="left" w:leader="none"/>
        </w:tabs>
        <w:spacing w:line="199" w:lineRule="exact" w:before="0" w:after="0"/>
        <w:ind w:left="518" w:right="0" w:hanging="392"/>
        <w:jc w:val="left"/>
        <w:rPr>
          <w:sz w:val="18"/>
        </w:rPr>
      </w:pPr>
      <w:r>
        <w:rPr>
          <w:spacing w:val="-5"/>
          <w:sz w:val="18"/>
        </w:rPr>
        <w:t>阳性对照：临界阳性对照检测浓度值介于</w:t>
      </w:r>
      <w:r>
        <w:rPr>
          <w:rFonts w:ascii="Times New Roman" w:eastAsia="Times New Roman"/>
          <w:spacing w:val="-3"/>
          <w:sz w:val="18"/>
        </w:rPr>
        <w:t>1.58E+02~1.58E+03IU/mL</w:t>
      </w:r>
      <w:r>
        <w:rPr>
          <w:spacing w:val="-3"/>
          <w:sz w:val="18"/>
        </w:rPr>
        <w:t>，</w:t>
      </w:r>
      <w:r>
        <w:rPr>
          <w:rFonts w:ascii="Times New Roman" w:eastAsia="Times New Roman"/>
          <w:spacing w:val="-3"/>
          <w:sz w:val="18"/>
        </w:rPr>
        <w:t>Ct</w:t>
      </w:r>
      <w:r>
        <w:rPr>
          <w:spacing w:val="-3"/>
          <w:sz w:val="18"/>
        </w:rPr>
        <w:t>值</w:t>
      </w:r>
      <w:r>
        <w:rPr>
          <w:rFonts w:ascii="Times New Roman" w:eastAsia="Times New Roman"/>
          <w:sz w:val="18"/>
        </w:rPr>
        <w:t>&lt;38</w:t>
      </w:r>
      <w:r>
        <w:rPr>
          <w:spacing w:val="-5"/>
          <w:sz w:val="18"/>
        </w:rPr>
        <w:t>；强阳性对照检测浓度值介于</w:t>
      </w:r>
      <w:r>
        <w:rPr>
          <w:rFonts w:ascii="Times New Roman" w:eastAsia="Times New Roman"/>
          <w:spacing w:val="-3"/>
          <w:sz w:val="18"/>
        </w:rPr>
        <w:t>1.58E+04</w:t>
      </w:r>
      <w:r>
        <w:rPr>
          <w:spacing w:val="-3"/>
          <w:sz w:val="18"/>
        </w:rPr>
        <w:t>～</w:t>
      </w:r>
    </w:p>
    <w:p>
      <w:pPr>
        <w:pStyle w:val="BodyText"/>
      </w:pPr>
      <w:r>
        <w:rPr>
          <w:rFonts w:ascii="Times New Roman" w:eastAsia="Times New Roman"/>
        </w:rPr>
        <w:t>1.58E+05IU/mL</w:t>
      </w:r>
      <w:r>
        <w:rPr/>
        <w:t>，</w:t>
      </w:r>
      <w:r>
        <w:rPr>
          <w:rFonts w:ascii="Times New Roman" w:eastAsia="Times New Roman"/>
        </w:rPr>
        <w:t>Ct</w:t>
      </w:r>
      <w:r>
        <w:rPr/>
        <w:t>值</w:t>
      </w:r>
      <w:r>
        <w:rPr>
          <w:rFonts w:ascii="Times New Roman" w:eastAsia="Times New Roman"/>
        </w:rPr>
        <w:t>&lt;33</w:t>
      </w:r>
      <w:r>
        <w:rPr/>
        <w:t>。</w:t>
      </w:r>
    </w:p>
    <w:p>
      <w:pPr>
        <w:pStyle w:val="ListParagraph"/>
        <w:numPr>
          <w:ilvl w:val="1"/>
          <w:numId w:val="4"/>
        </w:numPr>
        <w:tabs>
          <w:tab w:pos="519" w:val="left" w:leader="none"/>
        </w:tabs>
        <w:spacing w:line="200" w:lineRule="exact" w:before="0" w:after="0"/>
        <w:ind w:left="518" w:right="0" w:hanging="392"/>
        <w:jc w:val="left"/>
        <w:rPr>
          <w:sz w:val="18"/>
        </w:rPr>
      </w:pPr>
      <w:r>
        <w:rPr>
          <w:spacing w:val="-5"/>
          <w:sz w:val="18"/>
        </w:rPr>
        <w:t>定量参考品：均检测为阳性，且关系数</w:t>
      </w:r>
      <w:r>
        <w:rPr>
          <w:rFonts w:ascii="Times New Roman" w:hAnsi="Times New Roman" w:eastAsia="Times New Roman"/>
          <w:spacing w:val="-3"/>
          <w:sz w:val="18"/>
        </w:rPr>
        <w:t>|r|≥0.98</w:t>
      </w:r>
      <w:r>
        <w:rPr>
          <w:sz w:val="18"/>
        </w:rPr>
        <w:t>。</w:t>
      </w:r>
    </w:p>
    <w:p>
      <w:pPr>
        <w:pStyle w:val="ListParagraph"/>
        <w:numPr>
          <w:ilvl w:val="1"/>
          <w:numId w:val="4"/>
        </w:numPr>
        <w:tabs>
          <w:tab w:pos="519" w:val="left" w:leader="none"/>
        </w:tabs>
        <w:spacing w:line="199" w:lineRule="exact" w:before="0" w:after="0"/>
        <w:ind w:left="518" w:right="0" w:hanging="392"/>
        <w:jc w:val="left"/>
        <w:rPr>
          <w:sz w:val="18"/>
        </w:rPr>
      </w:pPr>
      <w:r>
        <w:rPr>
          <w:spacing w:val="-5"/>
          <w:sz w:val="18"/>
        </w:rPr>
        <w:t>以上要求需在同一次实验中同时满足，否则本次实验无效，需重新进行。</w:t>
      </w:r>
    </w:p>
    <w:p>
      <w:pPr>
        <w:pStyle w:val="Heading1"/>
      </w:pPr>
      <w:r>
        <w:rPr/>
        <w:t>【阳性判断值】</w:t>
      </w:r>
    </w:p>
    <w:p>
      <w:pPr>
        <w:pStyle w:val="BodyText"/>
        <w:ind w:left="484"/>
      </w:pPr>
      <w:r>
        <w:rPr/>
        <w:t>通过参考值的研究试验确定本试剂盒的检出限为 </w:t>
      </w:r>
      <w:r>
        <w:rPr>
          <w:rFonts w:ascii="Times New Roman" w:eastAsia="Times New Roman"/>
        </w:rPr>
        <w:t>12IU/mL</w:t>
      </w:r>
      <w:r>
        <w:rPr/>
        <w:t>。</w:t>
      </w:r>
    </w:p>
    <w:p>
      <w:pPr>
        <w:pStyle w:val="Heading1"/>
        <w:spacing w:line="199" w:lineRule="exact"/>
      </w:pPr>
      <w:r>
        <w:rPr/>
        <w:t>【检验结果的解释】</w:t>
      </w:r>
    </w:p>
    <w:p>
      <w:pPr>
        <w:pStyle w:val="ListParagraph"/>
        <w:numPr>
          <w:ilvl w:val="0"/>
          <w:numId w:val="5"/>
        </w:numPr>
        <w:tabs>
          <w:tab w:pos="346" w:val="left" w:leader="none"/>
        </w:tabs>
        <w:spacing w:line="200" w:lineRule="exact" w:before="0" w:after="0"/>
        <w:ind w:left="345" w:right="0" w:hanging="217"/>
        <w:jc w:val="left"/>
        <w:rPr>
          <w:sz w:val="18"/>
        </w:rPr>
      </w:pPr>
      <w:r>
        <w:rPr>
          <w:spacing w:val="-10"/>
          <w:sz w:val="18"/>
        </w:rPr>
        <w:t>待测样本测定值在 </w:t>
      </w:r>
      <w:r>
        <w:rPr>
          <w:rFonts w:ascii="Times New Roman" w:eastAsia="Times New Roman"/>
          <w:sz w:val="18"/>
        </w:rPr>
        <w:t>25</w:t>
      </w:r>
      <w:r>
        <w:rPr>
          <w:rFonts w:ascii="Times New Roman" w:eastAsia="Times New Roman"/>
          <w:spacing w:val="-6"/>
          <w:sz w:val="18"/>
        </w:rPr>
        <w:t> </w:t>
      </w:r>
      <w:r>
        <w:rPr>
          <w:rFonts w:ascii="Times New Roman" w:eastAsia="Times New Roman"/>
          <w:spacing w:val="-3"/>
          <w:sz w:val="18"/>
        </w:rPr>
        <w:t>IU/mL</w:t>
      </w:r>
      <w:r>
        <w:rPr>
          <w:spacing w:val="-3"/>
          <w:sz w:val="18"/>
        </w:rPr>
        <w:t>～</w:t>
      </w:r>
      <w:r>
        <w:rPr>
          <w:rFonts w:ascii="Times New Roman" w:eastAsia="Times New Roman"/>
          <w:spacing w:val="-3"/>
          <w:sz w:val="18"/>
        </w:rPr>
        <w:t>1.0E+08</w:t>
      </w:r>
      <w:r>
        <w:rPr>
          <w:rFonts w:ascii="Times New Roman" w:eastAsia="Times New Roman"/>
          <w:spacing w:val="-8"/>
          <w:sz w:val="18"/>
        </w:rPr>
        <w:t> </w:t>
      </w:r>
      <w:r>
        <w:rPr>
          <w:rFonts w:ascii="Times New Roman" w:eastAsia="Times New Roman"/>
          <w:sz w:val="18"/>
        </w:rPr>
        <w:t>IU/mL</w:t>
      </w:r>
      <w:r>
        <w:rPr>
          <w:rFonts w:ascii="Times New Roman" w:eastAsia="Times New Roman"/>
          <w:spacing w:val="-2"/>
          <w:sz w:val="18"/>
        </w:rPr>
        <w:t> </w:t>
      </w:r>
      <w:r>
        <w:rPr>
          <w:spacing w:val="-2"/>
          <w:sz w:val="18"/>
        </w:rPr>
        <w:t>之间的样本，且扩增曲线成明显</w:t>
      </w:r>
      <w:r>
        <w:rPr>
          <w:rFonts w:ascii="Times New Roman" w:eastAsia="Times New Roman"/>
          <w:sz w:val="18"/>
        </w:rPr>
        <w:t>S</w:t>
      </w:r>
      <w:r>
        <w:rPr>
          <w:rFonts w:ascii="Times New Roman" w:eastAsia="Times New Roman"/>
          <w:spacing w:val="-4"/>
          <w:sz w:val="18"/>
        </w:rPr>
        <w:t> </w:t>
      </w:r>
      <w:r>
        <w:rPr>
          <w:spacing w:val="-5"/>
          <w:sz w:val="18"/>
        </w:rPr>
        <w:t>型，可直接报告阳性及测定结果。</w:t>
      </w:r>
    </w:p>
    <w:p>
      <w:pPr>
        <w:pStyle w:val="ListParagraph"/>
        <w:numPr>
          <w:ilvl w:val="0"/>
          <w:numId w:val="5"/>
        </w:numPr>
        <w:tabs>
          <w:tab w:pos="346" w:val="left" w:leader="none"/>
        </w:tabs>
        <w:spacing w:line="200" w:lineRule="exact" w:before="0" w:after="0"/>
        <w:ind w:left="345" w:right="0" w:hanging="217"/>
        <w:jc w:val="left"/>
        <w:rPr>
          <w:sz w:val="18"/>
        </w:rPr>
      </w:pPr>
      <w:r>
        <w:rPr>
          <w:spacing w:val="-5"/>
          <w:sz w:val="18"/>
        </w:rPr>
        <w:t>待测样本测定值</w:t>
      </w:r>
      <w:r>
        <w:rPr>
          <w:rFonts w:ascii="Times New Roman" w:eastAsia="Times New Roman"/>
          <w:sz w:val="18"/>
        </w:rPr>
        <w:t>&gt;1.0E+08</w:t>
      </w:r>
      <w:r>
        <w:rPr>
          <w:rFonts w:ascii="Times New Roman" w:eastAsia="Times New Roman"/>
          <w:spacing w:val="-9"/>
          <w:sz w:val="18"/>
        </w:rPr>
        <w:t> </w:t>
      </w:r>
      <w:r>
        <w:rPr>
          <w:rFonts w:ascii="Times New Roman" w:eastAsia="Times New Roman"/>
          <w:sz w:val="18"/>
        </w:rPr>
        <w:t>IU/mL</w:t>
      </w:r>
      <w:r>
        <w:rPr>
          <w:rFonts w:ascii="Times New Roman" w:eastAsia="Times New Roman"/>
          <w:spacing w:val="34"/>
          <w:sz w:val="18"/>
        </w:rPr>
        <w:t> </w:t>
      </w:r>
      <w:r>
        <w:rPr>
          <w:spacing w:val="-5"/>
          <w:sz w:val="18"/>
        </w:rPr>
        <w:t>的样本，可做适当稀释，使其落入有效范围内再进行检测。</w:t>
      </w:r>
    </w:p>
    <w:p>
      <w:pPr>
        <w:pStyle w:val="ListParagraph"/>
        <w:numPr>
          <w:ilvl w:val="0"/>
          <w:numId w:val="5"/>
        </w:numPr>
        <w:tabs>
          <w:tab w:pos="346" w:val="left" w:leader="none"/>
        </w:tabs>
        <w:spacing w:line="199" w:lineRule="exact" w:before="0" w:after="0"/>
        <w:ind w:left="345" w:right="0" w:hanging="217"/>
        <w:jc w:val="left"/>
        <w:rPr>
          <w:sz w:val="18"/>
        </w:rPr>
      </w:pPr>
      <w:r>
        <w:rPr>
          <w:spacing w:val="-5"/>
          <w:sz w:val="18"/>
        </w:rPr>
        <w:t>待测样本测定值</w:t>
      </w:r>
      <w:r>
        <w:rPr>
          <w:rFonts w:ascii="Times New Roman" w:hAnsi="Times New Roman" w:eastAsia="Times New Roman"/>
          <w:sz w:val="18"/>
        </w:rPr>
        <w:t>≥12</w:t>
      </w:r>
      <w:r>
        <w:rPr>
          <w:rFonts w:ascii="Times New Roman" w:hAnsi="Times New Roman" w:eastAsia="Times New Roman"/>
          <w:spacing w:val="-4"/>
          <w:sz w:val="18"/>
        </w:rPr>
        <w:t> </w:t>
      </w:r>
      <w:r>
        <w:rPr>
          <w:rFonts w:ascii="Times New Roman" w:hAnsi="Times New Roman" w:eastAsia="Times New Roman"/>
          <w:spacing w:val="-3"/>
          <w:sz w:val="18"/>
        </w:rPr>
        <w:t>IU/mL</w:t>
      </w:r>
      <w:r>
        <w:rPr>
          <w:spacing w:val="-4"/>
          <w:sz w:val="18"/>
        </w:rPr>
        <w:t>，而</w:t>
      </w:r>
      <w:r>
        <w:rPr>
          <w:rFonts w:ascii="Times New Roman" w:hAnsi="Times New Roman" w:eastAsia="Times New Roman"/>
          <w:sz w:val="18"/>
        </w:rPr>
        <w:t>&lt;25</w:t>
      </w:r>
      <w:r>
        <w:rPr>
          <w:rFonts w:ascii="Times New Roman" w:hAnsi="Times New Roman" w:eastAsia="Times New Roman"/>
          <w:spacing w:val="-6"/>
          <w:sz w:val="18"/>
        </w:rPr>
        <w:t> </w:t>
      </w:r>
      <w:r>
        <w:rPr>
          <w:rFonts w:ascii="Times New Roman" w:hAnsi="Times New Roman" w:eastAsia="Times New Roman"/>
          <w:sz w:val="18"/>
        </w:rPr>
        <w:t>IU/mL</w:t>
      </w:r>
      <w:r>
        <w:rPr>
          <w:rFonts w:ascii="Times New Roman" w:hAnsi="Times New Roman" w:eastAsia="Times New Roman"/>
          <w:spacing w:val="-2"/>
          <w:sz w:val="18"/>
        </w:rPr>
        <w:t> </w:t>
      </w:r>
      <w:r>
        <w:rPr>
          <w:spacing w:val="-5"/>
          <w:sz w:val="18"/>
        </w:rPr>
        <w:t>的样本，表明病毒载量低，测定值仅供参考。</w:t>
      </w:r>
    </w:p>
    <w:p>
      <w:pPr>
        <w:pStyle w:val="ListParagraph"/>
        <w:numPr>
          <w:ilvl w:val="0"/>
          <w:numId w:val="5"/>
        </w:numPr>
        <w:tabs>
          <w:tab w:pos="348" w:val="left" w:leader="none"/>
        </w:tabs>
        <w:spacing w:line="200" w:lineRule="exact" w:before="0" w:after="0"/>
        <w:ind w:left="348" w:right="0" w:hanging="219"/>
        <w:jc w:val="left"/>
        <w:rPr>
          <w:sz w:val="18"/>
        </w:rPr>
      </w:pPr>
      <w:r>
        <w:rPr>
          <w:spacing w:val="-3"/>
          <w:sz w:val="18"/>
        </w:rPr>
        <w:t>待测样本测定值</w:t>
      </w:r>
      <w:r>
        <w:rPr>
          <w:rFonts w:ascii="Times New Roman" w:hAnsi="Times New Roman" w:eastAsia="Times New Roman"/>
          <w:sz w:val="18"/>
        </w:rPr>
        <w:t>&lt;12</w:t>
      </w:r>
      <w:r>
        <w:rPr>
          <w:rFonts w:ascii="Times New Roman" w:hAnsi="Times New Roman" w:eastAsia="Times New Roman"/>
          <w:spacing w:val="-5"/>
          <w:sz w:val="18"/>
        </w:rPr>
        <w:t> </w:t>
      </w:r>
      <w:r>
        <w:rPr>
          <w:rFonts w:ascii="Times New Roman" w:hAnsi="Times New Roman" w:eastAsia="Times New Roman"/>
          <w:sz w:val="18"/>
        </w:rPr>
        <w:t>IU/mL</w:t>
      </w:r>
      <w:r>
        <w:rPr>
          <w:rFonts w:ascii="Times New Roman" w:hAnsi="Times New Roman" w:eastAsia="Times New Roman"/>
          <w:spacing w:val="-4"/>
          <w:sz w:val="18"/>
        </w:rPr>
        <w:t> </w:t>
      </w:r>
      <w:r>
        <w:rPr>
          <w:sz w:val="18"/>
        </w:rPr>
        <w:t>的样本，同时内标检测为阳性且</w:t>
      </w:r>
      <w:r>
        <w:rPr>
          <w:rFonts w:ascii="Times New Roman" w:hAnsi="Times New Roman" w:eastAsia="Times New Roman"/>
          <w:spacing w:val="-3"/>
          <w:sz w:val="18"/>
        </w:rPr>
        <w:t>Ct≤38</w:t>
      </w:r>
      <w:r>
        <w:rPr>
          <w:spacing w:val="8"/>
          <w:sz w:val="18"/>
        </w:rPr>
        <w:t>，则报告</w:t>
      </w:r>
      <w:r>
        <w:rPr>
          <w:rFonts w:ascii="Times New Roman" w:hAnsi="Times New Roman" w:eastAsia="Times New Roman"/>
          <w:sz w:val="18"/>
        </w:rPr>
        <w:t>HCV</w:t>
      </w:r>
      <w:r>
        <w:rPr>
          <w:rFonts w:ascii="Times New Roman" w:hAnsi="Times New Roman" w:eastAsia="Times New Roman"/>
          <w:spacing w:val="-7"/>
          <w:sz w:val="18"/>
        </w:rPr>
        <w:t> </w:t>
      </w:r>
      <w:r>
        <w:rPr>
          <w:rFonts w:ascii="Times New Roman" w:hAnsi="Times New Roman" w:eastAsia="Times New Roman"/>
          <w:sz w:val="18"/>
        </w:rPr>
        <w:t>RNA</w:t>
      </w:r>
      <w:r>
        <w:rPr>
          <w:rFonts w:ascii="Times New Roman" w:hAnsi="Times New Roman" w:eastAsia="Times New Roman"/>
          <w:spacing w:val="-4"/>
          <w:sz w:val="18"/>
        </w:rPr>
        <w:t> </w:t>
      </w:r>
      <w:r>
        <w:rPr>
          <w:spacing w:val="-3"/>
          <w:sz w:val="18"/>
        </w:rPr>
        <w:t>含量低于试剂盒检测下限；若内标不正常</w:t>
      </w:r>
    </w:p>
    <w:p>
      <w:pPr>
        <w:pStyle w:val="BodyText"/>
        <w:ind w:left="307"/>
      </w:pPr>
      <w:r>
        <w:rPr/>
        <w:t>（</w:t>
      </w:r>
      <w:r>
        <w:rPr>
          <w:rFonts w:ascii="Times New Roman" w:eastAsia="Times New Roman"/>
        </w:rPr>
        <w:t>Ct&gt;38 </w:t>
      </w:r>
      <w:r>
        <w:rPr/>
        <w:t>或无数值），则该样本的检测结果无效，应查找并排除原因，并对此样本进行重复实验。</w:t>
      </w:r>
    </w:p>
    <w:p>
      <w:pPr>
        <w:pStyle w:val="Heading1"/>
        <w:spacing w:line="199" w:lineRule="exact"/>
      </w:pPr>
      <w:r>
        <w:rPr/>
        <w:t>【检测方法的局限性】</w:t>
      </w:r>
    </w:p>
    <w:p>
      <w:pPr>
        <w:pStyle w:val="ListParagraph"/>
        <w:numPr>
          <w:ilvl w:val="0"/>
          <w:numId w:val="6"/>
        </w:numPr>
        <w:tabs>
          <w:tab w:pos="262" w:val="left" w:leader="none"/>
        </w:tabs>
        <w:spacing w:line="200" w:lineRule="exact" w:before="0" w:after="0"/>
        <w:ind w:left="261" w:right="0" w:hanging="135"/>
        <w:jc w:val="left"/>
        <w:rPr>
          <w:sz w:val="18"/>
        </w:rPr>
      </w:pPr>
      <w:r>
        <w:rPr>
          <w:spacing w:val="-6"/>
          <w:sz w:val="18"/>
        </w:rPr>
        <w:t>本试剂盒检测结果不能作为临床确诊的依据。对患者的诊治应结合症状</w:t>
      </w:r>
      <w:r>
        <w:rPr>
          <w:rFonts w:ascii="Times New Roman" w:eastAsia="Times New Roman"/>
          <w:sz w:val="18"/>
        </w:rPr>
        <w:t>/</w:t>
      </w:r>
      <w:r>
        <w:rPr>
          <w:spacing w:val="-9"/>
          <w:sz w:val="18"/>
        </w:rPr>
        <w:t>体征、病史、其他实验室检查及治疗反应等情况综合考虑。</w:t>
      </w:r>
    </w:p>
    <w:p>
      <w:pPr>
        <w:pStyle w:val="ListParagraph"/>
        <w:numPr>
          <w:ilvl w:val="0"/>
          <w:numId w:val="6"/>
        </w:numPr>
        <w:tabs>
          <w:tab w:pos="262" w:val="left" w:leader="none"/>
        </w:tabs>
        <w:spacing w:line="200" w:lineRule="exact" w:before="0" w:after="0"/>
        <w:ind w:left="261" w:right="0" w:hanging="135"/>
        <w:jc w:val="left"/>
        <w:rPr>
          <w:sz w:val="18"/>
        </w:rPr>
      </w:pPr>
      <w:r>
        <w:rPr>
          <w:spacing w:val="-5"/>
          <w:sz w:val="18"/>
        </w:rPr>
        <w:t>样本检测结果与样本收集、处理、运送及保存质量有关，其中任何失误都将会导致结果不准确。</w:t>
      </w:r>
    </w:p>
    <w:p>
      <w:pPr>
        <w:pStyle w:val="ListParagraph"/>
        <w:numPr>
          <w:ilvl w:val="0"/>
          <w:numId w:val="6"/>
        </w:numPr>
        <w:tabs>
          <w:tab w:pos="262" w:val="left" w:leader="none"/>
        </w:tabs>
        <w:spacing w:line="199" w:lineRule="exact" w:before="0" w:after="0"/>
        <w:ind w:left="261" w:right="0" w:hanging="135"/>
        <w:jc w:val="left"/>
        <w:rPr>
          <w:sz w:val="18"/>
        </w:rPr>
      </w:pPr>
      <w:r>
        <w:rPr>
          <w:spacing w:val="-5"/>
          <w:sz w:val="18"/>
        </w:rPr>
        <w:t>如果样本处理时没有控制好交叉污染，可能出现假阳性结果。</w:t>
      </w:r>
    </w:p>
    <w:p>
      <w:pPr>
        <w:pStyle w:val="Heading1"/>
      </w:pPr>
      <w:r>
        <w:rPr/>
        <w:t>【产品性能指标】</w:t>
      </w:r>
    </w:p>
    <w:p>
      <w:pPr>
        <w:pStyle w:val="BodyText"/>
        <w:spacing w:line="206" w:lineRule="auto" w:before="11"/>
        <w:ind w:left="480" w:right="374"/>
      </w:pPr>
      <w:r>
        <w:rPr>
          <w:spacing w:val="-7"/>
        </w:rPr>
        <w:t>本试剂盒检测中国药品生物制品检定所的丙型肝炎病毒核酸国家参考品，阴、阳符合率为 </w:t>
      </w:r>
      <w:r>
        <w:rPr>
          <w:rFonts w:ascii="Times New Roman" w:eastAsia="Times New Roman"/>
          <w:spacing w:val="-4"/>
        </w:rPr>
        <w:t>100%</w:t>
      </w:r>
      <w:r>
        <w:rPr>
          <w:spacing w:val="-5"/>
        </w:rPr>
        <w:t>，最低检测量参考品为阳性。</w:t>
      </w:r>
      <w:r>
        <w:rPr>
          <w:spacing w:val="-8"/>
        </w:rPr>
        <w:t>检出限及定量限：本试剂盒的最低检出限为 </w:t>
      </w:r>
      <w:r>
        <w:rPr>
          <w:rFonts w:ascii="Times New Roman" w:eastAsia="Times New Roman"/>
        </w:rPr>
        <w:t>12 </w:t>
      </w:r>
      <w:r>
        <w:rPr>
          <w:rFonts w:ascii="Times New Roman" w:eastAsia="Times New Roman"/>
          <w:spacing w:val="-3"/>
        </w:rPr>
        <w:t>IU/mL</w:t>
      </w:r>
      <w:r>
        <w:rPr>
          <w:spacing w:val="-11"/>
        </w:rPr>
        <w:t>，最低定量限为 </w:t>
      </w:r>
      <w:r>
        <w:rPr>
          <w:rFonts w:ascii="Times New Roman" w:eastAsia="Times New Roman"/>
        </w:rPr>
        <w:t>25 </w:t>
      </w:r>
      <w:r>
        <w:rPr>
          <w:rFonts w:ascii="Times New Roman" w:eastAsia="Times New Roman"/>
          <w:spacing w:val="-3"/>
        </w:rPr>
        <w:t>IU/mL</w:t>
      </w:r>
      <w:r>
        <w:rPr/>
        <w:t>。</w:t>
      </w:r>
    </w:p>
    <w:p>
      <w:pPr>
        <w:pStyle w:val="BodyText"/>
        <w:spacing w:line="208" w:lineRule="auto"/>
        <w:ind w:left="480" w:right="1759" w:firstLine="4"/>
      </w:pPr>
      <w:r>
        <w:rPr>
          <w:spacing w:val="-5"/>
        </w:rPr>
        <w:t>精密度：本试剂盒检测精密度参考品</w:t>
      </w:r>
      <w:r>
        <w:rPr>
          <w:spacing w:val="-3"/>
        </w:rPr>
        <w:t>（</w:t>
      </w:r>
      <w:r>
        <w:rPr>
          <w:rFonts w:ascii="Times New Roman" w:hAnsi="Times New Roman" w:eastAsia="Times New Roman"/>
          <w:spacing w:val="-3"/>
        </w:rPr>
        <w:t>5.0E+05 IU/mL</w:t>
      </w:r>
      <w:r>
        <w:rPr>
          <w:spacing w:val="-5"/>
        </w:rPr>
        <w:t>、</w:t>
      </w:r>
      <w:r>
        <w:rPr>
          <w:rFonts w:ascii="Times New Roman" w:hAnsi="Times New Roman" w:eastAsia="Times New Roman"/>
          <w:spacing w:val="-3"/>
        </w:rPr>
        <w:t>5.0E+02 IU/mL</w:t>
      </w:r>
      <w:r>
        <w:rPr>
          <w:spacing w:val="-3"/>
        </w:rPr>
        <w:t>）</w:t>
      </w:r>
      <w:r>
        <w:rPr>
          <w:spacing w:val="-5"/>
        </w:rPr>
        <w:t>，浓度对数值的变异系数均</w:t>
      </w:r>
      <w:r>
        <w:rPr>
          <w:rFonts w:ascii="Times New Roman" w:hAnsi="Times New Roman" w:eastAsia="Times New Roman"/>
          <w:spacing w:val="-3"/>
        </w:rPr>
        <w:t>≤5%</w:t>
      </w:r>
      <w:r>
        <w:rPr/>
        <w:t>。</w:t>
      </w:r>
      <w:r>
        <w:rPr>
          <w:spacing w:val="-8"/>
        </w:rPr>
        <w:t>线性范围：本试剂盒的线性范围为 </w:t>
      </w:r>
      <w:r>
        <w:rPr>
          <w:rFonts w:ascii="Times New Roman" w:hAnsi="Times New Roman" w:eastAsia="Times New Roman"/>
        </w:rPr>
        <w:t>25 </w:t>
      </w:r>
      <w:r>
        <w:rPr>
          <w:rFonts w:ascii="Times New Roman" w:hAnsi="Times New Roman" w:eastAsia="Times New Roman"/>
          <w:spacing w:val="-3"/>
        </w:rPr>
        <w:t>IU/mL</w:t>
      </w:r>
      <w:r>
        <w:rPr>
          <w:spacing w:val="-3"/>
        </w:rPr>
        <w:t>～</w:t>
      </w:r>
      <w:r>
        <w:rPr>
          <w:rFonts w:ascii="Times New Roman" w:hAnsi="Times New Roman" w:eastAsia="Times New Roman"/>
          <w:spacing w:val="-3"/>
        </w:rPr>
        <w:t>1.0E+08 IU/mL</w:t>
      </w:r>
      <w:r>
        <w:rPr>
          <w:spacing w:val="-5"/>
        </w:rPr>
        <w:t>，线性相关系数</w:t>
      </w:r>
      <w:r>
        <w:rPr>
          <w:rFonts w:ascii="Times New Roman" w:hAnsi="Times New Roman" w:eastAsia="Times New Roman"/>
          <w:spacing w:val="-3"/>
        </w:rPr>
        <w:t>|r|≥0.98</w:t>
      </w:r>
      <w:r>
        <w:rPr/>
        <w:t>。</w:t>
      </w:r>
    </w:p>
    <w:p>
      <w:pPr>
        <w:pStyle w:val="BodyText"/>
        <w:spacing w:line="191" w:lineRule="exact"/>
        <w:ind w:left="480"/>
      </w:pPr>
      <w:r>
        <w:rPr/>
        <w:t>亚型检测能力：本试剂盒检测丙型肝炎病毒基因型别包括 </w:t>
      </w:r>
      <w:r>
        <w:rPr>
          <w:rFonts w:ascii="Times New Roman" w:eastAsia="Times New Roman"/>
        </w:rPr>
        <w:t>1</w:t>
      </w:r>
      <w:r>
        <w:rPr/>
        <w:t>、</w:t>
      </w:r>
      <w:r>
        <w:rPr>
          <w:rFonts w:ascii="Times New Roman" w:eastAsia="Times New Roman"/>
        </w:rPr>
        <w:t>2</w:t>
      </w:r>
      <w:r>
        <w:rPr/>
        <w:t>、</w:t>
      </w:r>
      <w:r>
        <w:rPr>
          <w:rFonts w:ascii="Times New Roman" w:eastAsia="Times New Roman"/>
        </w:rPr>
        <w:t>3</w:t>
      </w:r>
      <w:r>
        <w:rPr/>
        <w:t>、</w:t>
      </w:r>
      <w:r>
        <w:rPr>
          <w:rFonts w:ascii="Times New Roman" w:eastAsia="Times New Roman"/>
        </w:rPr>
        <w:t>4</w:t>
      </w:r>
      <w:r>
        <w:rPr/>
        <w:t>、</w:t>
      </w:r>
      <w:r>
        <w:rPr>
          <w:rFonts w:ascii="Times New Roman" w:eastAsia="Times New Roman"/>
        </w:rPr>
        <w:t>5</w:t>
      </w:r>
      <w:r>
        <w:rPr/>
        <w:t>、</w:t>
      </w:r>
      <w:r>
        <w:rPr>
          <w:rFonts w:ascii="Times New Roman" w:eastAsia="Times New Roman"/>
        </w:rPr>
        <w:t>6 </w:t>
      </w:r>
      <w:r>
        <w:rPr/>
        <w:t>型。</w:t>
      </w:r>
    </w:p>
    <w:p>
      <w:pPr>
        <w:pStyle w:val="BodyText"/>
        <w:spacing w:line="208" w:lineRule="auto" w:before="8"/>
        <w:ind w:right="235" w:firstLine="352"/>
      </w:pPr>
      <w:r>
        <w:rPr>
          <w:spacing w:val="-8"/>
        </w:rPr>
        <w:t>分析特异性：对人巨细胞病毒、</w:t>
      </w:r>
      <w:r>
        <w:rPr>
          <w:rFonts w:ascii="Times New Roman" w:eastAsia="Times New Roman"/>
        </w:rPr>
        <w:t>EB </w:t>
      </w:r>
      <w:r>
        <w:rPr>
          <w:spacing w:val="-11"/>
        </w:rPr>
        <w:t>病毒、人类免疫缺陷病毒、乙型肝炎病毒、甲型肝炎病毒、梅毒、单纯疱疹病毒 </w:t>
      </w:r>
      <w:r>
        <w:rPr>
          <w:rFonts w:ascii="Times New Roman" w:eastAsia="Times New Roman"/>
        </w:rPr>
        <w:t>2 </w:t>
      </w:r>
      <w:r>
        <w:rPr>
          <w:spacing w:val="-6"/>
        </w:rPr>
        <w:t>型、甲型</w:t>
      </w:r>
      <w:r>
        <w:rPr>
          <w:spacing w:val="-5"/>
        </w:rPr>
        <w:t>流感病毒、金黄色葡萄球菌、白色念珠菌阳性样本无交叉反应。</w:t>
      </w:r>
    </w:p>
    <w:p>
      <w:pPr>
        <w:pStyle w:val="BodyText"/>
        <w:spacing w:line="206" w:lineRule="auto" w:before="1"/>
        <w:ind w:right="223" w:firstLine="352"/>
      </w:pPr>
      <w:r>
        <w:rPr>
          <w:spacing w:val="-5"/>
        </w:rPr>
        <w:t>抗干扰物检测能力：内源性干扰物血红蛋白</w:t>
      </w:r>
      <w:r>
        <w:rPr>
          <w:spacing w:val="-4"/>
        </w:rPr>
        <w:t>（</w:t>
      </w:r>
      <w:r>
        <w:rPr>
          <w:rFonts w:ascii="Times New Roman" w:hAnsi="Times New Roman" w:eastAsia="Times New Roman"/>
          <w:spacing w:val="-4"/>
        </w:rPr>
        <w:t>≤2g/dL</w:t>
      </w:r>
      <w:r>
        <w:rPr>
          <w:spacing w:val="-4"/>
        </w:rPr>
        <w:t>）</w:t>
      </w:r>
      <w:r>
        <w:rPr>
          <w:spacing w:val="-5"/>
        </w:rPr>
        <w:t>、总胆红素</w:t>
      </w:r>
      <w:r>
        <w:rPr>
          <w:spacing w:val="-3"/>
        </w:rPr>
        <w:t>（</w:t>
      </w:r>
      <w:r>
        <w:rPr>
          <w:rFonts w:ascii="Times New Roman" w:hAnsi="Times New Roman" w:eastAsia="Times New Roman"/>
          <w:spacing w:val="-3"/>
        </w:rPr>
        <w:t>≤28mg/dL</w:t>
      </w:r>
      <w:r>
        <w:rPr>
          <w:spacing w:val="-3"/>
        </w:rPr>
        <w:t>）</w:t>
      </w:r>
      <w:r>
        <w:rPr>
          <w:spacing w:val="-5"/>
        </w:rPr>
        <w:t>、甘油三酯</w:t>
      </w:r>
      <w:r>
        <w:rPr>
          <w:spacing w:val="-4"/>
        </w:rPr>
        <w:t>（</w:t>
      </w:r>
      <w:r>
        <w:rPr>
          <w:rFonts w:ascii="Times New Roman" w:hAnsi="Times New Roman" w:eastAsia="Times New Roman"/>
          <w:spacing w:val="-4"/>
        </w:rPr>
        <w:t>≤3g/dL</w:t>
      </w:r>
      <w:r>
        <w:rPr>
          <w:spacing w:val="-4"/>
        </w:rPr>
        <w:t>）</w:t>
      </w:r>
      <w:r>
        <w:rPr>
          <w:spacing w:val="18"/>
        </w:rPr>
        <w:t>、总</w:t>
      </w:r>
      <w:r>
        <w:rPr>
          <w:rFonts w:ascii="Times New Roman" w:hAnsi="Times New Roman" w:eastAsia="Times New Roman"/>
          <w:spacing w:val="-3"/>
        </w:rPr>
        <w:t>IgG</w:t>
      </w:r>
      <w:r>
        <w:rPr>
          <w:spacing w:val="-3"/>
        </w:rPr>
        <w:t>（</w:t>
      </w:r>
      <w:r>
        <w:rPr>
          <w:rFonts w:ascii="Times New Roman" w:hAnsi="Times New Roman" w:eastAsia="Times New Roman"/>
          <w:spacing w:val="-3"/>
        </w:rPr>
        <w:t>≤40mg/mL</w:t>
      </w:r>
      <w:r>
        <w:rPr>
          <w:spacing w:val="-3"/>
        </w:rPr>
        <w:t>） </w:t>
      </w:r>
      <w:r>
        <w:rPr>
          <w:spacing w:val="-5"/>
        </w:rPr>
        <w:t>对检测无影响。</w:t>
      </w:r>
    </w:p>
    <w:p>
      <w:pPr>
        <w:pStyle w:val="Heading1"/>
        <w:spacing w:line="194" w:lineRule="exact"/>
      </w:pPr>
      <w:r>
        <w:rPr/>
        <w:t>【注意事项】</w:t>
      </w:r>
    </w:p>
    <w:p>
      <w:pPr>
        <w:pStyle w:val="ListParagraph"/>
        <w:numPr>
          <w:ilvl w:val="0"/>
          <w:numId w:val="7"/>
        </w:numPr>
        <w:tabs>
          <w:tab w:pos="260" w:val="left" w:leader="none"/>
        </w:tabs>
        <w:spacing w:line="199" w:lineRule="exact" w:before="0" w:after="0"/>
        <w:ind w:left="259" w:right="0" w:hanging="136"/>
        <w:jc w:val="left"/>
        <w:rPr>
          <w:sz w:val="18"/>
        </w:rPr>
      </w:pPr>
      <w:r>
        <w:rPr>
          <w:spacing w:val="-5"/>
          <w:sz w:val="18"/>
        </w:rPr>
        <w:t>本品仅用于体外诊断，使用前请仔细阅读本说明书。</w:t>
      </w:r>
    </w:p>
    <w:p>
      <w:pPr>
        <w:pStyle w:val="ListParagraph"/>
        <w:numPr>
          <w:ilvl w:val="0"/>
          <w:numId w:val="7"/>
        </w:numPr>
        <w:tabs>
          <w:tab w:pos="260" w:val="left" w:leader="none"/>
        </w:tabs>
        <w:spacing w:line="200" w:lineRule="exact" w:before="0" w:after="0"/>
        <w:ind w:left="259" w:right="0" w:hanging="136"/>
        <w:jc w:val="left"/>
        <w:rPr>
          <w:sz w:val="18"/>
        </w:rPr>
      </w:pPr>
      <w:r>
        <w:rPr>
          <w:spacing w:val="-5"/>
          <w:sz w:val="18"/>
        </w:rPr>
        <w:t>实验前请熟悉和掌握需使用的各种仪器的操作方法和注意事项，对每次实验进行质量控制。</w:t>
      </w:r>
    </w:p>
    <w:p>
      <w:pPr>
        <w:pStyle w:val="ListParagraph"/>
        <w:numPr>
          <w:ilvl w:val="0"/>
          <w:numId w:val="7"/>
        </w:numPr>
        <w:tabs>
          <w:tab w:pos="262" w:val="left" w:leader="none"/>
        </w:tabs>
        <w:spacing w:line="206" w:lineRule="auto" w:before="11" w:after="0"/>
        <w:ind w:left="302" w:right="242" w:hanging="176"/>
        <w:jc w:val="left"/>
        <w:rPr>
          <w:sz w:val="18"/>
        </w:rPr>
      </w:pPr>
      <w:r>
        <w:rPr>
          <w:spacing w:val="-5"/>
          <w:sz w:val="18"/>
        </w:rPr>
        <w:t>实验室管理应严格按照</w:t>
      </w:r>
      <w:r>
        <w:rPr>
          <w:rFonts w:ascii="Times New Roman" w:eastAsia="Times New Roman"/>
          <w:spacing w:val="-3"/>
          <w:sz w:val="18"/>
        </w:rPr>
        <w:t>PCR</w:t>
      </w:r>
      <w:r>
        <w:rPr>
          <w:spacing w:val="-9"/>
          <w:sz w:val="18"/>
        </w:rPr>
        <w:t>基因扩增实验室的管理规范，实验人员必须进行专业培训，实验过程严格分区进行，所用消耗品应灭菌</w:t>
      </w:r>
      <w:r>
        <w:rPr>
          <w:spacing w:val="-5"/>
          <w:sz w:val="18"/>
        </w:rPr>
        <w:t>后一次性使用，实验操作的每个阶段使用专用的仪器和设备，各区各阶段用品不能交叉使用。</w:t>
      </w:r>
    </w:p>
    <w:p>
      <w:pPr>
        <w:pStyle w:val="ListParagraph"/>
        <w:numPr>
          <w:ilvl w:val="0"/>
          <w:numId w:val="7"/>
        </w:numPr>
        <w:tabs>
          <w:tab w:pos="262" w:val="left" w:leader="none"/>
        </w:tabs>
        <w:spacing w:line="208" w:lineRule="auto" w:before="0" w:after="0"/>
        <w:ind w:left="302" w:right="170" w:hanging="176"/>
        <w:jc w:val="left"/>
        <w:rPr>
          <w:sz w:val="18"/>
        </w:rPr>
      </w:pPr>
      <w:r>
        <w:rPr>
          <w:spacing w:val="-5"/>
          <w:sz w:val="18"/>
        </w:rPr>
        <w:t>所有检测样品应视为具有传染性物质，实验过程中穿工作服，戴一次性手套并经常替换手套以避免样品间的交叉污染；样本操作、废弃物处理均需符合相关法规要求：卫生部《微生物生物医学实验室生物安全通用准则》和《医疗废物管理条例》。</w:t>
      </w:r>
    </w:p>
    <w:p>
      <w:pPr>
        <w:pStyle w:val="ListParagraph"/>
        <w:numPr>
          <w:ilvl w:val="0"/>
          <w:numId w:val="7"/>
        </w:numPr>
        <w:tabs>
          <w:tab w:pos="262" w:val="left" w:leader="none"/>
        </w:tabs>
        <w:spacing w:line="191" w:lineRule="exact" w:before="0" w:after="0"/>
        <w:ind w:left="262" w:right="0" w:hanging="135"/>
        <w:jc w:val="left"/>
        <w:rPr>
          <w:sz w:val="18"/>
        </w:rPr>
      </w:pPr>
      <w:r>
        <w:rPr>
          <w:spacing w:val="-5"/>
          <w:sz w:val="18"/>
        </w:rPr>
        <w:t>所有的试剂在使用前，均需在室温下充分融化、混匀后使用。</w:t>
      </w:r>
      <w:r>
        <w:rPr>
          <w:rFonts w:ascii="Times New Roman" w:eastAsia="Times New Roman"/>
          <w:spacing w:val="-3"/>
          <w:sz w:val="18"/>
        </w:rPr>
        <w:t>HCV</w:t>
      </w:r>
      <w:r>
        <w:rPr>
          <w:spacing w:val="-5"/>
          <w:sz w:val="18"/>
        </w:rPr>
        <w:t>酶混合液易粘着于管壁，使用前请瞬时离心数秒。</w:t>
      </w:r>
    </w:p>
    <w:p>
      <w:pPr>
        <w:pStyle w:val="ListParagraph"/>
        <w:numPr>
          <w:ilvl w:val="0"/>
          <w:numId w:val="7"/>
        </w:numPr>
        <w:tabs>
          <w:tab w:pos="262" w:val="left" w:leader="none"/>
        </w:tabs>
        <w:spacing w:line="200" w:lineRule="exact" w:before="0" w:after="0"/>
        <w:ind w:left="261" w:right="0" w:hanging="135"/>
        <w:jc w:val="left"/>
        <w:rPr>
          <w:sz w:val="18"/>
        </w:rPr>
      </w:pPr>
      <w:r>
        <w:rPr>
          <w:spacing w:val="-5"/>
          <w:sz w:val="18"/>
        </w:rPr>
        <w:t>建议运输采用泡沫箱加蓄冷剂的方式运输</w:t>
      </w:r>
      <w:r>
        <w:rPr>
          <w:rFonts w:ascii="Times New Roman" w:hAnsi="Times New Roman" w:eastAsia="Times New Roman"/>
          <w:sz w:val="18"/>
        </w:rPr>
        <w:t>5</w:t>
      </w:r>
      <w:r>
        <w:rPr>
          <w:spacing w:val="-5"/>
          <w:sz w:val="18"/>
        </w:rPr>
        <w:t>天，温度不超过</w:t>
      </w:r>
      <w:r>
        <w:rPr>
          <w:rFonts w:ascii="Times New Roman" w:hAnsi="Times New Roman" w:eastAsia="Times New Roman"/>
          <w:spacing w:val="-3"/>
          <w:sz w:val="18"/>
        </w:rPr>
        <w:t>20</w:t>
      </w:r>
      <w:r>
        <w:rPr>
          <w:spacing w:val="-2"/>
          <w:sz w:val="18"/>
        </w:rPr>
        <w:t>℃。</w:t>
      </w:r>
    </w:p>
    <w:p>
      <w:pPr>
        <w:pStyle w:val="ListParagraph"/>
        <w:numPr>
          <w:ilvl w:val="0"/>
          <w:numId w:val="7"/>
        </w:numPr>
        <w:tabs>
          <w:tab w:pos="262" w:val="left" w:leader="none"/>
        </w:tabs>
        <w:spacing w:line="200" w:lineRule="exact" w:before="0" w:after="0"/>
        <w:ind w:left="262" w:right="0" w:hanging="135"/>
        <w:jc w:val="left"/>
        <w:rPr>
          <w:sz w:val="18"/>
        </w:rPr>
      </w:pPr>
      <w:r>
        <w:rPr>
          <w:spacing w:val="-5"/>
          <w:sz w:val="18"/>
        </w:rPr>
        <w:t>若实时荧光</w:t>
      </w:r>
      <w:r>
        <w:rPr>
          <w:rFonts w:ascii="Times New Roman" w:eastAsia="Times New Roman"/>
          <w:spacing w:val="-3"/>
          <w:sz w:val="18"/>
        </w:rPr>
        <w:t>PCR</w:t>
      </w:r>
      <w:r>
        <w:rPr>
          <w:spacing w:val="-5"/>
          <w:sz w:val="18"/>
        </w:rPr>
        <w:t>仪仅有双通道（</w:t>
      </w:r>
      <w:r>
        <w:rPr>
          <w:spacing w:val="-3"/>
          <w:sz w:val="18"/>
        </w:rPr>
        <w:t>如</w:t>
      </w:r>
      <w:r>
        <w:rPr>
          <w:rFonts w:ascii="Times New Roman" w:eastAsia="Times New Roman"/>
          <w:spacing w:val="-7"/>
          <w:sz w:val="18"/>
        </w:rPr>
        <w:t>FAM</w:t>
      </w:r>
      <w:r>
        <w:rPr>
          <w:spacing w:val="-5"/>
          <w:sz w:val="18"/>
        </w:rPr>
        <w:t>和</w:t>
      </w:r>
      <w:r>
        <w:rPr>
          <w:rFonts w:ascii="Times New Roman" w:eastAsia="Times New Roman"/>
          <w:spacing w:val="-3"/>
          <w:sz w:val="18"/>
        </w:rPr>
        <w:t>ROX</w:t>
      </w:r>
      <w:r>
        <w:rPr>
          <w:spacing w:val="-3"/>
          <w:sz w:val="18"/>
        </w:rPr>
        <w:t>）</w:t>
      </w:r>
      <w:r>
        <w:rPr>
          <w:spacing w:val="-5"/>
          <w:sz w:val="18"/>
        </w:rPr>
        <w:t>，则可忽略内标扩增监测；若只有单通道可以忽略参比荧光</w:t>
      </w:r>
      <w:r>
        <w:rPr>
          <w:rFonts w:ascii="Times New Roman" w:eastAsia="Times New Roman"/>
          <w:spacing w:val="-3"/>
          <w:sz w:val="18"/>
        </w:rPr>
        <w:t>ROX</w:t>
      </w:r>
      <w:r>
        <w:rPr>
          <w:spacing w:val="-3"/>
          <w:sz w:val="18"/>
        </w:rPr>
        <w:t>设置。</w:t>
      </w:r>
    </w:p>
    <w:p>
      <w:pPr>
        <w:pStyle w:val="ListParagraph"/>
        <w:numPr>
          <w:ilvl w:val="0"/>
          <w:numId w:val="7"/>
        </w:numPr>
        <w:tabs>
          <w:tab w:pos="262" w:val="left" w:leader="none"/>
        </w:tabs>
        <w:spacing w:line="206" w:lineRule="auto" w:before="9" w:after="0"/>
        <w:ind w:left="302" w:right="237" w:hanging="176"/>
        <w:jc w:val="left"/>
        <w:rPr>
          <w:sz w:val="18"/>
        </w:rPr>
      </w:pPr>
      <w:r>
        <w:rPr>
          <w:spacing w:val="-3"/>
          <w:sz w:val="18"/>
        </w:rPr>
        <w:t>对于检测为阴性的样本，应确定</w:t>
      </w:r>
      <w:r>
        <w:rPr>
          <w:rFonts w:ascii="Times New Roman" w:eastAsia="Times New Roman"/>
          <w:sz w:val="18"/>
        </w:rPr>
        <w:t>HCV</w:t>
      </w:r>
      <w:r>
        <w:rPr>
          <w:rFonts w:ascii="Times New Roman" w:eastAsia="Times New Roman"/>
          <w:spacing w:val="-8"/>
          <w:sz w:val="18"/>
        </w:rPr>
        <w:t> </w:t>
      </w:r>
      <w:r>
        <w:rPr>
          <w:spacing w:val="-5"/>
          <w:sz w:val="18"/>
        </w:rPr>
        <w:t>内标的扩增信号是否正常，以保证实验操作和检测试剂的正常使用以及抑制样本的出现，避免假阴性结果；对于阳性检测样本，</w:t>
      </w:r>
      <w:r>
        <w:rPr>
          <w:rFonts w:ascii="Times New Roman" w:eastAsia="Times New Roman"/>
          <w:sz w:val="18"/>
        </w:rPr>
        <w:t>HCV</w:t>
      </w:r>
      <w:r>
        <w:rPr>
          <w:rFonts w:ascii="Times New Roman" w:eastAsia="Times New Roman"/>
          <w:spacing w:val="-6"/>
          <w:sz w:val="18"/>
        </w:rPr>
        <w:t> </w:t>
      </w:r>
      <w:r>
        <w:rPr>
          <w:spacing w:val="-5"/>
          <w:sz w:val="18"/>
        </w:rPr>
        <w:t>内标的扩增信号可不予考虑。</w:t>
      </w:r>
    </w:p>
    <w:p>
      <w:pPr>
        <w:pStyle w:val="ListParagraph"/>
        <w:numPr>
          <w:ilvl w:val="0"/>
          <w:numId w:val="7"/>
        </w:numPr>
        <w:tabs>
          <w:tab w:pos="264" w:val="left" w:leader="none"/>
        </w:tabs>
        <w:spacing w:line="194" w:lineRule="exact" w:before="0" w:after="0"/>
        <w:ind w:left="264" w:right="0" w:hanging="137"/>
        <w:jc w:val="left"/>
        <w:rPr>
          <w:sz w:val="18"/>
        </w:rPr>
      </w:pPr>
      <w:r>
        <w:rPr>
          <w:spacing w:val="-15"/>
          <w:sz w:val="18"/>
        </w:rPr>
        <w:t>由于 </w:t>
      </w:r>
      <w:r>
        <w:rPr>
          <w:rFonts w:ascii="Times New Roman" w:eastAsia="Times New Roman"/>
          <w:sz w:val="18"/>
        </w:rPr>
        <w:t>HCV</w:t>
      </w:r>
      <w:r>
        <w:rPr>
          <w:rFonts w:ascii="Times New Roman" w:eastAsia="Times New Roman"/>
          <w:spacing w:val="3"/>
          <w:sz w:val="18"/>
        </w:rPr>
        <w:t> </w:t>
      </w:r>
      <w:r>
        <w:rPr>
          <w:spacing w:val="-21"/>
          <w:sz w:val="18"/>
        </w:rPr>
        <w:t>为 </w:t>
      </w:r>
      <w:r>
        <w:rPr>
          <w:rFonts w:ascii="Times New Roman" w:eastAsia="Times New Roman"/>
          <w:sz w:val="18"/>
        </w:rPr>
        <w:t>RNA</w:t>
      </w:r>
      <w:r>
        <w:rPr>
          <w:rFonts w:ascii="Times New Roman" w:eastAsia="Times New Roman"/>
          <w:spacing w:val="5"/>
          <w:sz w:val="18"/>
        </w:rPr>
        <w:t> </w:t>
      </w:r>
      <w:r>
        <w:rPr>
          <w:spacing w:val="-3"/>
          <w:sz w:val="18"/>
        </w:rPr>
        <w:t>病毒，操作过程中应特别注意防止 </w:t>
      </w:r>
      <w:r>
        <w:rPr>
          <w:rFonts w:ascii="Times New Roman" w:eastAsia="Times New Roman"/>
          <w:sz w:val="18"/>
        </w:rPr>
        <w:t>RNase</w:t>
      </w:r>
      <w:r>
        <w:rPr>
          <w:rFonts w:ascii="Times New Roman" w:eastAsia="Times New Roman"/>
          <w:spacing w:val="5"/>
          <w:sz w:val="18"/>
        </w:rPr>
        <w:t> </w:t>
      </w:r>
      <w:r>
        <w:rPr>
          <w:spacing w:val="-22"/>
          <w:sz w:val="18"/>
        </w:rPr>
        <w:t>对 </w:t>
      </w:r>
      <w:r>
        <w:rPr>
          <w:rFonts w:ascii="Times New Roman" w:eastAsia="Times New Roman"/>
          <w:sz w:val="18"/>
        </w:rPr>
        <w:t>RNA</w:t>
      </w:r>
      <w:r>
        <w:rPr>
          <w:rFonts w:ascii="Times New Roman" w:eastAsia="Times New Roman"/>
          <w:spacing w:val="5"/>
          <w:sz w:val="18"/>
        </w:rPr>
        <w:t> </w:t>
      </w:r>
      <w:r>
        <w:rPr>
          <w:sz w:val="18"/>
        </w:rPr>
        <w:t>的降解作用，所有使用的器皿、加样枪等均为专用，使用</w:t>
      </w:r>
    </w:p>
    <w:p>
      <w:pPr>
        <w:pStyle w:val="BodyText"/>
        <w:spacing w:line="199" w:lineRule="exact"/>
        <w:ind w:left="302"/>
      </w:pPr>
      <w:r>
        <w:rPr>
          <w:rFonts w:ascii="Times New Roman" w:eastAsia="Times New Roman"/>
        </w:rPr>
        <w:t>RNase-free </w:t>
      </w:r>
      <w:r>
        <w:rPr/>
        <w:t>的离心管、</w:t>
      </w:r>
      <w:r>
        <w:rPr>
          <w:rFonts w:ascii="Times New Roman" w:eastAsia="Times New Roman"/>
        </w:rPr>
        <w:t>PCR </w:t>
      </w:r>
      <w:r>
        <w:rPr/>
        <w:t>管、吸嘴等一次性耗材，确保无</w:t>
      </w:r>
      <w:r>
        <w:rPr>
          <w:rFonts w:ascii="Times New Roman" w:eastAsia="Times New Roman"/>
        </w:rPr>
        <w:t>RNA </w:t>
      </w:r>
      <w:r>
        <w:rPr/>
        <w:t>酶污染。</w:t>
      </w:r>
    </w:p>
    <w:p>
      <w:pPr>
        <w:pStyle w:val="Heading1"/>
        <w:spacing w:line="205" w:lineRule="exact"/>
      </w:pPr>
      <w:r>
        <w:rPr/>
        <w:t>【参考文献】</w:t>
      </w:r>
    </w:p>
    <w:p>
      <w:pPr>
        <w:pStyle w:val="ListParagraph"/>
        <w:numPr>
          <w:ilvl w:val="0"/>
          <w:numId w:val="8"/>
        </w:numPr>
        <w:tabs>
          <w:tab w:pos="372" w:val="left" w:leader="none"/>
        </w:tabs>
        <w:spacing w:line="232" w:lineRule="auto" w:before="0" w:after="0"/>
        <w:ind w:left="127" w:right="747" w:firstLine="0"/>
        <w:jc w:val="left"/>
        <w:rPr>
          <w:rFonts w:ascii="Times New Roman"/>
          <w:sz w:val="18"/>
        </w:rPr>
      </w:pPr>
      <w:r>
        <w:rPr>
          <w:rFonts w:ascii="Times New Roman"/>
          <w:sz w:val="18"/>
        </w:rPr>
        <w:t>Armstrong GL, </w:t>
      </w:r>
      <w:r>
        <w:rPr>
          <w:rFonts w:ascii="Times New Roman"/>
          <w:spacing w:val="-3"/>
          <w:sz w:val="18"/>
        </w:rPr>
        <w:t>Wasley </w:t>
      </w:r>
      <w:r>
        <w:rPr>
          <w:rFonts w:ascii="Times New Roman"/>
          <w:sz w:val="18"/>
        </w:rPr>
        <w:t>A, Simard </w:t>
      </w:r>
      <w:r>
        <w:rPr>
          <w:rFonts w:ascii="Times New Roman"/>
          <w:spacing w:val="-6"/>
          <w:sz w:val="18"/>
        </w:rPr>
        <w:t>EP, </w:t>
      </w:r>
      <w:r>
        <w:rPr>
          <w:rFonts w:ascii="Times New Roman"/>
          <w:sz w:val="18"/>
        </w:rPr>
        <w:t>et al. The prevalence of hepatitis C virus infection in the United States, 1999 through 2002. Ann Intern Med.</w:t>
      </w:r>
      <w:r>
        <w:rPr>
          <w:rFonts w:ascii="Times New Roman"/>
          <w:spacing w:val="-7"/>
          <w:sz w:val="18"/>
        </w:rPr>
        <w:t> </w:t>
      </w:r>
      <w:r>
        <w:rPr>
          <w:rFonts w:ascii="Times New Roman"/>
          <w:sz w:val="18"/>
        </w:rPr>
        <w:t>2006;144:705-714.</w:t>
      </w:r>
    </w:p>
    <w:p>
      <w:pPr>
        <w:pStyle w:val="ListParagraph"/>
        <w:numPr>
          <w:ilvl w:val="0"/>
          <w:numId w:val="8"/>
        </w:numPr>
        <w:tabs>
          <w:tab w:pos="375" w:val="left" w:leader="none"/>
        </w:tabs>
        <w:spacing w:line="197" w:lineRule="exact" w:before="0" w:after="0"/>
        <w:ind w:left="374" w:right="0" w:hanging="248"/>
        <w:jc w:val="left"/>
        <w:rPr>
          <w:rFonts w:ascii="Times New Roman"/>
          <w:sz w:val="18"/>
        </w:rPr>
      </w:pPr>
      <w:r>
        <w:rPr>
          <w:rFonts w:ascii="Times New Roman"/>
          <w:sz w:val="18"/>
        </w:rPr>
        <w:t>Everson, </w:t>
      </w:r>
      <w:r>
        <w:rPr>
          <w:rFonts w:ascii="Times New Roman"/>
          <w:spacing w:val="-5"/>
          <w:sz w:val="18"/>
        </w:rPr>
        <w:t>GT. </w:t>
      </w:r>
      <w:r>
        <w:rPr>
          <w:rFonts w:ascii="Times New Roman"/>
          <w:sz w:val="18"/>
        </w:rPr>
        <w:t>Treatment of hepatitis C in patients who have decompensated cirrhosis. Clin Liver Dis.</w:t>
      </w:r>
      <w:r>
        <w:rPr>
          <w:rFonts w:ascii="Times New Roman"/>
          <w:spacing w:val="-14"/>
          <w:sz w:val="18"/>
        </w:rPr>
        <w:t> </w:t>
      </w:r>
      <w:r>
        <w:rPr>
          <w:rFonts w:ascii="Times New Roman"/>
          <w:sz w:val="18"/>
        </w:rPr>
        <w:t>2005;9:473-486.</w:t>
      </w:r>
    </w:p>
    <w:p>
      <w:pPr>
        <w:pStyle w:val="ListParagraph"/>
        <w:numPr>
          <w:ilvl w:val="0"/>
          <w:numId w:val="8"/>
        </w:numPr>
        <w:tabs>
          <w:tab w:pos="375" w:val="left" w:leader="none"/>
        </w:tabs>
        <w:spacing w:line="232" w:lineRule="auto" w:before="0" w:after="0"/>
        <w:ind w:left="127" w:right="421" w:firstLine="0"/>
        <w:jc w:val="left"/>
        <w:rPr>
          <w:rFonts w:ascii="Times New Roman"/>
          <w:sz w:val="18"/>
        </w:rPr>
      </w:pPr>
      <w:r>
        <w:rPr>
          <w:rFonts w:ascii="Times New Roman"/>
          <w:sz w:val="18"/>
        </w:rPr>
        <w:t>Ferenci</w:t>
      </w:r>
      <w:r>
        <w:rPr>
          <w:rFonts w:ascii="Times New Roman"/>
          <w:spacing w:val="-10"/>
          <w:sz w:val="18"/>
        </w:rPr>
        <w:t> </w:t>
      </w:r>
      <w:r>
        <w:rPr>
          <w:rFonts w:ascii="Times New Roman"/>
          <w:sz w:val="18"/>
        </w:rPr>
        <w:t>P,Fried</w:t>
      </w:r>
      <w:r>
        <w:rPr>
          <w:rFonts w:ascii="Times New Roman"/>
          <w:spacing w:val="-8"/>
          <w:sz w:val="18"/>
        </w:rPr>
        <w:t> </w:t>
      </w:r>
      <w:r>
        <w:rPr>
          <w:rFonts w:ascii="Times New Roman"/>
          <w:spacing w:val="-3"/>
          <w:sz w:val="18"/>
        </w:rPr>
        <w:t>M,Shiffman</w:t>
      </w:r>
      <w:r>
        <w:rPr>
          <w:rFonts w:ascii="Times New Roman"/>
          <w:spacing w:val="-8"/>
          <w:sz w:val="18"/>
        </w:rPr>
        <w:t> </w:t>
      </w:r>
      <w:r>
        <w:rPr>
          <w:rFonts w:ascii="Times New Roman"/>
          <w:sz w:val="18"/>
        </w:rPr>
        <w:t>M,</w:t>
      </w:r>
      <w:r>
        <w:rPr>
          <w:rFonts w:ascii="Times New Roman"/>
          <w:spacing w:val="-4"/>
          <w:sz w:val="18"/>
        </w:rPr>
        <w:t> </w:t>
      </w:r>
      <w:r>
        <w:rPr>
          <w:rFonts w:ascii="Times New Roman"/>
          <w:sz w:val="18"/>
        </w:rPr>
        <w:t>et</w:t>
      </w:r>
      <w:r>
        <w:rPr>
          <w:rFonts w:ascii="Times New Roman"/>
          <w:spacing w:val="-1"/>
          <w:sz w:val="18"/>
        </w:rPr>
        <w:t> </w:t>
      </w:r>
      <w:r>
        <w:rPr>
          <w:rFonts w:ascii="Times New Roman"/>
          <w:sz w:val="18"/>
        </w:rPr>
        <w:t>al.</w:t>
      </w:r>
      <w:r>
        <w:rPr>
          <w:rFonts w:ascii="Times New Roman"/>
          <w:spacing w:val="-2"/>
          <w:sz w:val="18"/>
        </w:rPr>
        <w:t> </w:t>
      </w:r>
      <w:r>
        <w:rPr>
          <w:rFonts w:ascii="Times New Roman"/>
          <w:sz w:val="18"/>
        </w:rPr>
        <w:t>Predicting</w:t>
      </w:r>
      <w:r>
        <w:rPr>
          <w:rFonts w:ascii="Times New Roman"/>
          <w:spacing w:val="-3"/>
          <w:sz w:val="18"/>
        </w:rPr>
        <w:t> </w:t>
      </w:r>
      <w:r>
        <w:rPr>
          <w:rFonts w:ascii="Times New Roman"/>
          <w:sz w:val="18"/>
        </w:rPr>
        <w:t>sustained</w:t>
      </w:r>
      <w:r>
        <w:rPr>
          <w:rFonts w:ascii="Times New Roman"/>
          <w:spacing w:val="-4"/>
          <w:sz w:val="18"/>
        </w:rPr>
        <w:t> </w:t>
      </w:r>
      <w:r>
        <w:rPr>
          <w:rFonts w:ascii="Times New Roman"/>
          <w:sz w:val="18"/>
        </w:rPr>
        <w:t>virologic</w:t>
      </w:r>
      <w:r>
        <w:rPr>
          <w:rFonts w:ascii="Times New Roman"/>
          <w:spacing w:val="-3"/>
          <w:sz w:val="18"/>
        </w:rPr>
        <w:t> </w:t>
      </w:r>
      <w:r>
        <w:rPr>
          <w:rFonts w:ascii="Times New Roman"/>
          <w:sz w:val="18"/>
        </w:rPr>
        <w:t>responses</w:t>
      </w:r>
      <w:r>
        <w:rPr>
          <w:rFonts w:ascii="Times New Roman"/>
          <w:spacing w:val="-2"/>
          <w:sz w:val="18"/>
        </w:rPr>
        <w:t> </w:t>
      </w:r>
      <w:r>
        <w:rPr>
          <w:rFonts w:ascii="Times New Roman"/>
          <w:sz w:val="18"/>
        </w:rPr>
        <w:t>in</w:t>
      </w:r>
      <w:r>
        <w:rPr>
          <w:rFonts w:ascii="Times New Roman"/>
          <w:spacing w:val="-4"/>
          <w:sz w:val="18"/>
        </w:rPr>
        <w:t> </w:t>
      </w:r>
      <w:r>
        <w:rPr>
          <w:rFonts w:ascii="Times New Roman"/>
          <w:sz w:val="18"/>
        </w:rPr>
        <w:t>chronic</w:t>
      </w:r>
      <w:r>
        <w:rPr>
          <w:rFonts w:ascii="Times New Roman"/>
          <w:spacing w:val="-5"/>
          <w:sz w:val="18"/>
        </w:rPr>
        <w:t> </w:t>
      </w:r>
      <w:r>
        <w:rPr>
          <w:rFonts w:ascii="Times New Roman"/>
          <w:sz w:val="18"/>
        </w:rPr>
        <w:t>hepatitis</w:t>
      </w:r>
      <w:r>
        <w:rPr>
          <w:rFonts w:ascii="Times New Roman"/>
          <w:spacing w:val="-2"/>
          <w:sz w:val="18"/>
        </w:rPr>
        <w:t> </w:t>
      </w:r>
      <w:r>
        <w:rPr>
          <w:rFonts w:ascii="Times New Roman"/>
          <w:sz w:val="18"/>
        </w:rPr>
        <w:t>C</w:t>
      </w:r>
      <w:r>
        <w:rPr>
          <w:rFonts w:ascii="Times New Roman"/>
          <w:spacing w:val="-3"/>
          <w:sz w:val="18"/>
        </w:rPr>
        <w:t> </w:t>
      </w:r>
      <w:r>
        <w:rPr>
          <w:rFonts w:ascii="Times New Roman"/>
          <w:sz w:val="18"/>
        </w:rPr>
        <w:t>patients</w:t>
      </w:r>
      <w:r>
        <w:rPr>
          <w:rFonts w:ascii="Times New Roman"/>
          <w:spacing w:val="-5"/>
          <w:sz w:val="18"/>
        </w:rPr>
        <w:t> </w:t>
      </w:r>
      <w:r>
        <w:rPr>
          <w:rFonts w:ascii="Times New Roman"/>
          <w:sz w:val="18"/>
        </w:rPr>
        <w:t>treated</w:t>
      </w:r>
      <w:r>
        <w:rPr>
          <w:rFonts w:ascii="Times New Roman"/>
          <w:spacing w:val="-1"/>
          <w:sz w:val="18"/>
        </w:rPr>
        <w:t> </w:t>
      </w:r>
      <w:r>
        <w:rPr>
          <w:rFonts w:ascii="Times New Roman"/>
          <w:sz w:val="18"/>
        </w:rPr>
        <w:t>with</w:t>
      </w:r>
      <w:r>
        <w:rPr>
          <w:rFonts w:ascii="Times New Roman"/>
          <w:spacing w:val="-4"/>
          <w:sz w:val="18"/>
        </w:rPr>
        <w:t> </w:t>
      </w:r>
      <w:r>
        <w:rPr>
          <w:rFonts w:ascii="Times New Roman"/>
          <w:sz w:val="18"/>
        </w:rPr>
        <w:t>peginterferon alfa-2alribavirin.J</w:t>
      </w:r>
      <w:r>
        <w:rPr>
          <w:rFonts w:ascii="Times New Roman"/>
          <w:spacing w:val="-1"/>
          <w:sz w:val="18"/>
        </w:rPr>
        <w:t> </w:t>
      </w:r>
      <w:r>
        <w:rPr>
          <w:rFonts w:ascii="Times New Roman"/>
          <w:sz w:val="18"/>
        </w:rPr>
        <w:t>Hepatol.2005;43:425-433.</w:t>
      </w:r>
    </w:p>
    <w:p>
      <w:pPr>
        <w:pStyle w:val="ListParagraph"/>
        <w:numPr>
          <w:ilvl w:val="0"/>
          <w:numId w:val="8"/>
        </w:numPr>
        <w:tabs>
          <w:tab w:pos="375" w:val="left" w:leader="none"/>
        </w:tabs>
        <w:spacing w:line="230" w:lineRule="auto" w:before="0" w:after="0"/>
        <w:ind w:left="127" w:right="346" w:firstLine="0"/>
        <w:jc w:val="left"/>
        <w:rPr>
          <w:rFonts w:ascii="Times New Roman"/>
          <w:sz w:val="18"/>
        </w:rPr>
      </w:pPr>
      <w:r>
        <w:rPr>
          <w:rFonts w:ascii="Times New Roman"/>
          <w:sz w:val="18"/>
        </w:rPr>
        <w:t>Longo</w:t>
      </w:r>
      <w:r>
        <w:rPr>
          <w:rFonts w:ascii="Times New Roman"/>
          <w:spacing w:val="-2"/>
          <w:sz w:val="18"/>
        </w:rPr>
        <w:t> </w:t>
      </w:r>
      <w:r>
        <w:rPr>
          <w:rFonts w:ascii="Times New Roman"/>
          <w:sz w:val="18"/>
        </w:rPr>
        <w:t>MC,Berninger</w:t>
      </w:r>
      <w:r>
        <w:rPr>
          <w:rFonts w:ascii="Times New Roman"/>
          <w:spacing w:val="-3"/>
          <w:sz w:val="18"/>
        </w:rPr>
        <w:t> </w:t>
      </w:r>
      <w:r>
        <w:rPr>
          <w:rFonts w:ascii="Times New Roman"/>
          <w:sz w:val="18"/>
        </w:rPr>
        <w:t>MS,Hartley</w:t>
      </w:r>
      <w:r>
        <w:rPr>
          <w:rFonts w:ascii="Times New Roman"/>
          <w:spacing w:val="-3"/>
          <w:sz w:val="18"/>
        </w:rPr>
        <w:t> </w:t>
      </w:r>
      <w:r>
        <w:rPr>
          <w:rFonts w:ascii="Times New Roman"/>
          <w:sz w:val="18"/>
        </w:rPr>
        <w:t>JL.Use</w:t>
      </w:r>
      <w:r>
        <w:rPr>
          <w:rFonts w:ascii="Times New Roman"/>
          <w:spacing w:val="-1"/>
          <w:sz w:val="18"/>
        </w:rPr>
        <w:t> </w:t>
      </w:r>
      <w:r>
        <w:rPr>
          <w:rFonts w:ascii="Times New Roman"/>
          <w:sz w:val="18"/>
        </w:rPr>
        <w:t>of</w:t>
      </w:r>
      <w:r>
        <w:rPr>
          <w:rFonts w:ascii="Times New Roman"/>
          <w:spacing w:val="-4"/>
          <w:sz w:val="18"/>
        </w:rPr>
        <w:t> </w:t>
      </w:r>
      <w:r>
        <w:rPr>
          <w:rFonts w:ascii="Times New Roman"/>
          <w:sz w:val="18"/>
        </w:rPr>
        <w:t>uracil</w:t>
      </w:r>
      <w:r>
        <w:rPr>
          <w:rFonts w:ascii="Times New Roman"/>
          <w:spacing w:val="-2"/>
          <w:sz w:val="18"/>
        </w:rPr>
        <w:t> </w:t>
      </w:r>
      <w:r>
        <w:rPr>
          <w:rFonts w:ascii="Times New Roman"/>
          <w:sz w:val="18"/>
        </w:rPr>
        <w:t>DNA</w:t>
      </w:r>
      <w:r>
        <w:rPr>
          <w:rFonts w:ascii="Times New Roman"/>
          <w:spacing w:val="-12"/>
          <w:sz w:val="18"/>
        </w:rPr>
        <w:t> </w:t>
      </w:r>
      <w:r>
        <w:rPr>
          <w:rFonts w:ascii="Times New Roman"/>
          <w:sz w:val="18"/>
        </w:rPr>
        <w:t>glycosylase</w:t>
      </w:r>
      <w:r>
        <w:rPr>
          <w:rFonts w:ascii="Times New Roman"/>
          <w:spacing w:val="-1"/>
          <w:sz w:val="18"/>
        </w:rPr>
        <w:t> </w:t>
      </w:r>
      <w:r>
        <w:rPr>
          <w:rFonts w:ascii="Times New Roman"/>
          <w:sz w:val="18"/>
        </w:rPr>
        <w:t>to</w:t>
      </w:r>
      <w:r>
        <w:rPr>
          <w:rFonts w:ascii="Times New Roman"/>
          <w:spacing w:val="-3"/>
          <w:sz w:val="18"/>
        </w:rPr>
        <w:t> </w:t>
      </w:r>
      <w:r>
        <w:rPr>
          <w:rFonts w:ascii="Times New Roman"/>
          <w:sz w:val="18"/>
        </w:rPr>
        <w:t>control</w:t>
      </w:r>
      <w:r>
        <w:rPr>
          <w:rFonts w:ascii="Times New Roman"/>
          <w:spacing w:val="-5"/>
          <w:sz w:val="18"/>
        </w:rPr>
        <w:t> </w:t>
      </w:r>
      <w:r>
        <w:rPr>
          <w:rFonts w:ascii="Times New Roman"/>
          <w:sz w:val="18"/>
        </w:rPr>
        <w:t>carryover contamination</w:t>
      </w:r>
      <w:r>
        <w:rPr>
          <w:rFonts w:ascii="Times New Roman"/>
          <w:spacing w:val="-3"/>
          <w:sz w:val="18"/>
        </w:rPr>
        <w:t> </w:t>
      </w:r>
      <w:r>
        <w:rPr>
          <w:rFonts w:ascii="Times New Roman"/>
          <w:sz w:val="18"/>
        </w:rPr>
        <w:t>in</w:t>
      </w:r>
      <w:r>
        <w:rPr>
          <w:rFonts w:ascii="Times New Roman"/>
          <w:spacing w:val="-4"/>
          <w:sz w:val="18"/>
        </w:rPr>
        <w:t> </w:t>
      </w:r>
      <w:r>
        <w:rPr>
          <w:rFonts w:ascii="Times New Roman"/>
          <w:sz w:val="18"/>
        </w:rPr>
        <w:t>polymerase</w:t>
      </w:r>
      <w:r>
        <w:rPr>
          <w:rFonts w:ascii="Times New Roman"/>
          <w:spacing w:val="-3"/>
          <w:sz w:val="18"/>
        </w:rPr>
        <w:t> </w:t>
      </w:r>
      <w:r>
        <w:rPr>
          <w:rFonts w:ascii="Times New Roman"/>
          <w:sz w:val="18"/>
        </w:rPr>
        <w:t>chain</w:t>
      </w:r>
      <w:r>
        <w:rPr>
          <w:rFonts w:ascii="Times New Roman"/>
          <w:spacing w:val="-4"/>
          <w:sz w:val="18"/>
        </w:rPr>
        <w:t> </w:t>
      </w:r>
      <w:r>
        <w:rPr>
          <w:rFonts w:ascii="Times New Roman"/>
          <w:sz w:val="18"/>
        </w:rPr>
        <w:t>reactions. Gene.1990;125-128.</w:t>
      </w:r>
    </w:p>
    <w:p>
      <w:pPr>
        <w:pStyle w:val="ListParagraph"/>
        <w:numPr>
          <w:ilvl w:val="0"/>
          <w:numId w:val="8"/>
        </w:numPr>
        <w:tabs>
          <w:tab w:pos="375" w:val="left" w:leader="none"/>
        </w:tabs>
        <w:spacing w:line="230" w:lineRule="auto" w:before="1" w:after="0"/>
        <w:ind w:left="127" w:right="271" w:firstLine="0"/>
        <w:jc w:val="left"/>
        <w:rPr>
          <w:rFonts w:ascii="Times New Roman"/>
          <w:sz w:val="18"/>
        </w:rPr>
      </w:pPr>
      <w:r>
        <w:rPr>
          <w:rFonts w:ascii="Times New Roman"/>
          <w:sz w:val="18"/>
        </w:rPr>
        <w:t>Clinical</w:t>
      </w:r>
      <w:r>
        <w:rPr>
          <w:rFonts w:ascii="Times New Roman"/>
          <w:spacing w:val="-5"/>
          <w:sz w:val="18"/>
        </w:rPr>
        <w:t> </w:t>
      </w:r>
      <w:r>
        <w:rPr>
          <w:rFonts w:ascii="Times New Roman"/>
          <w:sz w:val="18"/>
        </w:rPr>
        <w:t>and</w:t>
      </w:r>
      <w:r>
        <w:rPr>
          <w:rFonts w:ascii="Times New Roman"/>
          <w:spacing w:val="-1"/>
          <w:sz w:val="18"/>
        </w:rPr>
        <w:t> </w:t>
      </w:r>
      <w:r>
        <w:rPr>
          <w:rFonts w:ascii="Times New Roman"/>
          <w:sz w:val="18"/>
        </w:rPr>
        <w:t>Laboratory</w:t>
      </w:r>
      <w:r>
        <w:rPr>
          <w:rFonts w:ascii="Times New Roman"/>
          <w:spacing w:val="-4"/>
          <w:sz w:val="18"/>
        </w:rPr>
        <w:t> </w:t>
      </w:r>
      <w:r>
        <w:rPr>
          <w:rFonts w:ascii="Times New Roman"/>
          <w:sz w:val="18"/>
        </w:rPr>
        <w:t>Standards</w:t>
      </w:r>
      <w:r>
        <w:rPr>
          <w:rFonts w:ascii="Times New Roman"/>
          <w:spacing w:val="-5"/>
          <w:sz w:val="18"/>
        </w:rPr>
        <w:t> </w:t>
      </w:r>
      <w:r>
        <w:rPr>
          <w:rFonts w:ascii="Times New Roman"/>
          <w:sz w:val="18"/>
        </w:rPr>
        <w:t>Institute.Evaluation</w:t>
      </w:r>
      <w:r>
        <w:rPr>
          <w:rFonts w:ascii="Times New Roman"/>
          <w:spacing w:val="-3"/>
          <w:sz w:val="18"/>
        </w:rPr>
        <w:t> </w:t>
      </w:r>
      <w:r>
        <w:rPr>
          <w:rFonts w:ascii="Times New Roman"/>
          <w:sz w:val="18"/>
        </w:rPr>
        <w:t>of</w:t>
      </w:r>
      <w:r>
        <w:rPr>
          <w:rFonts w:ascii="Times New Roman"/>
          <w:spacing w:val="-4"/>
          <w:sz w:val="18"/>
        </w:rPr>
        <w:t> </w:t>
      </w:r>
      <w:r>
        <w:rPr>
          <w:rFonts w:ascii="Times New Roman"/>
          <w:sz w:val="18"/>
        </w:rPr>
        <w:t>the</w:t>
      </w:r>
      <w:r>
        <w:rPr>
          <w:rFonts w:ascii="Times New Roman"/>
          <w:spacing w:val="-4"/>
          <w:sz w:val="18"/>
        </w:rPr>
        <w:t> </w:t>
      </w:r>
      <w:r>
        <w:rPr>
          <w:rFonts w:ascii="Times New Roman"/>
          <w:sz w:val="18"/>
        </w:rPr>
        <w:t>Linearity</w:t>
      </w:r>
      <w:r>
        <w:rPr>
          <w:rFonts w:ascii="Times New Roman"/>
          <w:spacing w:val="-1"/>
          <w:sz w:val="18"/>
        </w:rPr>
        <w:t> </w:t>
      </w:r>
      <w:r>
        <w:rPr>
          <w:rFonts w:ascii="Times New Roman"/>
          <w:sz w:val="18"/>
        </w:rPr>
        <w:t>of</w:t>
      </w:r>
      <w:r>
        <w:rPr>
          <w:rFonts w:ascii="Times New Roman"/>
          <w:spacing w:val="-4"/>
          <w:sz w:val="18"/>
        </w:rPr>
        <w:t> </w:t>
      </w:r>
      <w:r>
        <w:rPr>
          <w:rFonts w:ascii="Times New Roman"/>
          <w:sz w:val="18"/>
        </w:rPr>
        <w:t>Quantitative</w:t>
      </w:r>
      <w:r>
        <w:rPr>
          <w:rFonts w:ascii="Times New Roman"/>
          <w:spacing w:val="-3"/>
          <w:sz w:val="18"/>
        </w:rPr>
        <w:t> </w:t>
      </w:r>
      <w:r>
        <w:rPr>
          <w:rFonts w:ascii="Times New Roman"/>
          <w:sz w:val="18"/>
        </w:rPr>
        <w:t>Measurement</w:t>
      </w:r>
      <w:r>
        <w:rPr>
          <w:rFonts w:ascii="Times New Roman"/>
          <w:spacing w:val="-1"/>
          <w:sz w:val="18"/>
        </w:rPr>
        <w:t> </w:t>
      </w:r>
      <w:r>
        <w:rPr>
          <w:rFonts w:ascii="Times New Roman"/>
          <w:sz w:val="18"/>
        </w:rPr>
        <w:t>Procedures:A</w:t>
      </w:r>
      <w:r>
        <w:rPr>
          <w:rFonts w:ascii="Times New Roman"/>
          <w:spacing w:val="-12"/>
          <w:sz w:val="18"/>
        </w:rPr>
        <w:t> </w:t>
      </w:r>
      <w:r>
        <w:rPr>
          <w:rFonts w:ascii="Times New Roman"/>
          <w:sz w:val="18"/>
        </w:rPr>
        <w:t>Statistical</w:t>
      </w:r>
      <w:r>
        <w:rPr>
          <w:rFonts w:ascii="Times New Roman"/>
          <w:spacing w:val="-13"/>
          <w:sz w:val="18"/>
        </w:rPr>
        <w:t> </w:t>
      </w:r>
      <w:r>
        <w:rPr>
          <w:rFonts w:ascii="Times New Roman"/>
          <w:sz w:val="18"/>
        </w:rPr>
        <w:t>Approach; Approved Guideline.NCCLS,EP6-A,Volume 23,Number</w:t>
      </w:r>
      <w:r>
        <w:rPr>
          <w:rFonts w:ascii="Times New Roman"/>
          <w:spacing w:val="-1"/>
          <w:sz w:val="18"/>
        </w:rPr>
        <w:t> </w:t>
      </w:r>
      <w:r>
        <w:rPr>
          <w:rFonts w:ascii="Times New Roman"/>
          <w:sz w:val="18"/>
        </w:rPr>
        <w:t>16.</w:t>
      </w:r>
    </w:p>
    <w:p>
      <w:pPr>
        <w:pStyle w:val="Heading1"/>
        <w:spacing w:line="215" w:lineRule="exact"/>
      </w:pPr>
      <w:r>
        <w:rPr/>
        <w:t>【基本信息】</w:t>
      </w:r>
    </w:p>
    <w:p>
      <w:pPr>
        <w:pStyle w:val="BodyText"/>
        <w:spacing w:line="249" w:lineRule="auto"/>
        <w:ind w:left="122" w:right="6336"/>
      </w:pPr>
      <w:r>
        <w:rPr/>
        <w:t>注册人</w:t>
      </w:r>
      <w:r>
        <w:rPr>
          <w:rFonts w:ascii="Times New Roman" w:eastAsia="Times New Roman"/>
        </w:rPr>
        <w:t>/</w:t>
      </w:r>
      <w:r>
        <w:rPr/>
        <w:t>生产企业名称：圣湘生物科技股份有限公司住所：长沙高新技术产业开发区麓松路 </w:t>
      </w:r>
      <w:r>
        <w:rPr>
          <w:rFonts w:ascii="Times New Roman" w:eastAsia="Times New Roman"/>
        </w:rPr>
        <w:t>680 </w:t>
      </w:r>
      <w:r>
        <w:rPr/>
        <w:t>号</w:t>
      </w:r>
    </w:p>
    <w:p>
      <w:pPr>
        <w:pStyle w:val="BodyText"/>
        <w:tabs>
          <w:tab w:pos="2373" w:val="left" w:leader="none"/>
        </w:tabs>
        <w:spacing w:line="240" w:lineRule="auto"/>
        <w:ind w:left="122"/>
        <w:rPr>
          <w:rFonts w:ascii="Times New Roman" w:eastAsia="Times New Roman"/>
        </w:rPr>
      </w:pPr>
      <w:r>
        <w:rPr>
          <w:spacing w:val="-5"/>
        </w:rPr>
        <w:t>联</w:t>
      </w:r>
      <w:r>
        <w:rPr>
          <w:spacing w:val="-3"/>
        </w:rPr>
        <w:t>系</w:t>
      </w:r>
      <w:r>
        <w:rPr>
          <w:spacing w:val="-5"/>
        </w:rPr>
        <w:t>方式</w:t>
      </w:r>
      <w:r>
        <w:rPr>
          <w:spacing w:val="-3"/>
        </w:rPr>
        <w:t>：</w:t>
      </w:r>
      <w:r>
        <w:rPr>
          <w:rFonts w:ascii="Times New Roman" w:eastAsia="Times New Roman"/>
          <w:spacing w:val="-3"/>
        </w:rPr>
        <w:t>0731-88883176</w:t>
        <w:tab/>
      </w:r>
      <w:r>
        <w:rPr>
          <w:spacing w:val="-5"/>
        </w:rPr>
        <w:t>传</w:t>
      </w:r>
      <w:r>
        <w:rPr>
          <w:spacing w:val="-3"/>
        </w:rPr>
        <w:t>真</w:t>
      </w:r>
      <w:r>
        <w:rPr>
          <w:spacing w:val="-5"/>
        </w:rPr>
        <w:t>号码</w:t>
      </w:r>
      <w:r>
        <w:rPr>
          <w:spacing w:val="-3"/>
        </w:rPr>
        <w:t>：</w:t>
      </w:r>
      <w:r>
        <w:rPr>
          <w:rFonts w:ascii="Times New Roman" w:eastAsia="Times New Roman"/>
          <w:spacing w:val="-3"/>
        </w:rPr>
        <w:t>0731-88884876</w:t>
      </w:r>
    </w:p>
    <w:p>
      <w:pPr>
        <w:pStyle w:val="BodyText"/>
        <w:spacing w:line="240" w:lineRule="auto" w:before="9"/>
        <w:ind w:left="122"/>
      </w:pPr>
      <w:r>
        <w:rPr/>
        <w:t>售后服务单位名称：圣湘生物科技股份有限公司</w:t>
      </w:r>
    </w:p>
    <w:p>
      <w:pPr>
        <w:pStyle w:val="BodyText"/>
        <w:tabs>
          <w:tab w:pos="2373" w:val="left" w:leader="none"/>
        </w:tabs>
        <w:spacing w:line="240" w:lineRule="auto" w:before="10"/>
        <w:ind w:left="122"/>
        <w:rPr>
          <w:rFonts w:ascii="Times New Roman" w:eastAsia="Times New Roman"/>
        </w:rPr>
      </w:pPr>
      <w:r>
        <w:rPr>
          <w:spacing w:val="-5"/>
        </w:rPr>
        <w:t>联</w:t>
      </w:r>
      <w:r>
        <w:rPr>
          <w:spacing w:val="-3"/>
        </w:rPr>
        <w:t>系</w:t>
      </w:r>
      <w:r>
        <w:rPr>
          <w:spacing w:val="-5"/>
        </w:rPr>
        <w:t>方式</w:t>
      </w:r>
      <w:r>
        <w:rPr>
          <w:spacing w:val="-3"/>
        </w:rPr>
        <w:t>：</w:t>
      </w:r>
      <w:r>
        <w:rPr>
          <w:rFonts w:ascii="Times New Roman" w:eastAsia="Times New Roman"/>
          <w:spacing w:val="-3"/>
        </w:rPr>
        <w:t>0731-88883176</w:t>
        <w:tab/>
      </w:r>
      <w:r>
        <w:rPr>
          <w:spacing w:val="-5"/>
        </w:rPr>
        <w:t>传</w:t>
      </w:r>
      <w:r>
        <w:rPr>
          <w:spacing w:val="-3"/>
        </w:rPr>
        <w:t>真</w:t>
      </w:r>
      <w:r>
        <w:rPr>
          <w:spacing w:val="-5"/>
        </w:rPr>
        <w:t>号码</w:t>
      </w:r>
      <w:r>
        <w:rPr>
          <w:spacing w:val="-3"/>
        </w:rPr>
        <w:t>：</w:t>
      </w:r>
      <w:r>
        <w:rPr>
          <w:rFonts w:ascii="Times New Roman" w:eastAsia="Times New Roman"/>
          <w:spacing w:val="-3"/>
        </w:rPr>
        <w:t>0731-88884876</w:t>
      </w:r>
    </w:p>
    <w:p>
      <w:pPr>
        <w:pStyle w:val="BodyText"/>
        <w:spacing w:line="218" w:lineRule="auto" w:before="25"/>
        <w:ind w:right="6465" w:hanging="5"/>
      </w:pPr>
      <w:r>
        <w:rPr>
          <w:spacing w:val="-8"/>
        </w:rPr>
        <w:t>生产地址：长沙高新技术产业开发区麓松路 </w:t>
      </w:r>
      <w:r>
        <w:rPr>
          <w:rFonts w:ascii="Times New Roman" w:eastAsia="Times New Roman"/>
        </w:rPr>
        <w:t>680 </w:t>
      </w:r>
      <w:r>
        <w:rPr/>
        <w:t>号</w:t>
      </w:r>
      <w:r>
        <w:rPr>
          <w:spacing w:val="-5"/>
        </w:rPr>
        <w:t>生产许可证编号：湘食药监械生产许</w:t>
      </w:r>
      <w:r>
        <w:rPr>
          <w:rFonts w:ascii="Times New Roman" w:eastAsia="Times New Roman"/>
          <w:spacing w:val="-3"/>
        </w:rPr>
        <w:t>20150036</w:t>
      </w:r>
      <w:r>
        <w:rPr/>
        <w:t>号</w:t>
      </w:r>
    </w:p>
    <w:p>
      <w:pPr>
        <w:pStyle w:val="Heading1"/>
        <w:spacing w:line="188" w:lineRule="exact"/>
        <w:ind w:left="129"/>
        <w:rPr>
          <w:rFonts w:ascii="Times New Roman" w:eastAsia="Times New Roman"/>
        </w:rPr>
      </w:pPr>
      <w:r>
        <w:rPr/>
        <w:t>【医疗器械注册证书编号</w:t>
      </w:r>
      <w:r>
        <w:rPr>
          <w:rFonts w:ascii="Times New Roman" w:eastAsia="Times New Roman"/>
        </w:rPr>
        <w:t>/</w:t>
      </w:r>
      <w:r>
        <w:rPr/>
        <w:t>产品技术要求编号】国械注准</w:t>
      </w:r>
      <w:r>
        <w:rPr>
          <w:rFonts w:ascii="Times New Roman" w:eastAsia="Times New Roman"/>
        </w:rPr>
        <w:t>20193400887</w:t>
      </w:r>
    </w:p>
    <w:p>
      <w:pPr>
        <w:spacing w:line="216" w:lineRule="exact" w:before="0"/>
        <w:ind w:left="127" w:right="0" w:firstLine="0"/>
        <w:jc w:val="left"/>
        <w:rPr>
          <w:b/>
          <w:sz w:val="18"/>
        </w:rPr>
      </w:pPr>
      <w:r>
        <w:rPr>
          <w:b/>
          <w:sz w:val="18"/>
        </w:rPr>
        <w:t>【说明书核准日期及修改日期】</w:t>
      </w:r>
      <w:r>
        <w:rPr>
          <w:rFonts w:ascii="Times New Roman" w:eastAsia="Times New Roman"/>
          <w:b/>
          <w:sz w:val="18"/>
        </w:rPr>
        <w:t>2019 </w:t>
      </w:r>
      <w:r>
        <w:rPr>
          <w:b/>
          <w:sz w:val="18"/>
        </w:rPr>
        <w:t>年 </w:t>
      </w:r>
      <w:r>
        <w:rPr>
          <w:rFonts w:ascii="Times New Roman" w:eastAsia="Times New Roman"/>
          <w:b/>
          <w:sz w:val="18"/>
        </w:rPr>
        <w:t>12 </w:t>
      </w:r>
      <w:r>
        <w:rPr>
          <w:b/>
          <w:sz w:val="18"/>
        </w:rPr>
        <w:t>月 </w:t>
      </w:r>
      <w:r>
        <w:rPr>
          <w:rFonts w:ascii="Times New Roman" w:eastAsia="Times New Roman"/>
          <w:b/>
          <w:sz w:val="18"/>
        </w:rPr>
        <w:t>02 </w:t>
      </w:r>
      <w:r>
        <w:rPr>
          <w:b/>
          <w:sz w:val="18"/>
        </w:rPr>
        <w:t>日</w:t>
      </w:r>
    </w:p>
    <w:sectPr>
      <w:pgSz w:w="11910" w:h="16840"/>
      <w:pgMar w:header="462" w:footer="465" w:top="680" w:bottom="660" w:left="780" w:right="66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 w:name="宋体">
    <w:altName w:val="宋体"/>
    <w:charset w:val="86"/>
    <w:family w:val="auto"/>
    <w:pitch w:val="variable"/>
  </w:font>
  <w:font w:name="Arial">
    <w:altName w:val="Arial"/>
    <w:charset w:val="0"/>
    <w:family w:val="swiss"/>
    <w:pitch w:val="variable"/>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ind w:left="0"/>
      <w:rPr>
        <w:sz w:val="20"/>
      </w:rPr>
    </w:pPr>
    <w:r>
      <w:rPr/>
      <w:pict>
        <v:shape style="position:absolute;margin-left:263.600006pt;margin-top:807.630005pt;width:68.25pt;height:12pt;mso-position-horizontal-relative:page;mso-position-vertical-relative:page;z-index:-252091392" type="#_x0000_t202" filled="false" stroked="false">
          <v:textbox inset="0,0,0,0">
            <w:txbxContent>
              <w:p>
                <w:pPr>
                  <w:pStyle w:val="BodyText"/>
                  <w:spacing w:line="240" w:lineRule="auto"/>
                  <w:ind w:left="20"/>
                </w:pPr>
                <w:r>
                  <w:rPr>
                    <w:rFonts w:ascii="Times New Roman" w:eastAsia="Times New Roman"/>
                  </w:rPr>
                  <w:t>HCV </w:t>
                </w:r>
                <w:r>
                  <w:rPr/>
                  <w:t>产品说明书</w:t>
                </w:r>
              </w:p>
            </w:txbxContent>
          </v:textbox>
          <w10:wrap type="none"/>
        </v:shape>
      </w:pict>
    </w:r>
    <w:r>
      <w:rPr/>
      <w:pict>
        <v:shape style="position:absolute;margin-left:538.23999pt;margin-top:810.030029pt;width:8.5pt;height:12pt;mso-position-horizontal-relative:page;mso-position-vertical-relative:page;z-index:-252090368" type="#_x0000_t202" filled="false" stroked="false">
          <v:textbox inset="0,0,0,0">
            <w:txbxContent>
              <w:p>
                <w:pPr>
                  <w:pStyle w:val="BodyText"/>
                  <w:spacing w:line="240" w:lineRule="auto" w:before="12"/>
                  <w:ind w:left="40"/>
                  <w:rPr>
                    <w:rFonts w:ascii="Times New Roman"/>
                  </w:rPr>
                </w:pPr>
                <w:r>
                  <w:rPr/>
                  <w:fldChar w:fldCharType="begin"/>
                </w:r>
                <w:r>
                  <w:rPr>
                    <w:rFonts w:ascii="Times New Roman"/>
                  </w:rPr>
                  <w:instrText> PAGE </w:instrText>
                </w:r>
                <w:r>
                  <w:rPr/>
                  <w:fldChar w:fldCharType="separate"/>
                </w:r>
                <w:r>
                  <w:rPr/>
                  <w:t>1</w:t>
                </w:r>
                <w:r>
                  <w:rPr/>
                  <w:fldChar w:fldCharType="end"/>
                </w:r>
              </w:p>
            </w:txbxContent>
          </v:textbox>
          <w10:wrap type="none"/>
        </v:shape>
      </w:pict>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ind w:left="0"/>
      <w:rPr>
        <w:sz w:val="20"/>
      </w:rPr>
    </w:pPr>
    <w:r>
      <w:rPr/>
      <w:pict>
        <v:shapetype id="_x0000_t202" o:spt="202" coordsize="21600,21600" path="m,l,21600r21600,l21600,xe">
          <v:stroke joinstyle="miter"/>
          <v:path gradientshapeok="t" o:connecttype="rect"/>
        </v:shapetype>
        <v:shape style="position:absolute;margin-left:440.959015pt;margin-top:23.11565pt;width:110pt;height:11pt;mso-position-horizontal-relative:page;mso-position-vertical-relative:page;z-index:-252092416" type="#_x0000_t202" filled="false" stroked="false">
          <v:textbox inset="0,0,0,0">
            <w:txbxContent>
              <w:p>
                <w:pPr>
                  <w:pStyle w:val="BodyText"/>
                  <w:spacing w:line="220" w:lineRule="exact"/>
                  <w:ind w:left="20"/>
                </w:pPr>
                <w:r>
                  <w:rPr/>
                  <w:t>圣湘生物科技股份有限公司</w:t>
                </w:r>
              </w:p>
            </w:txbxContent>
          </v:textbox>
          <w10:wrap type="non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
    <w:multiLevelType w:val="hybridMultilevel"/>
    <w:lvl w:ilvl="0">
      <w:start w:val="1"/>
      <w:numFmt w:val="decimal"/>
      <w:lvlText w:val="[%1]"/>
      <w:lvlJc w:val="left"/>
      <w:pPr>
        <w:ind w:left="127" w:hanging="245"/>
        <w:jc w:val="left"/>
      </w:pPr>
      <w:rPr>
        <w:rFonts w:hint="default" w:ascii="Times New Roman" w:hAnsi="Times New Roman" w:eastAsia="Times New Roman" w:cs="Times New Roman"/>
        <w:spacing w:val="-2"/>
        <w:w w:val="100"/>
        <w:sz w:val="18"/>
        <w:szCs w:val="18"/>
        <w:lang w:val="zh-CN" w:eastAsia="zh-CN" w:bidi="zh-CN"/>
      </w:rPr>
    </w:lvl>
    <w:lvl w:ilvl="1">
      <w:start w:val="0"/>
      <w:numFmt w:val="bullet"/>
      <w:lvlText w:val="•"/>
      <w:lvlJc w:val="left"/>
      <w:pPr>
        <w:ind w:left="1154" w:hanging="245"/>
      </w:pPr>
      <w:rPr>
        <w:rFonts w:hint="default"/>
        <w:lang w:val="zh-CN" w:eastAsia="zh-CN" w:bidi="zh-CN"/>
      </w:rPr>
    </w:lvl>
    <w:lvl w:ilvl="2">
      <w:start w:val="0"/>
      <w:numFmt w:val="bullet"/>
      <w:lvlText w:val="•"/>
      <w:lvlJc w:val="left"/>
      <w:pPr>
        <w:ind w:left="2189" w:hanging="245"/>
      </w:pPr>
      <w:rPr>
        <w:rFonts w:hint="default"/>
        <w:lang w:val="zh-CN" w:eastAsia="zh-CN" w:bidi="zh-CN"/>
      </w:rPr>
    </w:lvl>
    <w:lvl w:ilvl="3">
      <w:start w:val="0"/>
      <w:numFmt w:val="bullet"/>
      <w:lvlText w:val="•"/>
      <w:lvlJc w:val="left"/>
      <w:pPr>
        <w:ind w:left="3223" w:hanging="245"/>
      </w:pPr>
      <w:rPr>
        <w:rFonts w:hint="default"/>
        <w:lang w:val="zh-CN" w:eastAsia="zh-CN" w:bidi="zh-CN"/>
      </w:rPr>
    </w:lvl>
    <w:lvl w:ilvl="4">
      <w:start w:val="0"/>
      <w:numFmt w:val="bullet"/>
      <w:lvlText w:val="•"/>
      <w:lvlJc w:val="left"/>
      <w:pPr>
        <w:ind w:left="4258" w:hanging="245"/>
      </w:pPr>
      <w:rPr>
        <w:rFonts w:hint="default"/>
        <w:lang w:val="zh-CN" w:eastAsia="zh-CN" w:bidi="zh-CN"/>
      </w:rPr>
    </w:lvl>
    <w:lvl w:ilvl="5">
      <w:start w:val="0"/>
      <w:numFmt w:val="bullet"/>
      <w:lvlText w:val="•"/>
      <w:lvlJc w:val="left"/>
      <w:pPr>
        <w:ind w:left="5293" w:hanging="245"/>
      </w:pPr>
      <w:rPr>
        <w:rFonts w:hint="default"/>
        <w:lang w:val="zh-CN" w:eastAsia="zh-CN" w:bidi="zh-CN"/>
      </w:rPr>
    </w:lvl>
    <w:lvl w:ilvl="6">
      <w:start w:val="0"/>
      <w:numFmt w:val="bullet"/>
      <w:lvlText w:val="•"/>
      <w:lvlJc w:val="left"/>
      <w:pPr>
        <w:ind w:left="6327" w:hanging="245"/>
      </w:pPr>
      <w:rPr>
        <w:rFonts w:hint="default"/>
        <w:lang w:val="zh-CN" w:eastAsia="zh-CN" w:bidi="zh-CN"/>
      </w:rPr>
    </w:lvl>
    <w:lvl w:ilvl="7">
      <w:start w:val="0"/>
      <w:numFmt w:val="bullet"/>
      <w:lvlText w:val="•"/>
      <w:lvlJc w:val="left"/>
      <w:pPr>
        <w:ind w:left="7362" w:hanging="245"/>
      </w:pPr>
      <w:rPr>
        <w:rFonts w:hint="default"/>
        <w:lang w:val="zh-CN" w:eastAsia="zh-CN" w:bidi="zh-CN"/>
      </w:rPr>
    </w:lvl>
    <w:lvl w:ilvl="8">
      <w:start w:val="0"/>
      <w:numFmt w:val="bullet"/>
      <w:lvlText w:val="•"/>
      <w:lvlJc w:val="left"/>
      <w:pPr>
        <w:ind w:left="8396" w:hanging="245"/>
      </w:pPr>
      <w:rPr>
        <w:rFonts w:hint="default"/>
        <w:lang w:val="zh-CN" w:eastAsia="zh-CN" w:bidi="zh-CN"/>
      </w:rPr>
    </w:lvl>
  </w:abstractNum>
  <w:abstractNum w:abstractNumId="6">
    <w:multiLevelType w:val="hybridMultilevel"/>
    <w:lvl w:ilvl="0">
      <w:start w:val="1"/>
      <w:numFmt w:val="decimal"/>
      <w:lvlText w:val="%1."/>
      <w:lvlJc w:val="left"/>
      <w:pPr>
        <w:ind w:left="259" w:hanging="135"/>
        <w:jc w:val="left"/>
      </w:pPr>
      <w:rPr>
        <w:rFonts w:hint="default" w:ascii="Times New Roman" w:hAnsi="Times New Roman" w:eastAsia="Times New Roman" w:cs="Times New Roman"/>
        <w:spacing w:val="-2"/>
        <w:w w:val="100"/>
        <w:sz w:val="16"/>
        <w:szCs w:val="16"/>
        <w:lang w:val="zh-CN" w:eastAsia="zh-CN" w:bidi="zh-CN"/>
      </w:rPr>
    </w:lvl>
    <w:lvl w:ilvl="1">
      <w:start w:val="0"/>
      <w:numFmt w:val="bullet"/>
      <w:lvlText w:val="•"/>
      <w:lvlJc w:val="left"/>
      <w:pPr>
        <w:ind w:left="1280" w:hanging="135"/>
      </w:pPr>
      <w:rPr>
        <w:rFonts w:hint="default"/>
        <w:lang w:val="zh-CN" w:eastAsia="zh-CN" w:bidi="zh-CN"/>
      </w:rPr>
    </w:lvl>
    <w:lvl w:ilvl="2">
      <w:start w:val="0"/>
      <w:numFmt w:val="bullet"/>
      <w:lvlText w:val="•"/>
      <w:lvlJc w:val="left"/>
      <w:pPr>
        <w:ind w:left="2301" w:hanging="135"/>
      </w:pPr>
      <w:rPr>
        <w:rFonts w:hint="default"/>
        <w:lang w:val="zh-CN" w:eastAsia="zh-CN" w:bidi="zh-CN"/>
      </w:rPr>
    </w:lvl>
    <w:lvl w:ilvl="3">
      <w:start w:val="0"/>
      <w:numFmt w:val="bullet"/>
      <w:lvlText w:val="•"/>
      <w:lvlJc w:val="left"/>
      <w:pPr>
        <w:ind w:left="3321" w:hanging="135"/>
      </w:pPr>
      <w:rPr>
        <w:rFonts w:hint="default"/>
        <w:lang w:val="zh-CN" w:eastAsia="zh-CN" w:bidi="zh-CN"/>
      </w:rPr>
    </w:lvl>
    <w:lvl w:ilvl="4">
      <w:start w:val="0"/>
      <w:numFmt w:val="bullet"/>
      <w:lvlText w:val="•"/>
      <w:lvlJc w:val="left"/>
      <w:pPr>
        <w:ind w:left="4342" w:hanging="135"/>
      </w:pPr>
      <w:rPr>
        <w:rFonts w:hint="default"/>
        <w:lang w:val="zh-CN" w:eastAsia="zh-CN" w:bidi="zh-CN"/>
      </w:rPr>
    </w:lvl>
    <w:lvl w:ilvl="5">
      <w:start w:val="0"/>
      <w:numFmt w:val="bullet"/>
      <w:lvlText w:val="•"/>
      <w:lvlJc w:val="left"/>
      <w:pPr>
        <w:ind w:left="5363" w:hanging="135"/>
      </w:pPr>
      <w:rPr>
        <w:rFonts w:hint="default"/>
        <w:lang w:val="zh-CN" w:eastAsia="zh-CN" w:bidi="zh-CN"/>
      </w:rPr>
    </w:lvl>
    <w:lvl w:ilvl="6">
      <w:start w:val="0"/>
      <w:numFmt w:val="bullet"/>
      <w:lvlText w:val="•"/>
      <w:lvlJc w:val="left"/>
      <w:pPr>
        <w:ind w:left="6383" w:hanging="135"/>
      </w:pPr>
      <w:rPr>
        <w:rFonts w:hint="default"/>
        <w:lang w:val="zh-CN" w:eastAsia="zh-CN" w:bidi="zh-CN"/>
      </w:rPr>
    </w:lvl>
    <w:lvl w:ilvl="7">
      <w:start w:val="0"/>
      <w:numFmt w:val="bullet"/>
      <w:lvlText w:val="•"/>
      <w:lvlJc w:val="left"/>
      <w:pPr>
        <w:ind w:left="7404" w:hanging="135"/>
      </w:pPr>
      <w:rPr>
        <w:rFonts w:hint="default"/>
        <w:lang w:val="zh-CN" w:eastAsia="zh-CN" w:bidi="zh-CN"/>
      </w:rPr>
    </w:lvl>
    <w:lvl w:ilvl="8">
      <w:start w:val="0"/>
      <w:numFmt w:val="bullet"/>
      <w:lvlText w:val="•"/>
      <w:lvlJc w:val="left"/>
      <w:pPr>
        <w:ind w:left="8424" w:hanging="135"/>
      </w:pPr>
      <w:rPr>
        <w:rFonts w:hint="default"/>
        <w:lang w:val="zh-CN" w:eastAsia="zh-CN" w:bidi="zh-CN"/>
      </w:rPr>
    </w:lvl>
  </w:abstractNum>
  <w:abstractNum w:abstractNumId="5">
    <w:multiLevelType w:val="hybridMultilevel"/>
    <w:lvl w:ilvl="0">
      <w:start w:val="1"/>
      <w:numFmt w:val="decimal"/>
      <w:lvlText w:val="%1."/>
      <w:lvlJc w:val="left"/>
      <w:pPr>
        <w:ind w:left="261" w:hanging="135"/>
        <w:jc w:val="left"/>
      </w:pPr>
      <w:rPr>
        <w:rFonts w:hint="default" w:ascii="Times New Roman" w:hAnsi="Times New Roman" w:eastAsia="Times New Roman" w:cs="Times New Roman"/>
        <w:spacing w:val="-5"/>
        <w:w w:val="100"/>
        <w:sz w:val="16"/>
        <w:szCs w:val="16"/>
        <w:lang w:val="zh-CN" w:eastAsia="zh-CN" w:bidi="zh-CN"/>
      </w:rPr>
    </w:lvl>
    <w:lvl w:ilvl="1">
      <w:start w:val="0"/>
      <w:numFmt w:val="bullet"/>
      <w:lvlText w:val="•"/>
      <w:lvlJc w:val="left"/>
      <w:pPr>
        <w:ind w:left="1280" w:hanging="135"/>
      </w:pPr>
      <w:rPr>
        <w:rFonts w:hint="default"/>
        <w:lang w:val="zh-CN" w:eastAsia="zh-CN" w:bidi="zh-CN"/>
      </w:rPr>
    </w:lvl>
    <w:lvl w:ilvl="2">
      <w:start w:val="0"/>
      <w:numFmt w:val="bullet"/>
      <w:lvlText w:val="•"/>
      <w:lvlJc w:val="left"/>
      <w:pPr>
        <w:ind w:left="2301" w:hanging="135"/>
      </w:pPr>
      <w:rPr>
        <w:rFonts w:hint="default"/>
        <w:lang w:val="zh-CN" w:eastAsia="zh-CN" w:bidi="zh-CN"/>
      </w:rPr>
    </w:lvl>
    <w:lvl w:ilvl="3">
      <w:start w:val="0"/>
      <w:numFmt w:val="bullet"/>
      <w:lvlText w:val="•"/>
      <w:lvlJc w:val="left"/>
      <w:pPr>
        <w:ind w:left="3321" w:hanging="135"/>
      </w:pPr>
      <w:rPr>
        <w:rFonts w:hint="default"/>
        <w:lang w:val="zh-CN" w:eastAsia="zh-CN" w:bidi="zh-CN"/>
      </w:rPr>
    </w:lvl>
    <w:lvl w:ilvl="4">
      <w:start w:val="0"/>
      <w:numFmt w:val="bullet"/>
      <w:lvlText w:val="•"/>
      <w:lvlJc w:val="left"/>
      <w:pPr>
        <w:ind w:left="4342" w:hanging="135"/>
      </w:pPr>
      <w:rPr>
        <w:rFonts w:hint="default"/>
        <w:lang w:val="zh-CN" w:eastAsia="zh-CN" w:bidi="zh-CN"/>
      </w:rPr>
    </w:lvl>
    <w:lvl w:ilvl="5">
      <w:start w:val="0"/>
      <w:numFmt w:val="bullet"/>
      <w:lvlText w:val="•"/>
      <w:lvlJc w:val="left"/>
      <w:pPr>
        <w:ind w:left="5363" w:hanging="135"/>
      </w:pPr>
      <w:rPr>
        <w:rFonts w:hint="default"/>
        <w:lang w:val="zh-CN" w:eastAsia="zh-CN" w:bidi="zh-CN"/>
      </w:rPr>
    </w:lvl>
    <w:lvl w:ilvl="6">
      <w:start w:val="0"/>
      <w:numFmt w:val="bullet"/>
      <w:lvlText w:val="•"/>
      <w:lvlJc w:val="left"/>
      <w:pPr>
        <w:ind w:left="6383" w:hanging="135"/>
      </w:pPr>
      <w:rPr>
        <w:rFonts w:hint="default"/>
        <w:lang w:val="zh-CN" w:eastAsia="zh-CN" w:bidi="zh-CN"/>
      </w:rPr>
    </w:lvl>
    <w:lvl w:ilvl="7">
      <w:start w:val="0"/>
      <w:numFmt w:val="bullet"/>
      <w:lvlText w:val="•"/>
      <w:lvlJc w:val="left"/>
      <w:pPr>
        <w:ind w:left="7404" w:hanging="135"/>
      </w:pPr>
      <w:rPr>
        <w:rFonts w:hint="default"/>
        <w:lang w:val="zh-CN" w:eastAsia="zh-CN" w:bidi="zh-CN"/>
      </w:rPr>
    </w:lvl>
    <w:lvl w:ilvl="8">
      <w:start w:val="0"/>
      <w:numFmt w:val="bullet"/>
      <w:lvlText w:val="•"/>
      <w:lvlJc w:val="left"/>
      <w:pPr>
        <w:ind w:left="8424" w:hanging="135"/>
      </w:pPr>
      <w:rPr>
        <w:rFonts w:hint="default"/>
        <w:lang w:val="zh-CN" w:eastAsia="zh-CN" w:bidi="zh-CN"/>
      </w:rPr>
    </w:lvl>
  </w:abstractNum>
  <w:abstractNum w:abstractNumId="4">
    <w:multiLevelType w:val="hybridMultilevel"/>
    <w:lvl w:ilvl="0">
      <w:start w:val="1"/>
      <w:numFmt w:val="decimal"/>
      <w:lvlText w:val="%1."/>
      <w:lvlJc w:val="left"/>
      <w:pPr>
        <w:ind w:left="345" w:hanging="216"/>
        <w:jc w:val="left"/>
      </w:pPr>
      <w:rPr>
        <w:rFonts w:hint="default" w:ascii="Times New Roman" w:hAnsi="Times New Roman" w:eastAsia="Times New Roman" w:cs="Times New Roman"/>
        <w:spacing w:val="-50"/>
        <w:w w:val="100"/>
        <w:sz w:val="18"/>
        <w:szCs w:val="18"/>
        <w:lang w:val="zh-CN" w:eastAsia="zh-CN" w:bidi="zh-CN"/>
      </w:rPr>
    </w:lvl>
    <w:lvl w:ilvl="1">
      <w:start w:val="0"/>
      <w:numFmt w:val="bullet"/>
      <w:lvlText w:val="•"/>
      <w:lvlJc w:val="left"/>
      <w:pPr>
        <w:ind w:left="1352" w:hanging="216"/>
      </w:pPr>
      <w:rPr>
        <w:rFonts w:hint="default"/>
        <w:lang w:val="zh-CN" w:eastAsia="zh-CN" w:bidi="zh-CN"/>
      </w:rPr>
    </w:lvl>
    <w:lvl w:ilvl="2">
      <w:start w:val="0"/>
      <w:numFmt w:val="bullet"/>
      <w:lvlText w:val="•"/>
      <w:lvlJc w:val="left"/>
      <w:pPr>
        <w:ind w:left="2365" w:hanging="216"/>
      </w:pPr>
      <w:rPr>
        <w:rFonts w:hint="default"/>
        <w:lang w:val="zh-CN" w:eastAsia="zh-CN" w:bidi="zh-CN"/>
      </w:rPr>
    </w:lvl>
    <w:lvl w:ilvl="3">
      <w:start w:val="0"/>
      <w:numFmt w:val="bullet"/>
      <w:lvlText w:val="•"/>
      <w:lvlJc w:val="left"/>
      <w:pPr>
        <w:ind w:left="3377" w:hanging="216"/>
      </w:pPr>
      <w:rPr>
        <w:rFonts w:hint="default"/>
        <w:lang w:val="zh-CN" w:eastAsia="zh-CN" w:bidi="zh-CN"/>
      </w:rPr>
    </w:lvl>
    <w:lvl w:ilvl="4">
      <w:start w:val="0"/>
      <w:numFmt w:val="bullet"/>
      <w:lvlText w:val="•"/>
      <w:lvlJc w:val="left"/>
      <w:pPr>
        <w:ind w:left="4390" w:hanging="216"/>
      </w:pPr>
      <w:rPr>
        <w:rFonts w:hint="default"/>
        <w:lang w:val="zh-CN" w:eastAsia="zh-CN" w:bidi="zh-CN"/>
      </w:rPr>
    </w:lvl>
    <w:lvl w:ilvl="5">
      <w:start w:val="0"/>
      <w:numFmt w:val="bullet"/>
      <w:lvlText w:val="•"/>
      <w:lvlJc w:val="left"/>
      <w:pPr>
        <w:ind w:left="5403" w:hanging="216"/>
      </w:pPr>
      <w:rPr>
        <w:rFonts w:hint="default"/>
        <w:lang w:val="zh-CN" w:eastAsia="zh-CN" w:bidi="zh-CN"/>
      </w:rPr>
    </w:lvl>
    <w:lvl w:ilvl="6">
      <w:start w:val="0"/>
      <w:numFmt w:val="bullet"/>
      <w:lvlText w:val="•"/>
      <w:lvlJc w:val="left"/>
      <w:pPr>
        <w:ind w:left="6415" w:hanging="216"/>
      </w:pPr>
      <w:rPr>
        <w:rFonts w:hint="default"/>
        <w:lang w:val="zh-CN" w:eastAsia="zh-CN" w:bidi="zh-CN"/>
      </w:rPr>
    </w:lvl>
    <w:lvl w:ilvl="7">
      <w:start w:val="0"/>
      <w:numFmt w:val="bullet"/>
      <w:lvlText w:val="•"/>
      <w:lvlJc w:val="left"/>
      <w:pPr>
        <w:ind w:left="7428" w:hanging="216"/>
      </w:pPr>
      <w:rPr>
        <w:rFonts w:hint="default"/>
        <w:lang w:val="zh-CN" w:eastAsia="zh-CN" w:bidi="zh-CN"/>
      </w:rPr>
    </w:lvl>
    <w:lvl w:ilvl="8">
      <w:start w:val="0"/>
      <w:numFmt w:val="bullet"/>
      <w:lvlText w:val="•"/>
      <w:lvlJc w:val="left"/>
      <w:pPr>
        <w:ind w:left="8440" w:hanging="216"/>
      </w:pPr>
      <w:rPr>
        <w:rFonts w:hint="default"/>
        <w:lang w:val="zh-CN" w:eastAsia="zh-CN" w:bidi="zh-CN"/>
      </w:rPr>
    </w:lvl>
  </w:abstractNum>
  <w:abstractNum w:abstractNumId="3">
    <w:multiLevelType w:val="hybridMultilevel"/>
    <w:lvl w:ilvl="0">
      <w:start w:val="5"/>
      <w:numFmt w:val="decimal"/>
      <w:lvlText w:val="%1"/>
      <w:lvlJc w:val="left"/>
      <w:pPr>
        <w:ind w:left="518" w:hanging="392"/>
        <w:jc w:val="left"/>
      </w:pPr>
      <w:rPr>
        <w:rFonts w:hint="default"/>
        <w:lang w:val="zh-CN" w:eastAsia="zh-CN" w:bidi="zh-CN"/>
      </w:rPr>
    </w:lvl>
    <w:lvl w:ilvl="1">
      <w:start w:val="3"/>
      <w:numFmt w:val="decimal"/>
      <w:lvlText w:val="%1.%2"/>
      <w:lvlJc w:val="left"/>
      <w:pPr>
        <w:ind w:left="518" w:hanging="392"/>
        <w:jc w:val="left"/>
      </w:pPr>
      <w:rPr>
        <w:rFonts w:hint="default" w:ascii="Times New Roman" w:hAnsi="Times New Roman" w:eastAsia="Times New Roman" w:cs="Times New Roman"/>
        <w:spacing w:val="-11"/>
        <w:w w:val="100"/>
        <w:sz w:val="18"/>
        <w:szCs w:val="18"/>
        <w:lang w:val="zh-CN" w:eastAsia="zh-CN" w:bidi="zh-CN"/>
      </w:rPr>
    </w:lvl>
    <w:lvl w:ilvl="2">
      <w:start w:val="0"/>
      <w:numFmt w:val="bullet"/>
      <w:lvlText w:val="•"/>
      <w:lvlJc w:val="left"/>
      <w:pPr>
        <w:ind w:left="2509" w:hanging="392"/>
      </w:pPr>
      <w:rPr>
        <w:rFonts w:hint="default"/>
        <w:lang w:val="zh-CN" w:eastAsia="zh-CN" w:bidi="zh-CN"/>
      </w:rPr>
    </w:lvl>
    <w:lvl w:ilvl="3">
      <w:start w:val="0"/>
      <w:numFmt w:val="bullet"/>
      <w:lvlText w:val="•"/>
      <w:lvlJc w:val="left"/>
      <w:pPr>
        <w:ind w:left="3503" w:hanging="392"/>
      </w:pPr>
      <w:rPr>
        <w:rFonts w:hint="default"/>
        <w:lang w:val="zh-CN" w:eastAsia="zh-CN" w:bidi="zh-CN"/>
      </w:rPr>
    </w:lvl>
    <w:lvl w:ilvl="4">
      <w:start w:val="0"/>
      <w:numFmt w:val="bullet"/>
      <w:lvlText w:val="•"/>
      <w:lvlJc w:val="left"/>
      <w:pPr>
        <w:ind w:left="4498" w:hanging="392"/>
      </w:pPr>
      <w:rPr>
        <w:rFonts w:hint="default"/>
        <w:lang w:val="zh-CN" w:eastAsia="zh-CN" w:bidi="zh-CN"/>
      </w:rPr>
    </w:lvl>
    <w:lvl w:ilvl="5">
      <w:start w:val="0"/>
      <w:numFmt w:val="bullet"/>
      <w:lvlText w:val="•"/>
      <w:lvlJc w:val="left"/>
      <w:pPr>
        <w:ind w:left="5493" w:hanging="392"/>
      </w:pPr>
      <w:rPr>
        <w:rFonts w:hint="default"/>
        <w:lang w:val="zh-CN" w:eastAsia="zh-CN" w:bidi="zh-CN"/>
      </w:rPr>
    </w:lvl>
    <w:lvl w:ilvl="6">
      <w:start w:val="0"/>
      <w:numFmt w:val="bullet"/>
      <w:lvlText w:val="•"/>
      <w:lvlJc w:val="left"/>
      <w:pPr>
        <w:ind w:left="6487" w:hanging="392"/>
      </w:pPr>
      <w:rPr>
        <w:rFonts w:hint="default"/>
        <w:lang w:val="zh-CN" w:eastAsia="zh-CN" w:bidi="zh-CN"/>
      </w:rPr>
    </w:lvl>
    <w:lvl w:ilvl="7">
      <w:start w:val="0"/>
      <w:numFmt w:val="bullet"/>
      <w:lvlText w:val="•"/>
      <w:lvlJc w:val="left"/>
      <w:pPr>
        <w:ind w:left="7482" w:hanging="392"/>
      </w:pPr>
      <w:rPr>
        <w:rFonts w:hint="default"/>
        <w:lang w:val="zh-CN" w:eastAsia="zh-CN" w:bidi="zh-CN"/>
      </w:rPr>
    </w:lvl>
    <w:lvl w:ilvl="8">
      <w:start w:val="0"/>
      <w:numFmt w:val="bullet"/>
      <w:lvlText w:val="•"/>
      <w:lvlJc w:val="left"/>
      <w:pPr>
        <w:ind w:left="8476" w:hanging="392"/>
      </w:pPr>
      <w:rPr>
        <w:rFonts w:hint="default"/>
        <w:lang w:val="zh-CN" w:eastAsia="zh-CN" w:bidi="zh-CN"/>
      </w:rPr>
    </w:lvl>
  </w:abstractNum>
  <w:abstractNum w:abstractNumId="2">
    <w:multiLevelType w:val="hybridMultilevel"/>
    <w:lvl w:ilvl="0">
      <w:start w:val="1"/>
      <w:numFmt w:val="decimal"/>
      <w:lvlText w:val="%1."/>
      <w:lvlJc w:val="left"/>
      <w:pPr>
        <w:ind w:left="343" w:hanging="216"/>
        <w:jc w:val="left"/>
      </w:pPr>
      <w:rPr>
        <w:rFonts w:hint="default" w:ascii="Times New Roman" w:hAnsi="Times New Roman" w:eastAsia="Times New Roman" w:cs="Times New Roman"/>
        <w:b/>
        <w:bCs/>
        <w:spacing w:val="-8"/>
        <w:w w:val="99"/>
        <w:sz w:val="18"/>
        <w:szCs w:val="18"/>
        <w:lang w:val="zh-CN" w:eastAsia="zh-CN" w:bidi="zh-CN"/>
      </w:rPr>
    </w:lvl>
    <w:lvl w:ilvl="1">
      <w:start w:val="1"/>
      <w:numFmt w:val="decimal"/>
      <w:lvlText w:val="%1.%2"/>
      <w:lvlJc w:val="left"/>
      <w:pPr>
        <w:ind w:left="432" w:hanging="305"/>
        <w:jc w:val="left"/>
      </w:pPr>
      <w:rPr>
        <w:rFonts w:hint="default" w:ascii="Times New Roman" w:hAnsi="Times New Roman" w:eastAsia="Times New Roman" w:cs="Times New Roman"/>
        <w:spacing w:val="-8"/>
        <w:w w:val="100"/>
        <w:sz w:val="18"/>
        <w:szCs w:val="18"/>
        <w:lang w:val="zh-CN" w:eastAsia="zh-CN" w:bidi="zh-CN"/>
      </w:rPr>
    </w:lvl>
    <w:lvl w:ilvl="2">
      <w:start w:val="1"/>
      <w:numFmt w:val="decimal"/>
      <w:lvlText w:val="%1.%2.%3"/>
      <w:lvlJc w:val="left"/>
      <w:pPr>
        <w:ind w:left="520" w:hanging="394"/>
        <w:jc w:val="left"/>
      </w:pPr>
      <w:rPr>
        <w:rFonts w:hint="default" w:ascii="Times New Roman" w:hAnsi="Times New Roman" w:eastAsia="Times New Roman" w:cs="Times New Roman"/>
        <w:spacing w:val="-2"/>
        <w:w w:val="100"/>
        <w:sz w:val="18"/>
        <w:szCs w:val="18"/>
        <w:lang w:val="zh-CN" w:eastAsia="zh-CN" w:bidi="zh-CN"/>
      </w:rPr>
    </w:lvl>
    <w:lvl w:ilvl="3">
      <w:start w:val="0"/>
      <w:numFmt w:val="bullet"/>
      <w:lvlText w:val="•"/>
      <w:lvlJc w:val="left"/>
      <w:pPr>
        <w:ind w:left="440" w:hanging="394"/>
      </w:pPr>
      <w:rPr>
        <w:rFonts w:hint="default"/>
        <w:lang w:val="zh-CN" w:eastAsia="zh-CN" w:bidi="zh-CN"/>
      </w:rPr>
    </w:lvl>
    <w:lvl w:ilvl="4">
      <w:start w:val="0"/>
      <w:numFmt w:val="bullet"/>
      <w:lvlText w:val="•"/>
      <w:lvlJc w:val="left"/>
      <w:pPr>
        <w:ind w:left="480" w:hanging="394"/>
      </w:pPr>
      <w:rPr>
        <w:rFonts w:hint="default"/>
        <w:lang w:val="zh-CN" w:eastAsia="zh-CN" w:bidi="zh-CN"/>
      </w:rPr>
    </w:lvl>
    <w:lvl w:ilvl="5">
      <w:start w:val="0"/>
      <w:numFmt w:val="bullet"/>
      <w:lvlText w:val="•"/>
      <w:lvlJc w:val="left"/>
      <w:pPr>
        <w:ind w:left="520" w:hanging="394"/>
      </w:pPr>
      <w:rPr>
        <w:rFonts w:hint="default"/>
        <w:lang w:val="zh-CN" w:eastAsia="zh-CN" w:bidi="zh-CN"/>
      </w:rPr>
    </w:lvl>
    <w:lvl w:ilvl="6">
      <w:start w:val="0"/>
      <w:numFmt w:val="bullet"/>
      <w:lvlText w:val="•"/>
      <w:lvlJc w:val="left"/>
      <w:pPr>
        <w:ind w:left="2509" w:hanging="394"/>
      </w:pPr>
      <w:rPr>
        <w:rFonts w:hint="default"/>
        <w:lang w:val="zh-CN" w:eastAsia="zh-CN" w:bidi="zh-CN"/>
      </w:rPr>
    </w:lvl>
    <w:lvl w:ilvl="7">
      <w:start w:val="0"/>
      <w:numFmt w:val="bullet"/>
      <w:lvlText w:val="•"/>
      <w:lvlJc w:val="left"/>
      <w:pPr>
        <w:ind w:left="4498" w:hanging="394"/>
      </w:pPr>
      <w:rPr>
        <w:rFonts w:hint="default"/>
        <w:lang w:val="zh-CN" w:eastAsia="zh-CN" w:bidi="zh-CN"/>
      </w:rPr>
    </w:lvl>
    <w:lvl w:ilvl="8">
      <w:start w:val="0"/>
      <w:numFmt w:val="bullet"/>
      <w:lvlText w:val="•"/>
      <w:lvlJc w:val="left"/>
      <w:pPr>
        <w:ind w:left="6487" w:hanging="394"/>
      </w:pPr>
      <w:rPr>
        <w:rFonts w:hint="default"/>
        <w:lang w:val="zh-CN" w:eastAsia="zh-CN" w:bidi="zh-CN"/>
      </w:rPr>
    </w:lvl>
  </w:abstractNum>
  <w:abstractNum w:abstractNumId="1">
    <w:multiLevelType w:val="hybridMultilevel"/>
    <w:lvl w:ilvl="0">
      <w:start w:val="1"/>
      <w:numFmt w:val="decimal"/>
      <w:lvlText w:val="%1"/>
      <w:lvlJc w:val="left"/>
      <w:pPr>
        <w:ind w:left="300" w:hanging="173"/>
        <w:jc w:val="left"/>
      </w:pPr>
      <w:rPr>
        <w:rFonts w:hint="default" w:ascii="Times New Roman" w:hAnsi="Times New Roman" w:eastAsia="Times New Roman" w:cs="Times New Roman"/>
        <w:spacing w:val="-8"/>
        <w:w w:val="100"/>
        <w:sz w:val="18"/>
        <w:szCs w:val="18"/>
        <w:lang w:val="zh-CN" w:eastAsia="zh-CN" w:bidi="zh-CN"/>
      </w:rPr>
    </w:lvl>
    <w:lvl w:ilvl="1">
      <w:start w:val="1"/>
      <w:numFmt w:val="decimal"/>
      <w:lvlText w:val="%1.%2"/>
      <w:lvlJc w:val="left"/>
      <w:pPr>
        <w:ind w:left="388" w:hanging="262"/>
        <w:jc w:val="left"/>
      </w:pPr>
      <w:rPr>
        <w:rFonts w:hint="default" w:ascii="Times New Roman" w:hAnsi="Times New Roman" w:eastAsia="Times New Roman" w:cs="Times New Roman"/>
        <w:spacing w:val="-2"/>
        <w:w w:val="100"/>
        <w:sz w:val="18"/>
        <w:szCs w:val="18"/>
        <w:lang w:val="zh-CN" w:eastAsia="zh-CN" w:bidi="zh-CN"/>
      </w:rPr>
    </w:lvl>
    <w:lvl w:ilvl="2">
      <w:start w:val="0"/>
      <w:numFmt w:val="bullet"/>
      <w:lvlText w:val="•"/>
      <w:lvlJc w:val="left"/>
      <w:pPr>
        <w:ind w:left="1500" w:hanging="262"/>
      </w:pPr>
      <w:rPr>
        <w:rFonts w:hint="default"/>
        <w:lang w:val="zh-CN" w:eastAsia="zh-CN" w:bidi="zh-CN"/>
      </w:rPr>
    </w:lvl>
    <w:lvl w:ilvl="3">
      <w:start w:val="0"/>
      <w:numFmt w:val="bullet"/>
      <w:lvlText w:val="•"/>
      <w:lvlJc w:val="left"/>
      <w:pPr>
        <w:ind w:left="2621" w:hanging="262"/>
      </w:pPr>
      <w:rPr>
        <w:rFonts w:hint="default"/>
        <w:lang w:val="zh-CN" w:eastAsia="zh-CN" w:bidi="zh-CN"/>
      </w:rPr>
    </w:lvl>
    <w:lvl w:ilvl="4">
      <w:start w:val="0"/>
      <w:numFmt w:val="bullet"/>
      <w:lvlText w:val="•"/>
      <w:lvlJc w:val="left"/>
      <w:pPr>
        <w:ind w:left="3742" w:hanging="262"/>
      </w:pPr>
      <w:rPr>
        <w:rFonts w:hint="default"/>
        <w:lang w:val="zh-CN" w:eastAsia="zh-CN" w:bidi="zh-CN"/>
      </w:rPr>
    </w:lvl>
    <w:lvl w:ilvl="5">
      <w:start w:val="0"/>
      <w:numFmt w:val="bullet"/>
      <w:lvlText w:val="•"/>
      <w:lvlJc w:val="left"/>
      <w:pPr>
        <w:ind w:left="4862" w:hanging="262"/>
      </w:pPr>
      <w:rPr>
        <w:rFonts w:hint="default"/>
        <w:lang w:val="zh-CN" w:eastAsia="zh-CN" w:bidi="zh-CN"/>
      </w:rPr>
    </w:lvl>
    <w:lvl w:ilvl="6">
      <w:start w:val="0"/>
      <w:numFmt w:val="bullet"/>
      <w:lvlText w:val="•"/>
      <w:lvlJc w:val="left"/>
      <w:pPr>
        <w:ind w:left="5983" w:hanging="262"/>
      </w:pPr>
      <w:rPr>
        <w:rFonts w:hint="default"/>
        <w:lang w:val="zh-CN" w:eastAsia="zh-CN" w:bidi="zh-CN"/>
      </w:rPr>
    </w:lvl>
    <w:lvl w:ilvl="7">
      <w:start w:val="0"/>
      <w:numFmt w:val="bullet"/>
      <w:lvlText w:val="•"/>
      <w:lvlJc w:val="left"/>
      <w:pPr>
        <w:ind w:left="7104" w:hanging="262"/>
      </w:pPr>
      <w:rPr>
        <w:rFonts w:hint="default"/>
        <w:lang w:val="zh-CN" w:eastAsia="zh-CN" w:bidi="zh-CN"/>
      </w:rPr>
    </w:lvl>
    <w:lvl w:ilvl="8">
      <w:start w:val="0"/>
      <w:numFmt w:val="bullet"/>
      <w:lvlText w:val="•"/>
      <w:lvlJc w:val="left"/>
      <w:pPr>
        <w:ind w:left="8224" w:hanging="262"/>
      </w:pPr>
      <w:rPr>
        <w:rFonts w:hint="default"/>
        <w:lang w:val="zh-CN" w:eastAsia="zh-CN" w:bidi="zh-CN"/>
      </w:rPr>
    </w:lvl>
  </w:abstractNum>
  <w:abstractNum w:abstractNumId="0">
    <w:multiLevelType w:val="hybridMultilevel"/>
    <w:lvl w:ilvl="0">
      <w:start w:val="2"/>
      <w:numFmt w:val="decimal"/>
      <w:lvlText w:val="%1）"/>
      <w:lvlJc w:val="left"/>
      <w:pPr>
        <w:ind w:left="1273" w:hanging="270"/>
        <w:jc w:val="left"/>
      </w:pPr>
      <w:rPr>
        <w:rFonts w:hint="default" w:ascii="Times New Roman" w:hAnsi="Times New Roman" w:eastAsia="Times New Roman" w:cs="Times New Roman"/>
        <w:b/>
        <w:bCs/>
        <w:spacing w:val="-5"/>
        <w:w w:val="99"/>
        <w:sz w:val="16"/>
        <w:szCs w:val="16"/>
        <w:lang w:val="zh-CN" w:eastAsia="zh-CN" w:bidi="zh-CN"/>
      </w:rPr>
    </w:lvl>
    <w:lvl w:ilvl="1">
      <w:start w:val="0"/>
      <w:numFmt w:val="bullet"/>
      <w:lvlText w:val="•"/>
      <w:lvlJc w:val="left"/>
      <w:pPr>
        <w:ind w:left="2198" w:hanging="270"/>
      </w:pPr>
      <w:rPr>
        <w:rFonts w:hint="default"/>
        <w:lang w:val="zh-CN" w:eastAsia="zh-CN" w:bidi="zh-CN"/>
      </w:rPr>
    </w:lvl>
    <w:lvl w:ilvl="2">
      <w:start w:val="0"/>
      <w:numFmt w:val="bullet"/>
      <w:lvlText w:val="•"/>
      <w:lvlJc w:val="left"/>
      <w:pPr>
        <w:ind w:left="3117" w:hanging="270"/>
      </w:pPr>
      <w:rPr>
        <w:rFonts w:hint="default"/>
        <w:lang w:val="zh-CN" w:eastAsia="zh-CN" w:bidi="zh-CN"/>
      </w:rPr>
    </w:lvl>
    <w:lvl w:ilvl="3">
      <w:start w:val="0"/>
      <w:numFmt w:val="bullet"/>
      <w:lvlText w:val="•"/>
      <w:lvlJc w:val="left"/>
      <w:pPr>
        <w:ind w:left="4035" w:hanging="270"/>
      </w:pPr>
      <w:rPr>
        <w:rFonts w:hint="default"/>
        <w:lang w:val="zh-CN" w:eastAsia="zh-CN" w:bidi="zh-CN"/>
      </w:rPr>
    </w:lvl>
    <w:lvl w:ilvl="4">
      <w:start w:val="0"/>
      <w:numFmt w:val="bullet"/>
      <w:lvlText w:val="•"/>
      <w:lvlJc w:val="left"/>
      <w:pPr>
        <w:ind w:left="4954" w:hanging="270"/>
      </w:pPr>
      <w:rPr>
        <w:rFonts w:hint="default"/>
        <w:lang w:val="zh-CN" w:eastAsia="zh-CN" w:bidi="zh-CN"/>
      </w:rPr>
    </w:lvl>
    <w:lvl w:ilvl="5">
      <w:start w:val="0"/>
      <w:numFmt w:val="bullet"/>
      <w:lvlText w:val="•"/>
      <w:lvlJc w:val="left"/>
      <w:pPr>
        <w:ind w:left="5873" w:hanging="270"/>
      </w:pPr>
      <w:rPr>
        <w:rFonts w:hint="default"/>
        <w:lang w:val="zh-CN" w:eastAsia="zh-CN" w:bidi="zh-CN"/>
      </w:rPr>
    </w:lvl>
    <w:lvl w:ilvl="6">
      <w:start w:val="0"/>
      <w:numFmt w:val="bullet"/>
      <w:lvlText w:val="•"/>
      <w:lvlJc w:val="left"/>
      <w:pPr>
        <w:ind w:left="6791" w:hanging="270"/>
      </w:pPr>
      <w:rPr>
        <w:rFonts w:hint="default"/>
        <w:lang w:val="zh-CN" w:eastAsia="zh-CN" w:bidi="zh-CN"/>
      </w:rPr>
    </w:lvl>
    <w:lvl w:ilvl="7">
      <w:start w:val="0"/>
      <w:numFmt w:val="bullet"/>
      <w:lvlText w:val="•"/>
      <w:lvlJc w:val="left"/>
      <w:pPr>
        <w:ind w:left="7710" w:hanging="270"/>
      </w:pPr>
      <w:rPr>
        <w:rFonts w:hint="default"/>
        <w:lang w:val="zh-CN" w:eastAsia="zh-CN" w:bidi="zh-CN"/>
      </w:rPr>
    </w:lvl>
    <w:lvl w:ilvl="8">
      <w:start w:val="0"/>
      <w:numFmt w:val="bullet"/>
      <w:lvlText w:val="•"/>
      <w:lvlJc w:val="left"/>
      <w:pPr>
        <w:ind w:left="8628" w:hanging="270"/>
      </w:pPr>
      <w:rPr>
        <w:rFonts w:hint="default"/>
        <w:lang w:val="zh-CN" w:eastAsia="zh-CN" w:bidi="zh-CN"/>
      </w:rPr>
    </w:lvl>
  </w:abstractNum>
  <w:num w:numId="8">
    <w:abstractNumId w:val="7"/>
  </w:num>
  <w:num w:numId="7">
    <w:abstractNumId w:val="6"/>
  </w:num>
  <w:num w:numId="6">
    <w:abstractNumId w:val="5"/>
  </w:num>
  <w:num w:numId="5">
    <w:abstractNumId w:val="4"/>
  </w:num>
  <w:num w:numId="4">
    <w:abstractNumId w:val="3"/>
  </w:num>
  <w:num w:numId="3">
    <w:abstractNumId w:val="2"/>
  </w:num>
  <w:num w:numId="2">
    <w:abstractNumId w:val="1"/>
  </w: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宋体" w:hAnsi="宋体" w:eastAsia="宋体" w:cs="宋体"/>
      <w:lang w:val="zh-CN" w:eastAsia="zh-CN" w:bidi="zh-CN"/>
    </w:rPr>
  </w:style>
  <w:style w:styleId="BodyText" w:type="paragraph">
    <w:name w:val="Body Text"/>
    <w:basedOn w:val="Normal"/>
    <w:uiPriority w:val="1"/>
    <w:qFormat/>
    <w:pPr>
      <w:spacing w:line="200" w:lineRule="exact"/>
      <w:ind w:left="127"/>
    </w:pPr>
    <w:rPr>
      <w:rFonts w:ascii="宋体" w:hAnsi="宋体" w:eastAsia="宋体" w:cs="宋体"/>
      <w:sz w:val="18"/>
      <w:szCs w:val="18"/>
      <w:lang w:val="zh-CN" w:eastAsia="zh-CN" w:bidi="zh-CN"/>
    </w:rPr>
  </w:style>
  <w:style w:styleId="Heading1" w:type="paragraph">
    <w:name w:val="Heading 1"/>
    <w:basedOn w:val="Normal"/>
    <w:uiPriority w:val="1"/>
    <w:qFormat/>
    <w:pPr>
      <w:spacing w:line="200" w:lineRule="exact"/>
      <w:ind w:left="127"/>
      <w:outlineLvl w:val="1"/>
    </w:pPr>
    <w:rPr>
      <w:rFonts w:ascii="宋体" w:hAnsi="宋体" w:eastAsia="宋体" w:cs="宋体"/>
      <w:b/>
      <w:bCs/>
      <w:sz w:val="18"/>
      <w:szCs w:val="18"/>
      <w:lang w:val="zh-CN" w:eastAsia="zh-CN" w:bidi="zh-CN"/>
    </w:rPr>
  </w:style>
  <w:style w:styleId="ListParagraph" w:type="paragraph">
    <w:name w:val="List Paragraph"/>
    <w:basedOn w:val="Normal"/>
    <w:uiPriority w:val="1"/>
    <w:qFormat/>
    <w:pPr>
      <w:spacing w:line="200" w:lineRule="exact"/>
      <w:ind w:left="127" w:hanging="217"/>
    </w:pPr>
    <w:rPr>
      <w:rFonts w:ascii="宋体" w:hAnsi="宋体" w:eastAsia="宋体" w:cs="宋体"/>
      <w:lang w:val="zh-CN" w:eastAsia="zh-CN" w:bidi="zh-CN"/>
    </w:rPr>
  </w:style>
  <w:style w:styleId="TableParagraph" w:type="paragraph">
    <w:name w:val="Table Paragraph"/>
    <w:basedOn w:val="Normal"/>
    <w:uiPriority w:val="1"/>
    <w:qFormat/>
    <w:pPr>
      <w:spacing w:line="180" w:lineRule="exact"/>
      <w:ind w:left="154"/>
      <w:jc w:val="center"/>
    </w:pPr>
    <w:rPr>
      <w:rFonts w:ascii="宋体" w:hAnsi="宋体" w:eastAsia="宋体" w:cs="宋体"/>
      <w:lang w:val="zh-CN" w:eastAsia="zh-CN" w:bidi="zh-CN"/>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footer" Target="footer1.xml"/><Relationship Id="rId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黄河</dc:creator>
  <dc:title>医疗器械注册产品标准</dc:title>
  <dcterms:created xsi:type="dcterms:W3CDTF">2021-04-21T13:46:08Z</dcterms:created>
  <dcterms:modified xsi:type="dcterms:W3CDTF">2021-04-21T13:46:08Z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2019-12-13T00:00:00Z</vt:filetime>
  </property>
  <property fmtid="{D5CDD505-2E9C-101B-9397-08002B2CF9AE}" pid="3" name="Creator">
    <vt:lpwstr>WPS 文字</vt:lpwstr>
  </property>
  <property fmtid="{D5CDD505-2E9C-101B-9397-08002B2CF9AE}" pid="4" name="LastSaved">
    <vt:filetime>2021-04-21T00:00:00Z</vt:filetime>
  </property>
</Properties>
</file>