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0"/>
        <w:ind w:left="0"/>
        <w:rPr>
          <w:rFonts w:ascii="Times New Roman"/>
        </w:rPr>
      </w:pPr>
    </w:p>
    <w:p>
      <w:pPr>
        <w:pStyle w:val="BodyText"/>
        <w:spacing w:before="7"/>
        <w:ind w:left="0"/>
        <w:rPr>
          <w:rFonts w:ascii="Times New Roman"/>
          <w:sz w:val="15"/>
        </w:rPr>
      </w:pPr>
    </w:p>
    <w:p>
      <w:pPr>
        <w:pStyle w:val="Heading1"/>
        <w:spacing w:before="0"/>
      </w:pPr>
      <w:r>
        <w:rPr/>
        <w:t>【产品名称】</w:t>
      </w:r>
    </w:p>
    <w:p>
      <w:pPr>
        <w:spacing w:before="66"/>
        <w:ind w:left="119" w:right="0" w:firstLine="0"/>
        <w:jc w:val="left"/>
        <w:rPr>
          <w:b/>
          <w:sz w:val="21"/>
        </w:rPr>
      </w:pPr>
      <w:r>
        <w:rPr/>
        <w:br w:type="column"/>
      </w:r>
      <w:r>
        <w:rPr>
          <w:b/>
          <w:sz w:val="21"/>
        </w:rPr>
        <w:t>新型冠状病毒 </w:t>
      </w:r>
      <w:r>
        <w:rPr>
          <w:rFonts w:ascii="Times New Roman" w:eastAsia="Times New Roman"/>
          <w:b/>
          <w:sz w:val="21"/>
        </w:rPr>
        <w:t>2019-nCoV </w:t>
      </w:r>
      <w:r>
        <w:rPr>
          <w:b/>
          <w:sz w:val="21"/>
        </w:rPr>
        <w:t>核酸检测试剂盒（荧光 </w:t>
      </w:r>
      <w:r>
        <w:rPr>
          <w:rFonts w:ascii="Times New Roman" w:eastAsia="Times New Roman"/>
          <w:b/>
          <w:sz w:val="21"/>
        </w:rPr>
        <w:t>PCR </w:t>
      </w:r>
      <w:r>
        <w:rPr>
          <w:b/>
          <w:sz w:val="21"/>
        </w:rPr>
        <w:t>法）说明书</w:t>
      </w:r>
    </w:p>
    <w:p>
      <w:pPr>
        <w:spacing w:after="0"/>
        <w:jc w:val="left"/>
        <w:rPr>
          <w:sz w:val="21"/>
        </w:rPr>
        <w:sectPr>
          <w:headerReference w:type="default" r:id="rId5"/>
          <w:footerReference w:type="default" r:id="rId6"/>
          <w:type w:val="continuous"/>
          <w:pgSz w:w="23760" w:h="16790" w:orient="landscape"/>
          <w:pgMar w:header="881" w:footer="940" w:top="1320" w:bottom="1120" w:left="860" w:right="880"/>
          <w:pgNumType w:start="1"/>
          <w:cols w:num="2" w:equalWidth="0">
            <w:col w:w="1245" w:space="1175"/>
            <w:col w:w="19600"/>
          </w:cols>
        </w:sectPr>
      </w:pPr>
    </w:p>
    <w:p>
      <w:pPr>
        <w:pStyle w:val="BodyText"/>
        <w:ind w:left="186"/>
      </w:pPr>
      <w:r>
        <w:rPr>
          <w:b/>
        </w:rPr>
        <w:t>通用名称：</w:t>
      </w:r>
      <w:r>
        <w:rPr/>
        <w:t>新型冠状病毒 </w:t>
      </w:r>
      <w:r>
        <w:rPr>
          <w:rFonts w:ascii="Times New Roman" w:eastAsia="Times New Roman"/>
        </w:rPr>
        <w:t>2019-nCoV </w:t>
      </w:r>
      <w:r>
        <w:rPr/>
        <w:t>核酸检测试剂盒（荧光 </w:t>
      </w:r>
      <w:r>
        <w:rPr>
          <w:rFonts w:ascii="Times New Roman" w:eastAsia="Times New Roman"/>
        </w:rPr>
        <w:t>PCR </w:t>
      </w:r>
      <w:r>
        <w:rPr/>
        <w:t>法）</w:t>
      </w:r>
    </w:p>
    <w:p>
      <w:pPr>
        <w:spacing w:before="59"/>
        <w:ind w:left="119" w:right="0" w:firstLine="0"/>
        <w:jc w:val="left"/>
        <w:rPr>
          <w:sz w:val="18"/>
        </w:rPr>
      </w:pPr>
      <w:r>
        <w:rPr>
          <w:b/>
          <w:sz w:val="18"/>
        </w:rPr>
        <w:t>【包装规格】</w:t>
      </w:r>
      <w:r>
        <w:rPr>
          <w:rFonts w:ascii="Times New Roman" w:eastAsia="Times New Roman"/>
          <w:sz w:val="18"/>
        </w:rPr>
        <w:t>24 </w:t>
      </w:r>
      <w:r>
        <w:rPr>
          <w:sz w:val="18"/>
        </w:rPr>
        <w:t>人份</w:t>
      </w:r>
      <w:r>
        <w:rPr>
          <w:rFonts w:ascii="Times New Roman" w:eastAsia="Times New Roman"/>
          <w:sz w:val="18"/>
        </w:rPr>
        <w:t>/</w:t>
      </w:r>
      <w:r>
        <w:rPr>
          <w:sz w:val="18"/>
        </w:rPr>
        <w:t>盒，</w:t>
      </w:r>
      <w:r>
        <w:rPr>
          <w:rFonts w:ascii="Times New Roman" w:eastAsia="Times New Roman"/>
          <w:sz w:val="18"/>
        </w:rPr>
        <w:t>48 </w:t>
      </w:r>
      <w:r>
        <w:rPr>
          <w:sz w:val="18"/>
        </w:rPr>
        <w:t>人份</w:t>
      </w:r>
      <w:r>
        <w:rPr>
          <w:rFonts w:ascii="Times New Roman" w:eastAsia="Times New Roman"/>
          <w:sz w:val="18"/>
        </w:rPr>
        <w:t>/</w:t>
      </w:r>
      <w:r>
        <w:rPr>
          <w:sz w:val="18"/>
        </w:rPr>
        <w:t>盒。</w:t>
      </w:r>
    </w:p>
    <w:p>
      <w:pPr>
        <w:pStyle w:val="Heading1"/>
      </w:pPr>
      <w:r>
        <w:rPr/>
        <w:t>【预期用途】</w:t>
      </w:r>
    </w:p>
    <w:p>
      <w:pPr>
        <w:pStyle w:val="BodyText"/>
        <w:spacing w:line="300" w:lineRule="auto"/>
        <w:ind w:left="186" w:right="86" w:firstLine="355"/>
      </w:pPr>
      <w:r>
        <w:rPr/>
        <w:t>本试剂盒用于体外定性检测新型冠状病毒肺炎疑似病例、聚集性病例、其他需要进行新型冠状病毒感染诊断或鉴别诊断者的咽拭子和肺泡灌洗液样本中，新型冠状病毒（</w:t>
      </w:r>
      <w:r>
        <w:rPr>
          <w:rFonts w:ascii="Times New Roman" w:hAnsi="Times New Roman" w:eastAsia="Times New Roman"/>
        </w:rPr>
        <w:t>2019-nCoV</w:t>
      </w:r>
      <w:r>
        <w:rPr/>
        <w:t>）</w:t>
      </w:r>
      <w:r>
        <w:rPr>
          <w:rFonts w:ascii="Times New Roman" w:hAnsi="Times New Roman" w:eastAsia="Times New Roman"/>
        </w:rPr>
        <w:t>ORF1ab</w:t>
      </w:r>
      <w:r>
        <w:rPr/>
        <w:t>和</w:t>
      </w:r>
      <w:r>
        <w:rPr>
          <w:rFonts w:ascii="Times New Roman" w:hAnsi="Times New Roman" w:eastAsia="Times New Roman"/>
        </w:rPr>
        <w:t>N</w:t>
      </w:r>
      <w:r>
        <w:rPr/>
        <w:t>基因。有关</w:t>
      </w:r>
      <w:r>
        <w:rPr>
          <w:rFonts w:ascii="Times New Roman" w:hAnsi="Times New Roman" w:eastAsia="Times New Roman"/>
        </w:rPr>
        <w:t>“</w:t>
      </w:r>
      <w:r>
        <w:rPr/>
        <w:t>疑似病例</w:t>
      </w:r>
      <w:r>
        <w:rPr>
          <w:rFonts w:ascii="Times New Roman" w:hAnsi="Times New Roman" w:eastAsia="Times New Roman"/>
        </w:rPr>
        <w:t>”</w:t>
      </w:r>
      <w:r>
        <w:rPr/>
        <w:t>、</w:t>
      </w:r>
      <w:r>
        <w:rPr>
          <w:rFonts w:ascii="Times New Roman" w:hAnsi="Times New Roman" w:eastAsia="Times New Roman"/>
        </w:rPr>
        <w:t>“</w:t>
      </w:r>
      <w:r>
        <w:rPr/>
        <w:t>聚集性病例</w:t>
      </w:r>
      <w:r>
        <w:rPr>
          <w:rFonts w:ascii="Times New Roman" w:hAnsi="Times New Roman" w:eastAsia="Times New Roman"/>
        </w:rPr>
        <w:t>”</w:t>
      </w:r>
      <w:r>
        <w:rPr/>
        <w:t>等人群的定义参照《新型冠状病毒肺炎诊疗方案》、《新型冠状病毒肺炎防控方案》等文件执行。</w:t>
      </w:r>
    </w:p>
    <w:p>
      <w:pPr>
        <w:pStyle w:val="BodyText"/>
        <w:spacing w:line="302" w:lineRule="auto" w:before="4"/>
        <w:ind w:left="186" w:right="81" w:firstLine="360"/>
        <w:jc w:val="both"/>
      </w:pPr>
      <w:r>
        <w:rPr/>
        <w:t>该产品仅用于</w:t>
      </w:r>
      <w:r>
        <w:rPr>
          <w:rFonts w:ascii="Times New Roman" w:eastAsia="Times New Roman"/>
        </w:rPr>
        <w:t>2019</w:t>
      </w:r>
      <w:r>
        <w:rPr/>
        <w:t>年</w:t>
      </w:r>
      <w:r>
        <w:rPr>
          <w:rFonts w:ascii="Times New Roman" w:eastAsia="Times New Roman"/>
        </w:rPr>
        <w:t>12</w:t>
      </w:r>
      <w:r>
        <w:rPr/>
        <w:t>月以来，新型冠状病毒（</w:t>
      </w:r>
      <w:r>
        <w:rPr>
          <w:rFonts w:ascii="Times New Roman" w:eastAsia="Times New Roman"/>
        </w:rPr>
        <w:t>2019-nCoV</w:t>
      </w:r>
      <w:r>
        <w:rPr/>
        <w:t>）感染的肺炎疫情期间，相关病例的辅助诊断和此次疫情的体外诊断应急储备，不能作为常规体外诊断试剂应用于临床。在使用上应当遵守《新型冠状病毒肺炎诊疗方案》、《新型冠状病毒肺炎防控方案》等文件的相关要求。</w:t>
      </w:r>
    </w:p>
    <w:p>
      <w:pPr>
        <w:pStyle w:val="BodyText"/>
        <w:spacing w:line="230" w:lineRule="exact" w:before="0"/>
        <w:ind w:left="546"/>
      </w:pPr>
      <w:r>
        <w:rPr/>
        <w:t>开展新型冠状病毒核酸检测，应符合《新型冠状病毒肺炎实验室检测技术指南》等的要求，做好生物安全工作。</w:t>
      </w:r>
    </w:p>
    <w:p>
      <w:pPr>
        <w:pStyle w:val="Heading1"/>
      </w:pPr>
      <w:r>
        <w:rPr/>
        <w:t>【检验原理】</w:t>
      </w:r>
    </w:p>
    <w:p>
      <w:pPr>
        <w:pStyle w:val="BodyText"/>
        <w:spacing w:line="302" w:lineRule="auto" w:before="57"/>
        <w:ind w:right="59" w:firstLine="360"/>
      </w:pPr>
      <w:r>
        <w:rPr/>
        <w:t>本试剂盒对新型冠状病毒（</w:t>
      </w:r>
      <w:r>
        <w:rPr>
          <w:rFonts w:ascii="Times New Roman" w:eastAsia="Times New Roman"/>
        </w:rPr>
        <w:t>2019-nCoV</w:t>
      </w:r>
      <w:r>
        <w:rPr/>
        <w:t>）</w:t>
      </w:r>
      <w:r>
        <w:rPr>
          <w:rFonts w:ascii="Times New Roman" w:eastAsia="Times New Roman"/>
        </w:rPr>
        <w:t>ORF 1ab </w:t>
      </w:r>
      <w:r>
        <w:rPr/>
        <w:t>及编码核衣壳蛋白 </w:t>
      </w:r>
      <w:r>
        <w:rPr>
          <w:rFonts w:ascii="Times New Roman" w:eastAsia="Times New Roman"/>
        </w:rPr>
        <w:t>N </w:t>
      </w:r>
      <w:r>
        <w:rPr/>
        <w:t>基因的特异性保守序列为靶区域，进行了双靶标基因的设计， 配以 </w:t>
      </w:r>
      <w:r>
        <w:rPr>
          <w:rFonts w:ascii="Times New Roman" w:eastAsia="Times New Roman"/>
        </w:rPr>
        <w:t>PCR </w:t>
      </w:r>
      <w:r>
        <w:rPr/>
        <w:t>反应液，在荧光定量</w:t>
      </w:r>
      <w:r>
        <w:rPr>
          <w:rFonts w:ascii="Times New Roman" w:eastAsia="Times New Roman"/>
        </w:rPr>
        <w:t>PCR </w:t>
      </w:r>
      <w:r>
        <w:rPr/>
        <w:t>仪上，应用实时荧光定量 </w:t>
      </w:r>
      <w:r>
        <w:rPr>
          <w:rFonts w:ascii="Times New Roman" w:eastAsia="Times New Roman"/>
        </w:rPr>
        <w:t>RT-PCR </w:t>
      </w:r>
      <w:r>
        <w:rPr/>
        <w:t>检测技术，通过荧光信号的变化实现样本 </w:t>
      </w:r>
      <w:r>
        <w:rPr>
          <w:rFonts w:ascii="Times New Roman" w:eastAsia="Times New Roman"/>
        </w:rPr>
        <w:t>RNA </w:t>
      </w:r>
      <w:r>
        <w:rPr/>
        <w:t>的检测。</w:t>
      </w:r>
    </w:p>
    <w:p>
      <w:pPr>
        <w:pStyle w:val="BodyText"/>
        <w:spacing w:line="230" w:lineRule="exact" w:before="0"/>
        <w:ind w:left="479"/>
      </w:pPr>
      <w:r>
        <w:rPr>
          <w:rFonts w:ascii="Times New Roman" w:eastAsia="Times New Roman"/>
        </w:rPr>
        <w:t>PCR </w:t>
      </w:r>
      <w:r>
        <w:rPr/>
        <w:t>检测体系包含有内源性的内标引物和探针，通过检测内标是否正常来监测样本采集、提取过程，避免假阴性结果。</w:t>
      </w:r>
    </w:p>
    <w:p>
      <w:pPr>
        <w:pStyle w:val="Heading1"/>
      </w:pPr>
      <w:r>
        <w:rPr/>
        <w:t>【主要组成成分】</w:t>
      </w:r>
    </w:p>
    <w:p>
      <w:pPr>
        <w:pStyle w:val="BodyText"/>
        <w:ind w:left="479"/>
      </w:pPr>
      <w:r>
        <w:rPr/>
        <w:t>本试剂盒由以下组分组成：</w:t>
      </w: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4"/>
        <w:gridCol w:w="2311"/>
        <w:gridCol w:w="1439"/>
        <w:gridCol w:w="1521"/>
        <w:gridCol w:w="4614"/>
      </w:tblGrid>
      <w:tr>
        <w:trPr>
          <w:trHeight w:val="410" w:hRule="atLeast"/>
        </w:trPr>
        <w:tc>
          <w:tcPr>
            <w:tcW w:w="654" w:type="dxa"/>
            <w:vMerge w:val="restart"/>
          </w:tcPr>
          <w:p>
            <w:pPr>
              <w:pStyle w:val="TableParagraph"/>
              <w:spacing w:before="2"/>
              <w:jc w:val="left"/>
              <w:rPr>
                <w:rFonts w:ascii="宋体"/>
                <w:sz w:val="24"/>
              </w:rPr>
            </w:pPr>
          </w:p>
          <w:p>
            <w:pPr>
              <w:pStyle w:val="TableParagraph"/>
              <w:spacing w:before="1"/>
              <w:ind w:left="147"/>
              <w:jc w:val="left"/>
              <w:rPr>
                <w:rFonts w:ascii="宋体" w:eastAsia="宋体" w:hint="eastAsia"/>
                <w:sz w:val="18"/>
              </w:rPr>
            </w:pPr>
            <w:r>
              <w:rPr>
                <w:rFonts w:ascii="宋体" w:eastAsia="宋体" w:hint="eastAsia"/>
                <w:sz w:val="18"/>
              </w:rPr>
              <w:t>序号</w:t>
            </w:r>
          </w:p>
        </w:tc>
        <w:tc>
          <w:tcPr>
            <w:tcW w:w="2311" w:type="dxa"/>
            <w:vMerge w:val="restart"/>
          </w:tcPr>
          <w:p>
            <w:pPr>
              <w:pStyle w:val="TableParagraph"/>
              <w:spacing w:before="2"/>
              <w:jc w:val="left"/>
              <w:rPr>
                <w:rFonts w:ascii="宋体"/>
                <w:sz w:val="24"/>
              </w:rPr>
            </w:pPr>
          </w:p>
          <w:p>
            <w:pPr>
              <w:pStyle w:val="TableParagraph"/>
              <w:spacing w:before="1"/>
              <w:ind w:left="118" w:right="108"/>
              <w:rPr>
                <w:rFonts w:ascii="宋体" w:eastAsia="宋体" w:hint="eastAsia"/>
                <w:sz w:val="18"/>
              </w:rPr>
            </w:pPr>
            <w:r>
              <w:rPr>
                <w:rFonts w:ascii="宋体" w:eastAsia="宋体" w:hint="eastAsia"/>
                <w:sz w:val="18"/>
              </w:rPr>
              <w:t>试剂名称</w:t>
            </w:r>
          </w:p>
        </w:tc>
        <w:tc>
          <w:tcPr>
            <w:tcW w:w="2960" w:type="dxa"/>
            <w:gridSpan w:val="2"/>
          </w:tcPr>
          <w:p>
            <w:pPr>
              <w:pStyle w:val="TableParagraph"/>
              <w:spacing w:before="113"/>
              <w:ind w:left="566"/>
              <w:jc w:val="left"/>
              <w:rPr>
                <w:rFonts w:ascii="宋体" w:eastAsia="宋体" w:hint="eastAsia"/>
                <w:sz w:val="18"/>
              </w:rPr>
            </w:pPr>
            <w:r>
              <w:rPr>
                <w:rFonts w:ascii="宋体" w:eastAsia="宋体" w:hint="eastAsia"/>
                <w:sz w:val="18"/>
              </w:rPr>
              <w:t>规格与装量（人份</w:t>
            </w:r>
            <w:r>
              <w:rPr>
                <w:sz w:val="18"/>
              </w:rPr>
              <w:t>/</w:t>
            </w:r>
            <w:r>
              <w:rPr>
                <w:rFonts w:ascii="宋体" w:eastAsia="宋体" w:hint="eastAsia"/>
                <w:sz w:val="18"/>
              </w:rPr>
              <w:t>盒）</w:t>
            </w:r>
          </w:p>
        </w:tc>
        <w:tc>
          <w:tcPr>
            <w:tcW w:w="4614" w:type="dxa"/>
            <w:vMerge w:val="restart"/>
          </w:tcPr>
          <w:p>
            <w:pPr>
              <w:pStyle w:val="TableParagraph"/>
              <w:spacing w:before="2"/>
              <w:jc w:val="left"/>
              <w:rPr>
                <w:rFonts w:ascii="宋体"/>
                <w:sz w:val="24"/>
              </w:rPr>
            </w:pPr>
          </w:p>
          <w:p>
            <w:pPr>
              <w:pStyle w:val="TableParagraph"/>
              <w:spacing w:before="1"/>
              <w:ind w:left="166" w:right="157"/>
              <w:rPr>
                <w:rFonts w:ascii="宋体" w:eastAsia="宋体" w:hint="eastAsia"/>
                <w:sz w:val="18"/>
              </w:rPr>
            </w:pPr>
            <w:r>
              <w:rPr>
                <w:rFonts w:ascii="宋体" w:eastAsia="宋体" w:hint="eastAsia"/>
                <w:sz w:val="18"/>
              </w:rPr>
              <w:t>主要成分</w:t>
            </w:r>
          </w:p>
        </w:tc>
      </w:tr>
      <w:tr>
        <w:trPr>
          <w:trHeight w:val="385" w:hRule="atLeast"/>
        </w:trPr>
        <w:tc>
          <w:tcPr>
            <w:tcW w:w="654" w:type="dxa"/>
            <w:vMerge/>
            <w:tcBorders>
              <w:top w:val="nil"/>
            </w:tcBorders>
          </w:tcPr>
          <w:p>
            <w:pPr>
              <w:rPr>
                <w:sz w:val="2"/>
                <w:szCs w:val="2"/>
              </w:rPr>
            </w:pPr>
          </w:p>
        </w:tc>
        <w:tc>
          <w:tcPr>
            <w:tcW w:w="2311" w:type="dxa"/>
            <w:vMerge/>
            <w:tcBorders>
              <w:top w:val="nil"/>
            </w:tcBorders>
          </w:tcPr>
          <w:p>
            <w:pPr>
              <w:rPr>
                <w:sz w:val="2"/>
                <w:szCs w:val="2"/>
              </w:rPr>
            </w:pPr>
          </w:p>
        </w:tc>
        <w:tc>
          <w:tcPr>
            <w:tcW w:w="1439" w:type="dxa"/>
          </w:tcPr>
          <w:p>
            <w:pPr>
              <w:pStyle w:val="TableParagraph"/>
              <w:spacing w:before="111"/>
              <w:ind w:left="138" w:right="126"/>
              <w:rPr>
                <w:sz w:val="18"/>
              </w:rPr>
            </w:pPr>
            <w:r>
              <w:rPr>
                <w:sz w:val="18"/>
              </w:rPr>
              <w:t>24</w:t>
            </w:r>
          </w:p>
        </w:tc>
        <w:tc>
          <w:tcPr>
            <w:tcW w:w="1521" w:type="dxa"/>
          </w:tcPr>
          <w:p>
            <w:pPr>
              <w:pStyle w:val="TableParagraph"/>
              <w:spacing w:before="111"/>
              <w:ind w:left="133" w:right="124"/>
              <w:rPr>
                <w:sz w:val="18"/>
              </w:rPr>
            </w:pPr>
            <w:r>
              <w:rPr>
                <w:sz w:val="18"/>
              </w:rPr>
              <w:t>48</w:t>
            </w:r>
          </w:p>
        </w:tc>
        <w:tc>
          <w:tcPr>
            <w:tcW w:w="4614" w:type="dxa"/>
            <w:vMerge/>
            <w:tcBorders>
              <w:top w:val="nil"/>
            </w:tcBorders>
          </w:tcPr>
          <w:p>
            <w:pPr>
              <w:rPr>
                <w:sz w:val="2"/>
                <w:szCs w:val="2"/>
              </w:rPr>
            </w:pPr>
          </w:p>
        </w:tc>
      </w:tr>
      <w:tr>
        <w:trPr>
          <w:trHeight w:val="870" w:hRule="atLeast"/>
        </w:trPr>
        <w:tc>
          <w:tcPr>
            <w:tcW w:w="654" w:type="dxa"/>
          </w:tcPr>
          <w:p>
            <w:pPr>
              <w:pStyle w:val="TableParagraph"/>
              <w:spacing w:before="8"/>
              <w:jc w:val="left"/>
              <w:rPr>
                <w:rFonts w:ascii="宋体"/>
                <w:sz w:val="27"/>
              </w:rPr>
            </w:pPr>
          </w:p>
          <w:p>
            <w:pPr>
              <w:pStyle w:val="TableParagraph"/>
              <w:ind w:left="9"/>
              <w:rPr>
                <w:sz w:val="18"/>
              </w:rPr>
            </w:pPr>
            <w:r>
              <w:rPr>
                <w:sz w:val="18"/>
              </w:rPr>
              <w:t>1</w:t>
            </w:r>
          </w:p>
        </w:tc>
        <w:tc>
          <w:tcPr>
            <w:tcW w:w="2311" w:type="dxa"/>
          </w:tcPr>
          <w:p>
            <w:pPr>
              <w:pStyle w:val="TableParagraph"/>
              <w:spacing w:before="9"/>
              <w:jc w:val="left"/>
              <w:rPr>
                <w:rFonts w:ascii="宋体"/>
                <w:sz w:val="26"/>
              </w:rPr>
            </w:pPr>
          </w:p>
          <w:p>
            <w:pPr>
              <w:pStyle w:val="TableParagraph"/>
              <w:ind w:left="120" w:right="108"/>
              <w:rPr>
                <w:rFonts w:ascii="宋体" w:eastAsia="宋体" w:hint="eastAsia"/>
                <w:sz w:val="18"/>
              </w:rPr>
            </w:pPr>
            <w:r>
              <w:rPr>
                <w:sz w:val="18"/>
              </w:rPr>
              <w:t>2019-nCoV-PCR-</w:t>
            </w:r>
            <w:r>
              <w:rPr>
                <w:rFonts w:ascii="宋体" w:eastAsia="宋体" w:hint="eastAsia"/>
                <w:sz w:val="18"/>
              </w:rPr>
              <w:t>反应液</w:t>
            </w:r>
          </w:p>
        </w:tc>
        <w:tc>
          <w:tcPr>
            <w:tcW w:w="1439" w:type="dxa"/>
          </w:tcPr>
          <w:p>
            <w:pPr>
              <w:pStyle w:val="TableParagraph"/>
              <w:spacing w:before="9"/>
              <w:jc w:val="left"/>
              <w:rPr>
                <w:rFonts w:ascii="宋体"/>
                <w:sz w:val="26"/>
              </w:rPr>
            </w:pPr>
          </w:p>
          <w:p>
            <w:pPr>
              <w:pStyle w:val="TableParagraph"/>
              <w:ind w:left="138" w:right="127"/>
              <w:rPr>
                <w:rFonts w:ascii="宋体" w:hAnsi="宋体" w:eastAsia="宋体" w:hint="eastAsia"/>
                <w:sz w:val="18"/>
              </w:rPr>
            </w:pPr>
            <w:r>
              <w:rPr>
                <w:sz w:val="18"/>
              </w:rPr>
              <w:t>624μL/</w:t>
            </w:r>
            <w:r>
              <w:rPr>
                <w:rFonts w:ascii="宋体" w:hAnsi="宋体" w:eastAsia="宋体" w:hint="eastAsia"/>
                <w:sz w:val="18"/>
              </w:rPr>
              <w:t>管</w:t>
            </w:r>
            <w:r>
              <w:rPr>
                <w:sz w:val="18"/>
              </w:rPr>
              <w:t>×1 </w:t>
            </w:r>
            <w:r>
              <w:rPr>
                <w:rFonts w:ascii="宋体" w:hAnsi="宋体" w:eastAsia="宋体" w:hint="eastAsia"/>
                <w:sz w:val="18"/>
              </w:rPr>
              <w:t>管</w:t>
            </w:r>
          </w:p>
        </w:tc>
        <w:tc>
          <w:tcPr>
            <w:tcW w:w="1521" w:type="dxa"/>
          </w:tcPr>
          <w:p>
            <w:pPr>
              <w:pStyle w:val="TableParagraph"/>
              <w:spacing w:before="9"/>
              <w:jc w:val="left"/>
              <w:rPr>
                <w:rFonts w:ascii="宋体"/>
                <w:sz w:val="26"/>
              </w:rPr>
            </w:pPr>
          </w:p>
          <w:p>
            <w:pPr>
              <w:pStyle w:val="TableParagraph"/>
              <w:ind w:left="134" w:right="124"/>
              <w:rPr>
                <w:rFonts w:ascii="宋体" w:hAnsi="宋体" w:eastAsia="宋体" w:hint="eastAsia"/>
                <w:sz w:val="18"/>
              </w:rPr>
            </w:pPr>
            <w:r>
              <w:rPr>
                <w:sz w:val="18"/>
              </w:rPr>
              <w:t>1248μL/</w:t>
            </w:r>
            <w:r>
              <w:rPr>
                <w:rFonts w:ascii="宋体" w:hAnsi="宋体" w:eastAsia="宋体" w:hint="eastAsia"/>
                <w:sz w:val="18"/>
              </w:rPr>
              <w:t>管</w:t>
            </w:r>
            <w:r>
              <w:rPr>
                <w:sz w:val="18"/>
              </w:rPr>
              <w:t>×1 </w:t>
            </w:r>
            <w:r>
              <w:rPr>
                <w:rFonts w:ascii="宋体" w:hAnsi="宋体" w:eastAsia="宋体" w:hint="eastAsia"/>
                <w:sz w:val="18"/>
              </w:rPr>
              <w:t>管</w:t>
            </w:r>
          </w:p>
        </w:tc>
        <w:tc>
          <w:tcPr>
            <w:tcW w:w="4614" w:type="dxa"/>
          </w:tcPr>
          <w:p>
            <w:pPr>
              <w:pStyle w:val="TableParagraph"/>
              <w:spacing w:before="52"/>
              <w:ind w:left="171" w:right="157"/>
              <w:rPr>
                <w:rFonts w:ascii="宋体" w:eastAsia="宋体" w:hint="eastAsia"/>
                <w:sz w:val="18"/>
              </w:rPr>
            </w:pPr>
            <w:r>
              <w:rPr>
                <w:rFonts w:ascii="宋体" w:eastAsia="宋体" w:hint="eastAsia"/>
                <w:sz w:val="18"/>
              </w:rPr>
              <w:t>引物（</w:t>
            </w:r>
            <w:r>
              <w:rPr>
                <w:sz w:val="18"/>
              </w:rPr>
              <w:t>4.62%</w:t>
            </w:r>
            <w:r>
              <w:rPr>
                <w:rFonts w:ascii="宋体" w:eastAsia="宋体" w:hint="eastAsia"/>
                <w:sz w:val="18"/>
              </w:rPr>
              <w:t>）、探针（</w:t>
            </w:r>
            <w:r>
              <w:rPr>
                <w:sz w:val="18"/>
              </w:rPr>
              <w:t>1.15%</w:t>
            </w:r>
            <w:r>
              <w:rPr>
                <w:rFonts w:ascii="宋体" w:eastAsia="宋体" w:hint="eastAsia"/>
                <w:sz w:val="18"/>
              </w:rPr>
              <w:t>）、</w:t>
            </w:r>
            <w:r>
              <w:rPr>
                <w:sz w:val="18"/>
              </w:rPr>
              <w:t>dNTPs</w:t>
            </w:r>
            <w:r>
              <w:rPr>
                <w:rFonts w:ascii="宋体" w:eastAsia="宋体" w:hint="eastAsia"/>
                <w:sz w:val="18"/>
              </w:rPr>
              <w:t>（</w:t>
            </w:r>
            <w:r>
              <w:rPr>
                <w:sz w:val="18"/>
              </w:rPr>
              <w:t>3.85%</w:t>
            </w:r>
            <w:r>
              <w:rPr>
                <w:rFonts w:ascii="宋体" w:eastAsia="宋体" w:hint="eastAsia"/>
                <w:sz w:val="18"/>
              </w:rPr>
              <w:t>）、</w:t>
            </w:r>
          </w:p>
          <w:p>
            <w:pPr>
              <w:pStyle w:val="TableParagraph"/>
              <w:spacing w:before="64"/>
              <w:ind w:left="171" w:right="152"/>
              <w:rPr>
                <w:sz w:val="18"/>
              </w:rPr>
            </w:pPr>
            <w:r>
              <w:rPr>
                <w:position w:val="1"/>
                <w:sz w:val="18"/>
              </w:rPr>
              <w:t>MgCl</w:t>
            </w:r>
            <w:r>
              <w:rPr>
                <w:position w:val="1"/>
                <w:sz w:val="18"/>
                <w:vertAlign w:val="subscript"/>
              </w:rPr>
              <w:t>2</w:t>
            </w:r>
            <w:r>
              <w:rPr>
                <w:rFonts w:ascii="宋体" w:eastAsia="宋体" w:hint="eastAsia"/>
                <w:position w:val="1"/>
                <w:sz w:val="18"/>
                <w:vertAlign w:val="baseline"/>
              </w:rPr>
              <w:t>（</w:t>
            </w:r>
            <w:r>
              <w:rPr>
                <w:position w:val="1"/>
                <w:sz w:val="18"/>
                <w:vertAlign w:val="baseline"/>
              </w:rPr>
              <w:t>0.77%</w:t>
            </w:r>
            <w:r>
              <w:rPr>
                <w:rFonts w:ascii="宋体" w:eastAsia="宋体" w:hint="eastAsia"/>
                <w:position w:val="1"/>
                <w:sz w:val="18"/>
                <w:vertAlign w:val="baseline"/>
              </w:rPr>
              <w:t>）、</w:t>
            </w:r>
            <w:r>
              <w:rPr>
                <w:position w:val="1"/>
                <w:sz w:val="18"/>
                <w:vertAlign w:val="baseline"/>
              </w:rPr>
              <w:t>Rnasin</w:t>
            </w:r>
            <w:r>
              <w:rPr>
                <w:rFonts w:ascii="宋体" w:eastAsia="宋体" w:hint="eastAsia"/>
                <w:position w:val="1"/>
                <w:sz w:val="18"/>
                <w:vertAlign w:val="baseline"/>
              </w:rPr>
              <w:t>（</w:t>
            </w:r>
            <w:r>
              <w:rPr>
                <w:position w:val="1"/>
                <w:sz w:val="18"/>
                <w:vertAlign w:val="baseline"/>
              </w:rPr>
              <w:t>0.48%</w:t>
            </w:r>
            <w:r>
              <w:rPr>
                <w:rFonts w:ascii="宋体" w:eastAsia="宋体" w:hint="eastAsia"/>
                <w:position w:val="1"/>
                <w:sz w:val="18"/>
                <w:vertAlign w:val="baseline"/>
              </w:rPr>
              <w:t>）、 </w:t>
            </w:r>
            <w:r>
              <w:rPr>
                <w:position w:val="1"/>
                <w:sz w:val="18"/>
                <w:vertAlign w:val="baseline"/>
              </w:rPr>
              <w:t>PCR buffer</w:t>
            </w:r>
          </w:p>
          <w:p>
            <w:pPr>
              <w:pStyle w:val="TableParagraph"/>
              <w:spacing w:line="217" w:lineRule="exact" w:before="55"/>
              <w:ind w:left="166" w:right="157"/>
              <w:rPr>
                <w:rFonts w:ascii="宋体" w:eastAsia="宋体" w:hint="eastAsia"/>
                <w:sz w:val="18"/>
              </w:rPr>
            </w:pPr>
            <w:r>
              <w:rPr>
                <w:rFonts w:ascii="宋体" w:eastAsia="宋体" w:hint="eastAsia"/>
                <w:sz w:val="18"/>
              </w:rPr>
              <w:t>（</w:t>
            </w:r>
            <w:r>
              <w:rPr>
                <w:sz w:val="18"/>
              </w:rPr>
              <w:t>89.13%</w:t>
            </w:r>
            <w:r>
              <w:rPr>
                <w:rFonts w:ascii="宋体" w:eastAsia="宋体" w:hint="eastAsia"/>
                <w:sz w:val="18"/>
              </w:rPr>
              <w:t>）</w:t>
            </w:r>
          </w:p>
        </w:tc>
      </w:tr>
      <w:tr>
        <w:trPr>
          <w:trHeight w:val="870" w:hRule="atLeast"/>
        </w:trPr>
        <w:tc>
          <w:tcPr>
            <w:tcW w:w="654" w:type="dxa"/>
          </w:tcPr>
          <w:p>
            <w:pPr>
              <w:pStyle w:val="TableParagraph"/>
              <w:spacing w:before="7"/>
              <w:jc w:val="left"/>
              <w:rPr>
                <w:rFonts w:ascii="宋体"/>
                <w:sz w:val="27"/>
              </w:rPr>
            </w:pPr>
          </w:p>
          <w:p>
            <w:pPr>
              <w:pStyle w:val="TableParagraph"/>
              <w:ind w:left="9"/>
              <w:rPr>
                <w:sz w:val="18"/>
              </w:rPr>
            </w:pPr>
            <w:r>
              <w:rPr>
                <w:sz w:val="18"/>
              </w:rPr>
              <w:t>2</w:t>
            </w:r>
          </w:p>
        </w:tc>
        <w:tc>
          <w:tcPr>
            <w:tcW w:w="2311" w:type="dxa"/>
          </w:tcPr>
          <w:p>
            <w:pPr>
              <w:pStyle w:val="TableParagraph"/>
              <w:spacing w:before="10"/>
              <w:jc w:val="left"/>
              <w:rPr>
                <w:rFonts w:ascii="宋体"/>
                <w:sz w:val="26"/>
              </w:rPr>
            </w:pPr>
          </w:p>
          <w:p>
            <w:pPr>
              <w:pStyle w:val="TableParagraph"/>
              <w:ind w:left="120" w:right="108"/>
              <w:rPr>
                <w:rFonts w:ascii="宋体" w:eastAsia="宋体" w:hint="eastAsia"/>
                <w:sz w:val="18"/>
              </w:rPr>
            </w:pPr>
            <w:r>
              <w:rPr>
                <w:sz w:val="18"/>
              </w:rPr>
              <w:t>2019-nCoV-PCR-</w:t>
            </w:r>
            <w:r>
              <w:rPr>
                <w:rFonts w:ascii="宋体" w:eastAsia="宋体" w:hint="eastAsia"/>
                <w:sz w:val="18"/>
              </w:rPr>
              <w:t>酶混合液</w:t>
            </w:r>
          </w:p>
        </w:tc>
        <w:tc>
          <w:tcPr>
            <w:tcW w:w="1439" w:type="dxa"/>
          </w:tcPr>
          <w:p>
            <w:pPr>
              <w:pStyle w:val="TableParagraph"/>
              <w:spacing w:before="10"/>
              <w:jc w:val="left"/>
              <w:rPr>
                <w:rFonts w:ascii="宋体"/>
                <w:sz w:val="26"/>
              </w:rPr>
            </w:pPr>
          </w:p>
          <w:p>
            <w:pPr>
              <w:pStyle w:val="TableParagraph"/>
              <w:ind w:left="136" w:right="127"/>
              <w:rPr>
                <w:rFonts w:ascii="宋体" w:hAnsi="宋体" w:eastAsia="宋体" w:hint="eastAsia"/>
                <w:sz w:val="18"/>
              </w:rPr>
            </w:pPr>
            <w:r>
              <w:rPr>
                <w:sz w:val="18"/>
              </w:rPr>
              <w:t>96μL/</w:t>
            </w:r>
            <w:r>
              <w:rPr>
                <w:rFonts w:ascii="宋体" w:hAnsi="宋体" w:eastAsia="宋体" w:hint="eastAsia"/>
                <w:sz w:val="18"/>
              </w:rPr>
              <w:t>管</w:t>
            </w:r>
            <w:r>
              <w:rPr>
                <w:sz w:val="18"/>
              </w:rPr>
              <w:t>×1 </w:t>
            </w:r>
            <w:r>
              <w:rPr>
                <w:rFonts w:ascii="宋体" w:hAnsi="宋体" w:eastAsia="宋体" w:hint="eastAsia"/>
                <w:sz w:val="18"/>
              </w:rPr>
              <w:t>管</w:t>
            </w:r>
          </w:p>
        </w:tc>
        <w:tc>
          <w:tcPr>
            <w:tcW w:w="1521" w:type="dxa"/>
          </w:tcPr>
          <w:p>
            <w:pPr>
              <w:pStyle w:val="TableParagraph"/>
              <w:spacing w:before="10"/>
              <w:jc w:val="left"/>
              <w:rPr>
                <w:rFonts w:ascii="宋体"/>
                <w:sz w:val="26"/>
              </w:rPr>
            </w:pPr>
          </w:p>
          <w:p>
            <w:pPr>
              <w:pStyle w:val="TableParagraph"/>
              <w:ind w:left="134" w:right="124"/>
              <w:rPr>
                <w:rFonts w:ascii="宋体" w:hAnsi="宋体" w:eastAsia="宋体" w:hint="eastAsia"/>
                <w:sz w:val="18"/>
              </w:rPr>
            </w:pPr>
            <w:r>
              <w:rPr>
                <w:sz w:val="18"/>
              </w:rPr>
              <w:t>192μL/</w:t>
            </w:r>
            <w:r>
              <w:rPr>
                <w:rFonts w:ascii="宋体" w:hAnsi="宋体" w:eastAsia="宋体" w:hint="eastAsia"/>
                <w:sz w:val="18"/>
              </w:rPr>
              <w:t>管</w:t>
            </w:r>
            <w:r>
              <w:rPr>
                <w:sz w:val="18"/>
              </w:rPr>
              <w:t>×1 </w:t>
            </w:r>
            <w:r>
              <w:rPr>
                <w:rFonts w:ascii="宋体" w:hAnsi="宋体" w:eastAsia="宋体" w:hint="eastAsia"/>
                <w:sz w:val="18"/>
              </w:rPr>
              <w:t>管</w:t>
            </w:r>
          </w:p>
        </w:tc>
        <w:tc>
          <w:tcPr>
            <w:tcW w:w="4614" w:type="dxa"/>
          </w:tcPr>
          <w:p>
            <w:pPr>
              <w:pStyle w:val="TableParagraph"/>
              <w:spacing w:before="10"/>
              <w:jc w:val="left"/>
              <w:rPr>
                <w:rFonts w:ascii="宋体"/>
                <w:sz w:val="26"/>
              </w:rPr>
            </w:pPr>
          </w:p>
          <w:p>
            <w:pPr>
              <w:pStyle w:val="TableParagraph"/>
              <w:ind w:left="171" w:right="157"/>
              <w:rPr>
                <w:rFonts w:ascii="宋体" w:eastAsia="宋体" w:hint="eastAsia"/>
                <w:sz w:val="18"/>
              </w:rPr>
            </w:pPr>
            <w:r>
              <w:rPr>
                <w:sz w:val="18"/>
              </w:rPr>
              <w:t>RT </w:t>
            </w:r>
            <w:r>
              <w:rPr>
                <w:rFonts w:ascii="宋体" w:eastAsia="宋体" w:hint="eastAsia"/>
                <w:sz w:val="18"/>
              </w:rPr>
              <w:t>酶（</w:t>
            </w:r>
            <w:r>
              <w:rPr>
                <w:sz w:val="18"/>
              </w:rPr>
              <w:t>62.5%</w:t>
            </w:r>
            <w:r>
              <w:rPr>
                <w:rFonts w:ascii="宋体" w:eastAsia="宋体" w:hint="eastAsia"/>
                <w:sz w:val="18"/>
              </w:rPr>
              <w:t>）、</w:t>
            </w:r>
            <w:r>
              <w:rPr>
                <w:sz w:val="18"/>
              </w:rPr>
              <w:t>Taq </w:t>
            </w:r>
            <w:r>
              <w:rPr>
                <w:rFonts w:ascii="宋体" w:eastAsia="宋体" w:hint="eastAsia"/>
                <w:sz w:val="18"/>
              </w:rPr>
              <w:t>酶（</w:t>
            </w:r>
            <w:r>
              <w:rPr>
                <w:sz w:val="18"/>
              </w:rPr>
              <w:t>37.5%</w:t>
            </w:r>
            <w:r>
              <w:rPr>
                <w:rFonts w:ascii="宋体" w:eastAsia="宋体" w:hint="eastAsia"/>
                <w:sz w:val="18"/>
              </w:rPr>
              <w:t>）</w:t>
            </w:r>
          </w:p>
        </w:tc>
      </w:tr>
      <w:tr>
        <w:trPr>
          <w:trHeight w:val="870" w:hRule="atLeast"/>
        </w:trPr>
        <w:tc>
          <w:tcPr>
            <w:tcW w:w="654" w:type="dxa"/>
          </w:tcPr>
          <w:p>
            <w:pPr>
              <w:pStyle w:val="TableParagraph"/>
              <w:spacing w:before="7"/>
              <w:jc w:val="left"/>
              <w:rPr>
                <w:rFonts w:ascii="宋体"/>
                <w:sz w:val="27"/>
              </w:rPr>
            </w:pPr>
          </w:p>
          <w:p>
            <w:pPr>
              <w:pStyle w:val="TableParagraph"/>
              <w:spacing w:before="1"/>
              <w:ind w:left="9"/>
              <w:rPr>
                <w:sz w:val="18"/>
              </w:rPr>
            </w:pPr>
            <w:r>
              <w:rPr>
                <w:sz w:val="18"/>
              </w:rPr>
              <w:t>3</w:t>
            </w:r>
          </w:p>
        </w:tc>
        <w:tc>
          <w:tcPr>
            <w:tcW w:w="2311" w:type="dxa"/>
          </w:tcPr>
          <w:p>
            <w:pPr>
              <w:pStyle w:val="TableParagraph"/>
              <w:spacing w:before="11"/>
              <w:jc w:val="left"/>
              <w:rPr>
                <w:rFonts w:ascii="宋体"/>
                <w:sz w:val="26"/>
              </w:rPr>
            </w:pPr>
          </w:p>
          <w:p>
            <w:pPr>
              <w:pStyle w:val="TableParagraph"/>
              <w:ind w:left="120" w:right="108"/>
              <w:rPr>
                <w:rFonts w:ascii="宋体" w:eastAsia="宋体" w:hint="eastAsia"/>
                <w:sz w:val="18"/>
              </w:rPr>
            </w:pPr>
            <w:r>
              <w:rPr>
                <w:sz w:val="18"/>
              </w:rPr>
              <w:t>2019-nCoV-PCR-</w:t>
            </w:r>
            <w:r>
              <w:rPr>
                <w:rFonts w:ascii="宋体" w:eastAsia="宋体" w:hint="eastAsia"/>
                <w:sz w:val="18"/>
              </w:rPr>
              <w:t>阳性对照</w:t>
            </w:r>
          </w:p>
        </w:tc>
        <w:tc>
          <w:tcPr>
            <w:tcW w:w="1439" w:type="dxa"/>
          </w:tcPr>
          <w:p>
            <w:pPr>
              <w:pStyle w:val="TableParagraph"/>
              <w:spacing w:before="11"/>
              <w:jc w:val="left"/>
              <w:rPr>
                <w:rFonts w:ascii="宋体"/>
                <w:sz w:val="26"/>
              </w:rPr>
            </w:pPr>
          </w:p>
          <w:p>
            <w:pPr>
              <w:pStyle w:val="TableParagraph"/>
              <w:ind w:left="138" w:right="127"/>
              <w:rPr>
                <w:rFonts w:ascii="宋体" w:hAnsi="宋体" w:eastAsia="宋体" w:hint="eastAsia"/>
                <w:sz w:val="18"/>
              </w:rPr>
            </w:pPr>
            <w:r>
              <w:rPr>
                <w:sz w:val="18"/>
              </w:rPr>
              <w:t>500μL/</w:t>
            </w:r>
            <w:r>
              <w:rPr>
                <w:rFonts w:ascii="宋体" w:hAnsi="宋体" w:eastAsia="宋体" w:hint="eastAsia"/>
                <w:sz w:val="18"/>
              </w:rPr>
              <w:t>管</w:t>
            </w:r>
            <w:r>
              <w:rPr>
                <w:sz w:val="18"/>
              </w:rPr>
              <w:t>×1 </w:t>
            </w:r>
            <w:r>
              <w:rPr>
                <w:rFonts w:ascii="宋体" w:hAnsi="宋体" w:eastAsia="宋体" w:hint="eastAsia"/>
                <w:sz w:val="18"/>
              </w:rPr>
              <w:t>管</w:t>
            </w:r>
          </w:p>
        </w:tc>
        <w:tc>
          <w:tcPr>
            <w:tcW w:w="1521" w:type="dxa"/>
          </w:tcPr>
          <w:p>
            <w:pPr>
              <w:pStyle w:val="TableParagraph"/>
              <w:spacing w:before="11"/>
              <w:jc w:val="left"/>
              <w:rPr>
                <w:rFonts w:ascii="宋体"/>
                <w:sz w:val="26"/>
              </w:rPr>
            </w:pPr>
          </w:p>
          <w:p>
            <w:pPr>
              <w:pStyle w:val="TableParagraph"/>
              <w:ind w:left="134" w:right="124"/>
              <w:rPr>
                <w:rFonts w:ascii="宋体" w:hAnsi="宋体" w:eastAsia="宋体" w:hint="eastAsia"/>
                <w:sz w:val="18"/>
              </w:rPr>
            </w:pPr>
            <w:r>
              <w:rPr>
                <w:sz w:val="18"/>
              </w:rPr>
              <w:t>500μL/</w:t>
            </w:r>
            <w:r>
              <w:rPr>
                <w:rFonts w:ascii="宋体" w:hAnsi="宋体" w:eastAsia="宋体" w:hint="eastAsia"/>
                <w:sz w:val="18"/>
              </w:rPr>
              <w:t>管</w:t>
            </w:r>
            <w:r>
              <w:rPr>
                <w:sz w:val="18"/>
              </w:rPr>
              <w:t>×1 </w:t>
            </w:r>
            <w:r>
              <w:rPr>
                <w:rFonts w:ascii="宋体" w:hAnsi="宋体" w:eastAsia="宋体" w:hint="eastAsia"/>
                <w:sz w:val="18"/>
              </w:rPr>
              <w:t>管</w:t>
            </w:r>
          </w:p>
        </w:tc>
        <w:tc>
          <w:tcPr>
            <w:tcW w:w="4614" w:type="dxa"/>
          </w:tcPr>
          <w:p>
            <w:pPr>
              <w:pStyle w:val="TableParagraph"/>
              <w:spacing w:before="5"/>
              <w:jc w:val="left"/>
              <w:rPr>
                <w:rFonts w:ascii="宋体"/>
                <w:sz w:val="15"/>
              </w:rPr>
            </w:pPr>
          </w:p>
          <w:p>
            <w:pPr>
              <w:pStyle w:val="TableParagraph"/>
              <w:spacing w:line="302" w:lineRule="auto"/>
              <w:ind w:left="1516" w:right="10" w:hanging="1407"/>
              <w:jc w:val="left"/>
              <w:rPr>
                <w:sz w:val="18"/>
              </w:rPr>
            </w:pPr>
            <w:r>
              <w:rPr>
                <w:rFonts w:ascii="宋体" w:eastAsia="宋体" w:hint="eastAsia"/>
                <w:sz w:val="18"/>
              </w:rPr>
              <w:t>含目标基因（</w:t>
            </w:r>
            <w:r>
              <w:rPr>
                <w:sz w:val="18"/>
              </w:rPr>
              <w:t>ORF1ab</w:t>
            </w:r>
            <w:r>
              <w:rPr>
                <w:rFonts w:ascii="宋体" w:eastAsia="宋体" w:hint="eastAsia"/>
                <w:sz w:val="18"/>
              </w:rPr>
              <w:t>、</w:t>
            </w:r>
            <w:r>
              <w:rPr>
                <w:sz w:val="18"/>
              </w:rPr>
              <w:t>N </w:t>
            </w:r>
            <w:r>
              <w:rPr>
                <w:rFonts w:ascii="宋体" w:eastAsia="宋体" w:hint="eastAsia"/>
                <w:sz w:val="18"/>
              </w:rPr>
              <w:t>基因）、内标基因片段（</w:t>
            </w:r>
            <w:r>
              <w:rPr>
                <w:sz w:val="18"/>
              </w:rPr>
              <w:t>Rnase P</w:t>
            </w:r>
            <w:r>
              <w:rPr>
                <w:rFonts w:ascii="宋体" w:eastAsia="宋体" w:hint="eastAsia"/>
                <w:sz w:val="18"/>
              </w:rPr>
              <w:t>）的体外转录</w:t>
            </w:r>
            <w:r>
              <w:rPr>
                <w:sz w:val="18"/>
              </w:rPr>
              <w:t>RNA</w:t>
            </w:r>
          </w:p>
        </w:tc>
      </w:tr>
      <w:tr>
        <w:trPr>
          <w:trHeight w:val="870" w:hRule="atLeast"/>
        </w:trPr>
        <w:tc>
          <w:tcPr>
            <w:tcW w:w="654" w:type="dxa"/>
          </w:tcPr>
          <w:p>
            <w:pPr>
              <w:pStyle w:val="TableParagraph"/>
              <w:spacing w:before="8"/>
              <w:jc w:val="left"/>
              <w:rPr>
                <w:rFonts w:ascii="宋体"/>
                <w:sz w:val="27"/>
              </w:rPr>
            </w:pPr>
          </w:p>
          <w:p>
            <w:pPr>
              <w:pStyle w:val="TableParagraph"/>
              <w:ind w:left="9"/>
              <w:rPr>
                <w:sz w:val="18"/>
              </w:rPr>
            </w:pPr>
            <w:r>
              <w:rPr>
                <w:sz w:val="18"/>
              </w:rPr>
              <w:t>4</w:t>
            </w:r>
          </w:p>
        </w:tc>
        <w:tc>
          <w:tcPr>
            <w:tcW w:w="2311" w:type="dxa"/>
          </w:tcPr>
          <w:p>
            <w:pPr>
              <w:pStyle w:val="TableParagraph"/>
              <w:spacing w:before="9"/>
              <w:jc w:val="left"/>
              <w:rPr>
                <w:rFonts w:ascii="宋体"/>
                <w:sz w:val="26"/>
              </w:rPr>
            </w:pPr>
          </w:p>
          <w:p>
            <w:pPr>
              <w:pStyle w:val="TableParagraph"/>
              <w:ind w:left="121" w:right="107"/>
              <w:rPr>
                <w:rFonts w:ascii="宋体" w:eastAsia="宋体" w:hint="eastAsia"/>
                <w:sz w:val="18"/>
              </w:rPr>
            </w:pPr>
            <w:r>
              <w:rPr>
                <w:sz w:val="18"/>
              </w:rPr>
              <w:t>2019-nCoV-PCR-</w:t>
            </w:r>
            <w:r>
              <w:rPr>
                <w:rFonts w:ascii="宋体" w:eastAsia="宋体" w:hint="eastAsia"/>
                <w:sz w:val="18"/>
              </w:rPr>
              <w:t>阴性对照</w:t>
            </w:r>
          </w:p>
        </w:tc>
        <w:tc>
          <w:tcPr>
            <w:tcW w:w="1439" w:type="dxa"/>
          </w:tcPr>
          <w:p>
            <w:pPr>
              <w:pStyle w:val="TableParagraph"/>
              <w:spacing w:before="9"/>
              <w:jc w:val="left"/>
              <w:rPr>
                <w:rFonts w:ascii="宋体"/>
                <w:sz w:val="26"/>
              </w:rPr>
            </w:pPr>
          </w:p>
          <w:p>
            <w:pPr>
              <w:pStyle w:val="TableParagraph"/>
              <w:ind w:left="138" w:right="127"/>
              <w:rPr>
                <w:rFonts w:ascii="宋体" w:hAnsi="宋体" w:eastAsia="宋体" w:hint="eastAsia"/>
                <w:sz w:val="18"/>
              </w:rPr>
            </w:pPr>
            <w:r>
              <w:rPr>
                <w:sz w:val="18"/>
              </w:rPr>
              <w:t>500μL/</w:t>
            </w:r>
            <w:r>
              <w:rPr>
                <w:rFonts w:ascii="宋体" w:hAnsi="宋体" w:eastAsia="宋体" w:hint="eastAsia"/>
                <w:sz w:val="18"/>
              </w:rPr>
              <w:t>管</w:t>
            </w:r>
            <w:r>
              <w:rPr>
                <w:sz w:val="18"/>
              </w:rPr>
              <w:t>×1 </w:t>
            </w:r>
            <w:r>
              <w:rPr>
                <w:rFonts w:ascii="宋体" w:hAnsi="宋体" w:eastAsia="宋体" w:hint="eastAsia"/>
                <w:sz w:val="18"/>
              </w:rPr>
              <w:t>管</w:t>
            </w:r>
          </w:p>
        </w:tc>
        <w:tc>
          <w:tcPr>
            <w:tcW w:w="1521" w:type="dxa"/>
          </w:tcPr>
          <w:p>
            <w:pPr>
              <w:pStyle w:val="TableParagraph"/>
              <w:spacing w:before="9"/>
              <w:jc w:val="left"/>
              <w:rPr>
                <w:rFonts w:ascii="宋体"/>
                <w:sz w:val="26"/>
              </w:rPr>
            </w:pPr>
          </w:p>
          <w:p>
            <w:pPr>
              <w:pStyle w:val="TableParagraph"/>
              <w:ind w:left="134" w:right="124"/>
              <w:rPr>
                <w:rFonts w:ascii="宋体" w:hAnsi="宋体" w:eastAsia="宋体" w:hint="eastAsia"/>
                <w:sz w:val="18"/>
              </w:rPr>
            </w:pPr>
            <w:r>
              <w:rPr>
                <w:sz w:val="18"/>
              </w:rPr>
              <w:t>500μL/</w:t>
            </w:r>
            <w:r>
              <w:rPr>
                <w:rFonts w:ascii="宋体" w:hAnsi="宋体" w:eastAsia="宋体" w:hint="eastAsia"/>
                <w:sz w:val="18"/>
              </w:rPr>
              <w:t>管</w:t>
            </w:r>
            <w:r>
              <w:rPr>
                <w:sz w:val="18"/>
              </w:rPr>
              <w:t>×1 </w:t>
            </w:r>
            <w:r>
              <w:rPr>
                <w:rFonts w:ascii="宋体" w:hAnsi="宋体" w:eastAsia="宋体" w:hint="eastAsia"/>
                <w:sz w:val="18"/>
              </w:rPr>
              <w:t>管</w:t>
            </w:r>
          </w:p>
        </w:tc>
        <w:tc>
          <w:tcPr>
            <w:tcW w:w="4614" w:type="dxa"/>
          </w:tcPr>
          <w:p>
            <w:pPr>
              <w:pStyle w:val="TableParagraph"/>
              <w:spacing w:before="9"/>
              <w:jc w:val="left"/>
              <w:rPr>
                <w:rFonts w:ascii="宋体"/>
                <w:sz w:val="26"/>
              </w:rPr>
            </w:pPr>
          </w:p>
          <w:p>
            <w:pPr>
              <w:pStyle w:val="TableParagraph"/>
              <w:ind w:left="166" w:right="157"/>
              <w:rPr>
                <w:rFonts w:ascii="宋体" w:eastAsia="宋体" w:hint="eastAsia"/>
                <w:sz w:val="18"/>
              </w:rPr>
            </w:pPr>
            <w:r>
              <w:rPr>
                <w:rFonts w:ascii="宋体" w:eastAsia="宋体" w:hint="eastAsia"/>
                <w:sz w:val="18"/>
              </w:rPr>
              <w:t>生理盐水</w:t>
            </w:r>
          </w:p>
        </w:tc>
      </w:tr>
    </w:tbl>
    <w:p>
      <w:pPr>
        <w:pStyle w:val="BodyText"/>
        <w:spacing w:before="0"/>
        <w:ind w:left="0"/>
      </w:pPr>
    </w:p>
    <w:p>
      <w:pPr>
        <w:pStyle w:val="BodyText"/>
        <w:spacing w:before="119"/>
      </w:pPr>
      <w:r>
        <w:rPr>
          <w:b/>
        </w:rPr>
        <w:t>备注：</w:t>
      </w:r>
      <w:r>
        <w:rPr>
          <w:rFonts w:ascii="Times New Roman" w:eastAsia="Times New Roman"/>
        </w:rPr>
        <w:t>1) </w:t>
      </w:r>
      <w:r>
        <w:rPr/>
        <w:t>不同批号产品的成分之间不可以混用或互换。</w:t>
      </w:r>
    </w:p>
    <w:p>
      <w:pPr>
        <w:pStyle w:val="BodyText"/>
        <w:spacing w:before="59"/>
        <w:ind w:left="659"/>
      </w:pPr>
      <w:r>
        <w:rPr>
          <w:rFonts w:ascii="Times New Roman" w:eastAsia="Times New Roman"/>
        </w:rPr>
        <w:t>2</w:t>
      </w:r>
      <w:r>
        <w:rPr/>
        <w:t>）使用本公司生产的样本释放剂（湘长械备 </w:t>
      </w:r>
      <w:r>
        <w:rPr>
          <w:rFonts w:ascii="Times New Roman" w:eastAsia="Times New Roman"/>
        </w:rPr>
        <w:t>20150022 </w:t>
      </w:r>
      <w:r>
        <w:rPr/>
        <w:t>号）或核酸提取或纯化试剂（湘长械备 </w:t>
      </w:r>
      <w:r>
        <w:rPr>
          <w:rFonts w:ascii="Times New Roman" w:eastAsia="Times New Roman"/>
        </w:rPr>
        <w:t>20150021 </w:t>
      </w:r>
      <w:r>
        <w:rPr/>
        <w:t>号）进行核酸提取。</w:t>
      </w:r>
    </w:p>
    <w:p>
      <w:pPr>
        <w:pStyle w:val="Heading1"/>
      </w:pPr>
      <w:r>
        <w:rPr/>
        <w:t>【储存条件及有效期】</w:t>
      </w:r>
    </w:p>
    <w:p>
      <w:pPr>
        <w:pStyle w:val="ListParagraph"/>
        <w:numPr>
          <w:ilvl w:val="0"/>
          <w:numId w:val="1"/>
        </w:numPr>
        <w:tabs>
          <w:tab w:pos="432" w:val="left" w:leader="none"/>
        </w:tabs>
        <w:spacing w:line="240" w:lineRule="auto" w:before="57" w:after="0"/>
        <w:ind w:left="431" w:right="0" w:hanging="313"/>
        <w:jc w:val="left"/>
        <w:rPr>
          <w:sz w:val="18"/>
        </w:rPr>
      </w:pPr>
      <w:r>
        <w:rPr>
          <w:spacing w:val="-3"/>
          <w:sz w:val="18"/>
        </w:rPr>
        <w:t>试剂应避光密闭，试剂组分保存于</w:t>
      </w:r>
      <w:r>
        <w:rPr>
          <w:rFonts w:ascii="Times New Roman" w:hAnsi="Times New Roman" w:eastAsia="Times New Roman"/>
          <w:spacing w:val="-3"/>
          <w:sz w:val="18"/>
        </w:rPr>
        <w:t>-20±5℃</w:t>
      </w:r>
      <w:r>
        <w:rPr>
          <w:spacing w:val="-7"/>
          <w:sz w:val="18"/>
        </w:rPr>
        <w:t>。试剂盒有效期暂定为 </w:t>
      </w:r>
      <w:r>
        <w:rPr>
          <w:rFonts w:ascii="Times New Roman" w:hAnsi="Times New Roman" w:eastAsia="Times New Roman"/>
          <w:sz w:val="18"/>
        </w:rPr>
        <w:t>6</w:t>
      </w:r>
      <w:r>
        <w:rPr>
          <w:rFonts w:ascii="Times New Roman" w:hAnsi="Times New Roman" w:eastAsia="Times New Roman"/>
          <w:spacing w:val="-13"/>
          <w:sz w:val="18"/>
        </w:rPr>
        <w:t> </w:t>
      </w:r>
      <w:r>
        <w:rPr>
          <w:spacing w:val="-2"/>
          <w:sz w:val="18"/>
        </w:rPr>
        <w:t>个月。</w:t>
      </w:r>
    </w:p>
    <w:p>
      <w:pPr>
        <w:pStyle w:val="ListParagraph"/>
        <w:numPr>
          <w:ilvl w:val="0"/>
          <w:numId w:val="1"/>
        </w:numPr>
        <w:tabs>
          <w:tab w:pos="432" w:val="left" w:leader="none"/>
        </w:tabs>
        <w:spacing w:line="240" w:lineRule="auto" w:before="60" w:after="0"/>
        <w:ind w:left="431" w:right="0" w:hanging="313"/>
        <w:jc w:val="left"/>
        <w:rPr>
          <w:sz w:val="18"/>
        </w:rPr>
      </w:pPr>
      <w:r>
        <w:rPr>
          <w:spacing w:val="-3"/>
          <w:sz w:val="18"/>
        </w:rPr>
        <w:t>生产日期，失效日期请见外包装盒。</w:t>
      </w:r>
    </w:p>
    <w:p>
      <w:pPr>
        <w:pStyle w:val="ListParagraph"/>
        <w:numPr>
          <w:ilvl w:val="0"/>
          <w:numId w:val="1"/>
        </w:numPr>
        <w:tabs>
          <w:tab w:pos="432" w:val="left" w:leader="none"/>
        </w:tabs>
        <w:spacing w:line="240" w:lineRule="auto" w:before="60" w:after="0"/>
        <w:ind w:left="431" w:right="0" w:hanging="313"/>
        <w:jc w:val="left"/>
        <w:rPr>
          <w:sz w:val="18"/>
        </w:rPr>
      </w:pPr>
      <w:r>
        <w:rPr>
          <w:spacing w:val="-5"/>
          <w:sz w:val="18"/>
        </w:rPr>
        <w:t>不使用时，这些试剂在包装标识的效期内可稳定存放。一旦使用，扩增试剂盒反复冻融应不超过 </w:t>
      </w:r>
      <w:r>
        <w:rPr>
          <w:rFonts w:ascii="Times New Roman" w:eastAsia="Times New Roman"/>
          <w:sz w:val="18"/>
        </w:rPr>
        <w:t>3</w:t>
      </w:r>
      <w:r>
        <w:rPr>
          <w:rFonts w:ascii="Times New Roman" w:eastAsia="Times New Roman"/>
          <w:spacing w:val="-13"/>
          <w:sz w:val="18"/>
        </w:rPr>
        <w:t> </w:t>
      </w:r>
      <w:r>
        <w:rPr>
          <w:spacing w:val="-2"/>
          <w:sz w:val="18"/>
        </w:rPr>
        <w:t>次。</w:t>
      </w:r>
    </w:p>
    <w:p>
      <w:pPr>
        <w:pStyle w:val="Heading1"/>
      </w:pPr>
      <w:r>
        <w:rPr/>
        <w:t>【适用仪器】</w:t>
      </w:r>
    </w:p>
    <w:p>
      <w:pPr>
        <w:pStyle w:val="BodyText"/>
        <w:spacing w:line="302" w:lineRule="auto"/>
        <w:ind w:right="38" w:firstLine="352"/>
        <w:jc w:val="both"/>
      </w:pPr>
      <w:r>
        <w:rPr>
          <w:rFonts w:ascii="Times New Roman" w:eastAsia="Times New Roman"/>
        </w:rPr>
        <w:t>SLAN-96P</w:t>
      </w:r>
      <w:r>
        <w:rPr>
          <w:rFonts w:ascii="Times New Roman" w:eastAsia="Times New Roman"/>
          <w:spacing w:val="-13"/>
        </w:rPr>
        <w:t> </w:t>
      </w:r>
      <w:r>
        <w:rPr>
          <w:spacing w:val="8"/>
        </w:rPr>
        <w:t>全自动医用</w:t>
      </w:r>
      <w:r>
        <w:rPr>
          <w:rFonts w:ascii="Times New Roman" w:eastAsia="Times New Roman"/>
        </w:rPr>
        <w:t>PCR</w:t>
      </w:r>
      <w:r>
        <w:rPr>
          <w:rFonts w:ascii="Times New Roman" w:eastAsia="Times New Roman"/>
          <w:spacing w:val="-14"/>
        </w:rPr>
        <w:t> </w:t>
      </w:r>
      <w:r>
        <w:rPr/>
        <w:t>分析系统、</w:t>
      </w:r>
      <w:r>
        <w:rPr>
          <w:rFonts w:ascii="Times New Roman" w:eastAsia="Times New Roman"/>
          <w:spacing w:val="-3"/>
        </w:rPr>
        <w:t>ABI7500</w:t>
      </w:r>
      <w:r>
        <w:rPr>
          <w:rFonts w:ascii="Times New Roman" w:eastAsia="Times New Roman"/>
          <w:spacing w:val="-13"/>
        </w:rPr>
        <w:t> </w:t>
      </w:r>
      <w:r>
        <w:rPr>
          <w:spacing w:val="-15"/>
        </w:rPr>
        <w:t>荧光 </w:t>
      </w:r>
      <w:r>
        <w:rPr>
          <w:rFonts w:ascii="Times New Roman" w:eastAsia="Times New Roman"/>
        </w:rPr>
        <w:t>PCR</w:t>
      </w:r>
      <w:r>
        <w:rPr>
          <w:rFonts w:ascii="Times New Roman" w:eastAsia="Times New Roman"/>
          <w:spacing w:val="-14"/>
        </w:rPr>
        <w:t> </w:t>
      </w:r>
      <w:r>
        <w:rPr/>
        <w:t>仪、</w:t>
      </w:r>
      <w:r>
        <w:rPr>
          <w:rFonts w:ascii="Times New Roman" w:eastAsia="Times New Roman"/>
        </w:rPr>
        <w:t>Life</w:t>
      </w:r>
      <w:r>
        <w:rPr>
          <w:rFonts w:ascii="Times New Roman" w:eastAsia="Times New Roman"/>
          <w:spacing w:val="-3"/>
        </w:rPr>
        <w:t> Technologies</w:t>
      </w:r>
      <w:r>
        <w:rPr>
          <w:rFonts w:ascii="Times New Roman" w:eastAsia="Times New Roman"/>
          <w:spacing w:val="-8"/>
        </w:rPr>
        <w:t> </w:t>
      </w:r>
      <w:r>
        <w:rPr>
          <w:rFonts w:ascii="Times New Roman" w:eastAsia="Times New Roman"/>
        </w:rPr>
        <w:t>QuantStudio</w:t>
      </w:r>
      <w:r>
        <w:rPr>
          <w:rFonts w:ascii="Times New Roman" w:eastAsia="Times New Roman"/>
          <w:spacing w:val="-5"/>
        </w:rPr>
        <w:t> </w:t>
      </w:r>
      <w:r>
        <w:rPr>
          <w:rFonts w:ascii="Times New Roman" w:eastAsia="Times New Roman"/>
          <w:position w:val="6"/>
          <w:sz w:val="11"/>
        </w:rPr>
        <w:t>TM</w:t>
      </w:r>
      <w:r>
        <w:rPr>
          <w:rFonts w:ascii="Times New Roman" w:eastAsia="Times New Roman"/>
          <w:spacing w:val="14"/>
          <w:position w:val="6"/>
          <w:sz w:val="11"/>
        </w:rPr>
        <w:t> </w:t>
      </w:r>
      <w:r>
        <w:rPr>
          <w:rFonts w:ascii="Times New Roman" w:eastAsia="Times New Roman"/>
        </w:rPr>
        <w:t>5</w:t>
      </w:r>
      <w:r>
        <w:rPr>
          <w:rFonts w:ascii="Times New Roman" w:eastAsia="Times New Roman"/>
          <w:spacing w:val="-10"/>
        </w:rPr>
        <w:t> </w:t>
      </w:r>
      <w:r>
        <w:rPr>
          <w:spacing w:val="-16"/>
        </w:rPr>
        <w:t>荧光 </w:t>
      </w:r>
      <w:r>
        <w:rPr>
          <w:rFonts w:ascii="Times New Roman" w:eastAsia="Times New Roman"/>
        </w:rPr>
        <w:t>PCR</w:t>
      </w:r>
      <w:r>
        <w:rPr>
          <w:rFonts w:ascii="Times New Roman" w:eastAsia="Times New Roman"/>
          <w:spacing w:val="-14"/>
        </w:rPr>
        <w:t> </w:t>
      </w:r>
      <w:r>
        <w:rPr/>
        <w:t>仪、</w:t>
      </w:r>
      <w:r>
        <w:rPr>
          <w:rFonts w:ascii="Times New Roman" w:eastAsia="Times New Roman"/>
          <w:spacing w:val="-3"/>
        </w:rPr>
        <w:t>Roche</w:t>
      </w:r>
      <w:r>
        <w:rPr>
          <w:rFonts w:ascii="Times New Roman" w:eastAsia="Times New Roman"/>
          <w:spacing w:val="-5"/>
        </w:rPr>
        <w:t> </w:t>
      </w:r>
      <w:r>
        <w:rPr>
          <w:rFonts w:ascii="Times New Roman" w:eastAsia="Times New Roman"/>
        </w:rPr>
        <w:t>Light</w:t>
      </w:r>
      <w:r>
        <w:rPr>
          <w:rFonts w:ascii="Times New Roman" w:eastAsia="Times New Roman"/>
          <w:spacing w:val="-5"/>
        </w:rPr>
        <w:t> </w:t>
      </w:r>
      <w:r>
        <w:rPr>
          <w:rFonts w:ascii="Times New Roman" w:eastAsia="Times New Roman"/>
        </w:rPr>
        <w:t>Cycler</w:t>
      </w:r>
      <w:r>
        <w:rPr>
          <w:rFonts w:ascii="Times New Roman" w:eastAsia="Times New Roman"/>
          <w:spacing w:val="-4"/>
        </w:rPr>
        <w:t> </w:t>
      </w:r>
      <w:r>
        <w:rPr>
          <w:rFonts w:ascii="Times New Roman" w:eastAsia="Times New Roman"/>
        </w:rPr>
        <w:t>480</w:t>
      </w:r>
      <w:r>
        <w:rPr>
          <w:rFonts w:ascii="Times New Roman" w:eastAsia="Times New Roman"/>
          <w:spacing w:val="-13"/>
        </w:rPr>
        <w:t> </w:t>
      </w:r>
      <w:r>
        <w:rPr/>
        <w:t>荧</w:t>
      </w:r>
      <w:r>
        <w:rPr>
          <w:spacing w:val="12"/>
        </w:rPr>
        <w:t>光定量</w:t>
      </w:r>
      <w:r>
        <w:rPr>
          <w:rFonts w:ascii="Times New Roman" w:eastAsia="Times New Roman"/>
        </w:rPr>
        <w:t>PCR</w:t>
      </w:r>
      <w:r>
        <w:rPr>
          <w:rFonts w:ascii="Times New Roman" w:eastAsia="Times New Roman"/>
          <w:spacing w:val="-15"/>
        </w:rPr>
        <w:t> </w:t>
      </w:r>
      <w:r>
        <w:rPr>
          <w:spacing w:val="8"/>
        </w:rPr>
        <w:t>仪、雅睿</w:t>
      </w:r>
      <w:r>
        <w:rPr>
          <w:rFonts w:ascii="Times New Roman" w:eastAsia="Times New Roman"/>
        </w:rPr>
        <w:t>MA-6000</w:t>
      </w:r>
      <w:r>
        <w:rPr>
          <w:rFonts w:ascii="Times New Roman" w:eastAsia="Times New Roman"/>
          <w:spacing w:val="-18"/>
        </w:rPr>
        <w:t> </w:t>
      </w:r>
      <w:r>
        <w:rPr>
          <w:spacing w:val="20"/>
        </w:rPr>
        <w:t>荧光</w:t>
      </w:r>
      <w:r>
        <w:rPr>
          <w:rFonts w:ascii="Times New Roman" w:eastAsia="Times New Roman"/>
        </w:rPr>
        <w:t>PCR</w:t>
      </w:r>
      <w:r>
        <w:rPr>
          <w:rFonts w:ascii="Times New Roman" w:eastAsia="Times New Roman"/>
          <w:spacing w:val="-14"/>
        </w:rPr>
        <w:t> </w:t>
      </w:r>
      <w:r>
        <w:rPr>
          <w:spacing w:val="-3"/>
        </w:rPr>
        <w:t>仪、核酸检测分析仪</w:t>
      </w:r>
      <w:r>
        <w:rPr/>
        <w:t>（</w:t>
      </w:r>
      <w:r>
        <w:rPr>
          <w:rFonts w:ascii="Times New Roman" w:eastAsia="Times New Roman"/>
        </w:rPr>
        <w:t>S-Q31A</w:t>
      </w:r>
      <w:r>
        <w:rPr/>
        <w:t>）</w:t>
      </w:r>
      <w:r>
        <w:rPr>
          <w:spacing w:val="-15"/>
        </w:rPr>
        <w:t> 。</w:t>
      </w:r>
    </w:p>
    <w:p>
      <w:pPr>
        <w:pStyle w:val="BodyText"/>
        <w:spacing w:before="0"/>
        <w:ind w:left="0"/>
      </w:pPr>
      <w:r>
        <w:rPr/>
        <w:br w:type="column"/>
      </w:r>
      <w:r>
        <w:rPr/>
      </w:r>
    </w:p>
    <w:p>
      <w:pPr>
        <w:pStyle w:val="BodyText"/>
        <w:spacing w:before="0"/>
        <w:ind w:left="0"/>
      </w:pPr>
    </w:p>
    <w:p>
      <w:pPr>
        <w:pStyle w:val="BodyText"/>
        <w:spacing w:before="0"/>
        <w:ind w:left="0"/>
      </w:pPr>
    </w:p>
    <w:p>
      <w:pPr>
        <w:pStyle w:val="BodyText"/>
        <w:spacing w:before="0"/>
        <w:ind w:left="0"/>
      </w:pPr>
    </w:p>
    <w:p>
      <w:pPr>
        <w:pStyle w:val="BodyText"/>
        <w:spacing w:before="0"/>
        <w:ind w:left="0"/>
      </w:pPr>
    </w:p>
    <w:p>
      <w:pPr>
        <w:pStyle w:val="BodyText"/>
        <w:spacing w:line="302" w:lineRule="auto" w:before="138"/>
        <w:ind w:right="157" w:firstLine="360"/>
      </w:pPr>
      <w:r>
        <w:rPr/>
        <w:pict>
          <v:shape style="position:absolute;margin-left:682.309998pt;margin-top:-86.269981pt;width:383.4pt;height:90.5pt;mso-position-horizontal-relative:page;mso-position-vertical-relative:paragraph;z-index:251659264"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82"/>
                    <w:gridCol w:w="3151"/>
                    <w:gridCol w:w="2020"/>
                  </w:tblGrid>
                  <w:tr>
                    <w:trPr>
                      <w:trHeight w:val="290" w:hRule="atLeast"/>
                    </w:trPr>
                    <w:tc>
                      <w:tcPr>
                        <w:tcW w:w="2482" w:type="dxa"/>
                      </w:tcPr>
                      <w:p>
                        <w:pPr>
                          <w:pStyle w:val="TableParagraph"/>
                          <w:spacing w:line="216" w:lineRule="exact" w:before="53"/>
                          <w:ind w:left="320" w:right="311"/>
                          <w:rPr>
                            <w:rFonts w:ascii="宋体" w:eastAsia="宋体" w:hint="eastAsia"/>
                            <w:sz w:val="18"/>
                          </w:rPr>
                        </w:pPr>
                        <w:r>
                          <w:rPr>
                            <w:rFonts w:ascii="宋体" w:eastAsia="宋体" w:hint="eastAsia"/>
                            <w:sz w:val="18"/>
                          </w:rPr>
                          <w:t>名称</w:t>
                        </w:r>
                      </w:p>
                    </w:tc>
                    <w:tc>
                      <w:tcPr>
                        <w:tcW w:w="3151" w:type="dxa"/>
                      </w:tcPr>
                      <w:p>
                        <w:pPr>
                          <w:pStyle w:val="TableParagraph"/>
                          <w:spacing w:line="216" w:lineRule="exact" w:before="53"/>
                          <w:ind w:left="382" w:right="376"/>
                          <w:rPr>
                            <w:rFonts w:ascii="宋体" w:eastAsia="宋体" w:hint="eastAsia"/>
                            <w:sz w:val="18"/>
                          </w:rPr>
                        </w:pPr>
                        <w:r>
                          <w:rPr>
                            <w:rFonts w:ascii="宋体" w:eastAsia="宋体" w:hint="eastAsia"/>
                            <w:sz w:val="18"/>
                          </w:rPr>
                          <w:t>厂家</w:t>
                        </w:r>
                      </w:p>
                    </w:tc>
                    <w:tc>
                      <w:tcPr>
                        <w:tcW w:w="2020" w:type="dxa"/>
                      </w:tcPr>
                      <w:p>
                        <w:pPr>
                          <w:pStyle w:val="TableParagraph"/>
                          <w:spacing w:line="216" w:lineRule="exact" w:before="53"/>
                          <w:ind w:left="111" w:right="104"/>
                          <w:rPr>
                            <w:rFonts w:ascii="宋体" w:eastAsia="宋体" w:hint="eastAsia"/>
                            <w:sz w:val="18"/>
                          </w:rPr>
                        </w:pPr>
                        <w:r>
                          <w:rPr>
                            <w:rFonts w:ascii="宋体" w:eastAsia="宋体" w:hint="eastAsia"/>
                            <w:sz w:val="18"/>
                          </w:rPr>
                          <w:t>备案号</w:t>
                        </w:r>
                      </w:p>
                    </w:tc>
                  </w:tr>
                  <w:tr>
                    <w:trPr>
                      <w:trHeight w:val="290" w:hRule="atLeast"/>
                    </w:trPr>
                    <w:tc>
                      <w:tcPr>
                        <w:tcW w:w="2482" w:type="dxa"/>
                      </w:tcPr>
                      <w:p>
                        <w:pPr>
                          <w:pStyle w:val="TableParagraph"/>
                          <w:spacing w:before="32"/>
                          <w:ind w:left="318" w:right="311"/>
                          <w:rPr>
                            <w:rFonts w:ascii="宋体" w:eastAsia="宋体" w:hint="eastAsia"/>
                            <w:sz w:val="18"/>
                          </w:rPr>
                        </w:pPr>
                        <w:r>
                          <w:rPr>
                            <w:rFonts w:ascii="宋体" w:eastAsia="宋体" w:hint="eastAsia"/>
                            <w:sz w:val="18"/>
                          </w:rPr>
                          <w:t>细胞保存液</w:t>
                        </w:r>
                      </w:p>
                    </w:tc>
                    <w:tc>
                      <w:tcPr>
                        <w:tcW w:w="3151" w:type="dxa"/>
                      </w:tcPr>
                      <w:p>
                        <w:pPr>
                          <w:pStyle w:val="TableParagraph"/>
                          <w:spacing w:before="32"/>
                          <w:ind w:left="382" w:right="376"/>
                          <w:rPr>
                            <w:rFonts w:ascii="宋体" w:eastAsia="宋体" w:hint="eastAsia"/>
                            <w:sz w:val="18"/>
                          </w:rPr>
                        </w:pPr>
                        <w:r>
                          <w:rPr>
                            <w:rFonts w:ascii="宋体" w:eastAsia="宋体" w:hint="eastAsia"/>
                            <w:sz w:val="18"/>
                          </w:rPr>
                          <w:t>圣湘生物科技股份有限公司</w:t>
                        </w:r>
                      </w:p>
                    </w:tc>
                    <w:tc>
                      <w:tcPr>
                        <w:tcW w:w="2020" w:type="dxa"/>
                      </w:tcPr>
                      <w:p>
                        <w:pPr>
                          <w:pStyle w:val="TableParagraph"/>
                          <w:spacing w:before="32"/>
                          <w:ind w:left="111" w:right="104"/>
                          <w:rPr>
                            <w:rFonts w:ascii="宋体" w:eastAsia="宋体" w:hint="eastAsia"/>
                            <w:sz w:val="18"/>
                          </w:rPr>
                        </w:pPr>
                        <w:r>
                          <w:rPr>
                            <w:rFonts w:ascii="宋体" w:eastAsia="宋体" w:hint="eastAsia"/>
                            <w:sz w:val="18"/>
                          </w:rPr>
                          <w:t>湘长械备 </w:t>
                        </w:r>
                        <w:r>
                          <w:rPr>
                            <w:sz w:val="18"/>
                          </w:rPr>
                          <w:t>20170133 </w:t>
                        </w:r>
                        <w:r>
                          <w:rPr>
                            <w:rFonts w:ascii="宋体" w:eastAsia="宋体" w:hint="eastAsia"/>
                            <w:sz w:val="18"/>
                          </w:rPr>
                          <w:t>号</w:t>
                        </w:r>
                      </w:p>
                    </w:tc>
                  </w:tr>
                  <w:tr>
                    <w:trPr>
                      <w:trHeight w:val="290" w:hRule="atLeast"/>
                    </w:trPr>
                    <w:tc>
                      <w:tcPr>
                        <w:tcW w:w="2482" w:type="dxa"/>
                      </w:tcPr>
                      <w:p>
                        <w:pPr>
                          <w:pStyle w:val="TableParagraph"/>
                          <w:spacing w:before="32"/>
                          <w:ind w:left="318" w:right="311"/>
                          <w:rPr>
                            <w:rFonts w:ascii="宋体" w:eastAsia="宋体" w:hint="eastAsia"/>
                            <w:sz w:val="18"/>
                          </w:rPr>
                        </w:pPr>
                        <w:r>
                          <w:rPr>
                            <w:rFonts w:ascii="宋体" w:eastAsia="宋体" w:hint="eastAsia"/>
                            <w:sz w:val="18"/>
                          </w:rPr>
                          <w:t>细胞保存液</w:t>
                        </w:r>
                      </w:p>
                    </w:tc>
                    <w:tc>
                      <w:tcPr>
                        <w:tcW w:w="3151" w:type="dxa"/>
                      </w:tcPr>
                      <w:p>
                        <w:pPr>
                          <w:pStyle w:val="TableParagraph"/>
                          <w:spacing w:before="32"/>
                          <w:ind w:left="382" w:right="376"/>
                          <w:rPr>
                            <w:rFonts w:ascii="宋体" w:eastAsia="宋体" w:hint="eastAsia"/>
                            <w:sz w:val="18"/>
                          </w:rPr>
                        </w:pPr>
                        <w:r>
                          <w:rPr>
                            <w:rFonts w:ascii="宋体" w:eastAsia="宋体" w:hint="eastAsia"/>
                            <w:sz w:val="18"/>
                          </w:rPr>
                          <w:t>深圳市华晨阳科技有限公司</w:t>
                        </w:r>
                      </w:p>
                    </w:tc>
                    <w:tc>
                      <w:tcPr>
                        <w:tcW w:w="2020" w:type="dxa"/>
                      </w:tcPr>
                      <w:p>
                        <w:pPr>
                          <w:pStyle w:val="TableParagraph"/>
                          <w:spacing w:before="32"/>
                          <w:ind w:left="111" w:right="104"/>
                          <w:rPr>
                            <w:rFonts w:ascii="宋体" w:eastAsia="宋体" w:hint="eastAsia"/>
                            <w:sz w:val="18"/>
                          </w:rPr>
                        </w:pPr>
                        <w:r>
                          <w:rPr>
                            <w:rFonts w:ascii="宋体" w:eastAsia="宋体" w:hint="eastAsia"/>
                            <w:sz w:val="18"/>
                          </w:rPr>
                          <w:t>粤深械备 </w:t>
                        </w:r>
                        <w:r>
                          <w:rPr>
                            <w:sz w:val="18"/>
                          </w:rPr>
                          <w:t>20160079 </w:t>
                        </w:r>
                        <w:r>
                          <w:rPr>
                            <w:rFonts w:ascii="宋体" w:eastAsia="宋体" w:hint="eastAsia"/>
                            <w:sz w:val="18"/>
                          </w:rPr>
                          <w:t>号</w:t>
                        </w:r>
                      </w:p>
                    </w:tc>
                  </w:tr>
                  <w:tr>
                    <w:trPr>
                      <w:trHeight w:val="290" w:hRule="atLeast"/>
                    </w:trPr>
                    <w:tc>
                      <w:tcPr>
                        <w:tcW w:w="2482" w:type="dxa"/>
                      </w:tcPr>
                      <w:p>
                        <w:pPr>
                          <w:pStyle w:val="TableParagraph"/>
                          <w:spacing w:before="32"/>
                          <w:ind w:left="320" w:right="311"/>
                          <w:rPr>
                            <w:rFonts w:ascii="宋体" w:eastAsia="宋体" w:hint="eastAsia"/>
                            <w:sz w:val="18"/>
                          </w:rPr>
                        </w:pPr>
                        <w:r>
                          <w:rPr>
                            <w:rFonts w:ascii="宋体" w:eastAsia="宋体" w:hint="eastAsia"/>
                            <w:sz w:val="18"/>
                          </w:rPr>
                          <w:t>一次性使用病毒采样管</w:t>
                        </w:r>
                      </w:p>
                    </w:tc>
                    <w:tc>
                      <w:tcPr>
                        <w:tcW w:w="3151" w:type="dxa"/>
                      </w:tcPr>
                      <w:p>
                        <w:pPr>
                          <w:pStyle w:val="TableParagraph"/>
                          <w:spacing w:before="32"/>
                          <w:ind w:left="385" w:right="376"/>
                          <w:rPr>
                            <w:rFonts w:ascii="宋体" w:eastAsia="宋体" w:hint="eastAsia"/>
                            <w:sz w:val="18"/>
                          </w:rPr>
                        </w:pPr>
                        <w:r>
                          <w:rPr>
                            <w:rFonts w:ascii="宋体" w:eastAsia="宋体" w:hint="eastAsia"/>
                            <w:sz w:val="18"/>
                          </w:rPr>
                          <w:t>深圳市梓健生物科技有限公司</w:t>
                        </w:r>
                      </w:p>
                    </w:tc>
                    <w:tc>
                      <w:tcPr>
                        <w:tcW w:w="2020" w:type="dxa"/>
                      </w:tcPr>
                      <w:p>
                        <w:pPr>
                          <w:pStyle w:val="TableParagraph"/>
                          <w:spacing w:before="32"/>
                          <w:ind w:left="111" w:right="104"/>
                          <w:rPr>
                            <w:rFonts w:ascii="宋体" w:eastAsia="宋体" w:hint="eastAsia"/>
                            <w:sz w:val="18"/>
                          </w:rPr>
                        </w:pPr>
                        <w:r>
                          <w:rPr>
                            <w:rFonts w:ascii="宋体" w:eastAsia="宋体" w:hint="eastAsia"/>
                            <w:sz w:val="18"/>
                          </w:rPr>
                          <w:t>粤深械备 </w:t>
                        </w:r>
                        <w:r>
                          <w:rPr>
                            <w:sz w:val="18"/>
                          </w:rPr>
                          <w:t>20190041 </w:t>
                        </w:r>
                        <w:r>
                          <w:rPr>
                            <w:rFonts w:ascii="宋体" w:eastAsia="宋体" w:hint="eastAsia"/>
                            <w:sz w:val="18"/>
                          </w:rPr>
                          <w:t>号</w:t>
                        </w:r>
                      </w:p>
                    </w:tc>
                  </w:tr>
                  <w:tr>
                    <w:trPr>
                      <w:trHeight w:val="290" w:hRule="atLeast"/>
                    </w:trPr>
                    <w:tc>
                      <w:tcPr>
                        <w:tcW w:w="2482" w:type="dxa"/>
                      </w:tcPr>
                      <w:p>
                        <w:pPr>
                          <w:pStyle w:val="TableParagraph"/>
                          <w:spacing w:before="32"/>
                          <w:ind w:left="318" w:right="311"/>
                          <w:rPr>
                            <w:rFonts w:ascii="宋体" w:eastAsia="宋体" w:hint="eastAsia"/>
                            <w:sz w:val="18"/>
                          </w:rPr>
                        </w:pPr>
                        <w:r>
                          <w:rPr>
                            <w:rFonts w:ascii="宋体" w:eastAsia="宋体" w:hint="eastAsia"/>
                            <w:sz w:val="18"/>
                          </w:rPr>
                          <w:t>细胞保存液</w:t>
                        </w:r>
                      </w:p>
                    </w:tc>
                    <w:tc>
                      <w:tcPr>
                        <w:tcW w:w="3151" w:type="dxa"/>
                      </w:tcPr>
                      <w:p>
                        <w:pPr>
                          <w:pStyle w:val="TableParagraph"/>
                          <w:spacing w:before="32"/>
                          <w:ind w:left="385" w:right="376"/>
                          <w:rPr>
                            <w:rFonts w:ascii="宋体" w:eastAsia="宋体" w:hint="eastAsia"/>
                            <w:sz w:val="18"/>
                          </w:rPr>
                        </w:pPr>
                        <w:r>
                          <w:rPr>
                            <w:rFonts w:ascii="宋体" w:eastAsia="宋体" w:hint="eastAsia"/>
                            <w:sz w:val="18"/>
                          </w:rPr>
                          <w:t>深圳市麦瑞科林科技有限公司</w:t>
                        </w:r>
                      </w:p>
                    </w:tc>
                    <w:tc>
                      <w:tcPr>
                        <w:tcW w:w="2020" w:type="dxa"/>
                      </w:tcPr>
                      <w:p>
                        <w:pPr>
                          <w:pStyle w:val="TableParagraph"/>
                          <w:spacing w:before="32"/>
                          <w:ind w:left="111" w:right="104"/>
                          <w:rPr>
                            <w:rFonts w:ascii="宋体" w:eastAsia="宋体" w:hint="eastAsia"/>
                            <w:sz w:val="18"/>
                          </w:rPr>
                        </w:pPr>
                        <w:r>
                          <w:rPr>
                            <w:rFonts w:ascii="宋体" w:eastAsia="宋体" w:hint="eastAsia"/>
                            <w:sz w:val="18"/>
                          </w:rPr>
                          <w:t>粤深械备 </w:t>
                        </w:r>
                        <w:r>
                          <w:rPr>
                            <w:sz w:val="18"/>
                          </w:rPr>
                          <w:t>20170089 </w:t>
                        </w:r>
                        <w:r>
                          <w:rPr>
                            <w:rFonts w:ascii="宋体" w:eastAsia="宋体" w:hint="eastAsia"/>
                            <w:sz w:val="18"/>
                          </w:rPr>
                          <w:t>号</w:t>
                        </w:r>
                      </w:p>
                    </w:tc>
                  </w:tr>
                  <w:tr>
                    <w:trPr>
                      <w:trHeight w:val="290" w:hRule="atLeast"/>
                    </w:trPr>
                    <w:tc>
                      <w:tcPr>
                        <w:tcW w:w="2482" w:type="dxa"/>
                      </w:tcPr>
                      <w:p>
                        <w:pPr>
                          <w:pStyle w:val="TableParagraph"/>
                          <w:spacing w:before="32"/>
                          <w:ind w:left="318" w:right="311"/>
                          <w:rPr>
                            <w:rFonts w:ascii="宋体" w:eastAsia="宋体" w:hint="eastAsia"/>
                            <w:sz w:val="18"/>
                          </w:rPr>
                        </w:pPr>
                        <w:r>
                          <w:rPr>
                            <w:rFonts w:ascii="宋体" w:eastAsia="宋体" w:hint="eastAsia"/>
                            <w:sz w:val="18"/>
                          </w:rPr>
                          <w:t>细胞保存液</w:t>
                        </w:r>
                      </w:p>
                    </w:tc>
                    <w:tc>
                      <w:tcPr>
                        <w:tcW w:w="3151" w:type="dxa"/>
                      </w:tcPr>
                      <w:p>
                        <w:pPr>
                          <w:pStyle w:val="TableParagraph"/>
                          <w:spacing w:before="32"/>
                          <w:ind w:left="385" w:right="376"/>
                          <w:rPr>
                            <w:rFonts w:ascii="宋体" w:eastAsia="宋体" w:hint="eastAsia"/>
                            <w:sz w:val="18"/>
                          </w:rPr>
                        </w:pPr>
                        <w:r>
                          <w:rPr>
                            <w:rFonts w:ascii="宋体" w:eastAsia="宋体" w:hint="eastAsia"/>
                            <w:sz w:val="18"/>
                          </w:rPr>
                          <w:t>宁波海尔施基因科技有限公司</w:t>
                        </w:r>
                      </w:p>
                    </w:tc>
                    <w:tc>
                      <w:tcPr>
                        <w:tcW w:w="2020" w:type="dxa"/>
                      </w:tcPr>
                      <w:p>
                        <w:pPr>
                          <w:pStyle w:val="TableParagraph"/>
                          <w:spacing w:before="32"/>
                          <w:ind w:left="111" w:right="104"/>
                          <w:rPr>
                            <w:rFonts w:ascii="宋体" w:eastAsia="宋体" w:hint="eastAsia"/>
                            <w:sz w:val="18"/>
                          </w:rPr>
                        </w:pPr>
                        <w:r>
                          <w:rPr>
                            <w:rFonts w:ascii="宋体" w:eastAsia="宋体" w:hint="eastAsia"/>
                            <w:sz w:val="18"/>
                          </w:rPr>
                          <w:t>浙甬械备 </w:t>
                        </w:r>
                        <w:r>
                          <w:rPr>
                            <w:sz w:val="18"/>
                          </w:rPr>
                          <w:t>20190062 </w:t>
                        </w:r>
                        <w:r>
                          <w:rPr>
                            <w:rFonts w:ascii="宋体" w:eastAsia="宋体" w:hint="eastAsia"/>
                            <w:sz w:val="18"/>
                          </w:rPr>
                          <w:t>号</w:t>
                        </w:r>
                      </w:p>
                    </w:tc>
                  </w:tr>
                </w:tbl>
                <w:p>
                  <w:pPr>
                    <w:pStyle w:val="BodyText"/>
                    <w:spacing w:before="0"/>
                    <w:ind w:left="0"/>
                  </w:pPr>
                </w:p>
              </w:txbxContent>
            </v:textbox>
            <w10:wrap type="none"/>
          </v:shape>
        </w:pict>
      </w:r>
      <w:r>
        <w:rPr/>
        <w:t>经验证，生理盐水、</w:t>
      </w:r>
      <w:r>
        <w:rPr>
          <w:rFonts w:ascii="Times New Roman" w:eastAsia="Times New Roman"/>
        </w:rPr>
        <w:t>TE </w:t>
      </w:r>
      <w:r>
        <w:rPr/>
        <w:t>缓冲液、</w:t>
      </w:r>
      <w:r>
        <w:rPr>
          <w:rFonts w:ascii="Times New Roman" w:eastAsia="Times New Roman"/>
        </w:rPr>
        <w:t>2-4M </w:t>
      </w:r>
      <w:r>
        <w:rPr/>
        <w:t>含胍盐（如盐酸胍）等的保存液亦可作为样本保存液进行样本保存。含胍盐组分的保存液无法适配本公司样本释放剂进行核酸提取，可使用本公司核酸提取或纯化试剂进行核酸提取。</w:t>
      </w:r>
    </w:p>
    <w:p>
      <w:pPr>
        <w:pStyle w:val="BodyText"/>
        <w:spacing w:line="228" w:lineRule="exact" w:before="0"/>
        <w:rPr>
          <w:rFonts w:ascii="Times New Roman" w:hAnsi="Times New Roman" w:eastAsia="Times New Roman"/>
        </w:rPr>
      </w:pPr>
      <w:r>
        <w:rPr>
          <w:rFonts w:ascii="Times New Roman" w:hAnsi="Times New Roman" w:eastAsia="Times New Roman"/>
        </w:rPr>
        <w:t>3 </w:t>
      </w:r>
      <w:r>
        <w:rPr/>
        <w:t>样本保存和运送：待测样本可立即用于处理，能在 </w:t>
      </w:r>
      <w:r>
        <w:rPr>
          <w:rFonts w:ascii="Times New Roman" w:hAnsi="Times New Roman" w:eastAsia="Times New Roman"/>
        </w:rPr>
        <w:t>24 </w:t>
      </w:r>
      <w:r>
        <w:rPr/>
        <w:t>小时内检测的标本可置于 </w:t>
      </w:r>
      <w:r>
        <w:rPr>
          <w:rFonts w:ascii="Times New Roman" w:hAnsi="Times New Roman" w:eastAsia="Times New Roman"/>
        </w:rPr>
        <w:t>4℃</w:t>
      </w:r>
      <w:r>
        <w:rPr/>
        <w:t>保存；</w:t>
      </w:r>
      <w:r>
        <w:rPr>
          <w:rFonts w:ascii="Times New Roman" w:hAnsi="Times New Roman" w:eastAsia="Times New Roman"/>
        </w:rPr>
        <w:t>24 </w:t>
      </w:r>
      <w:r>
        <w:rPr/>
        <w:t>小时内无法检测的标本则应置于</w:t>
      </w:r>
      <w:r>
        <w:rPr>
          <w:rFonts w:ascii="Times New Roman" w:hAnsi="Times New Roman" w:eastAsia="Times New Roman"/>
        </w:rPr>
        <w:t>-70℃</w:t>
      </w:r>
    </w:p>
    <w:p>
      <w:pPr>
        <w:pStyle w:val="BodyText"/>
        <w:spacing w:line="302" w:lineRule="auto" w:before="59"/>
        <w:ind w:right="83"/>
      </w:pPr>
      <w:r>
        <w:rPr/>
        <w:t>或以下保存（如无</w:t>
      </w:r>
      <w:r>
        <w:rPr>
          <w:rFonts w:ascii="Times New Roman" w:hAnsi="Times New Roman" w:eastAsia="Times New Roman"/>
        </w:rPr>
        <w:t>-70℃</w:t>
      </w:r>
      <w:r>
        <w:rPr/>
        <w:t>保存条件，待测样本可于</w:t>
      </w:r>
      <w:r>
        <w:rPr>
          <w:rFonts w:ascii="Times New Roman" w:hAnsi="Times New Roman" w:eastAsia="Times New Roman"/>
        </w:rPr>
        <w:t>-20℃</w:t>
      </w:r>
      <w:r>
        <w:rPr/>
        <w:t>保存 </w:t>
      </w:r>
      <w:r>
        <w:rPr>
          <w:rFonts w:ascii="Times New Roman" w:hAnsi="Times New Roman" w:eastAsia="Times New Roman"/>
        </w:rPr>
        <w:t>10 </w:t>
      </w:r>
      <w:r>
        <w:rPr/>
        <w:t>天，核酸样本</w:t>
      </w:r>
      <w:r>
        <w:rPr>
          <w:rFonts w:ascii="Times New Roman" w:hAnsi="Times New Roman" w:eastAsia="Times New Roman"/>
        </w:rPr>
        <w:t>-20±5℃</w:t>
      </w:r>
      <w:r>
        <w:rPr/>
        <w:t>保存 </w:t>
      </w:r>
      <w:r>
        <w:rPr>
          <w:rFonts w:ascii="Times New Roman" w:hAnsi="Times New Roman" w:eastAsia="Times New Roman"/>
        </w:rPr>
        <w:t>15 </w:t>
      </w:r>
      <w:r>
        <w:rPr/>
        <w:t>天）。应避免反复冻融。样本运送采用冰壶加冰或泡沫箱加冰密封进行运输。样本经 </w:t>
      </w:r>
      <w:r>
        <w:rPr>
          <w:rFonts w:ascii="Times New Roman" w:hAnsi="Times New Roman" w:eastAsia="Times New Roman"/>
        </w:rPr>
        <w:t>56℃ 30min </w:t>
      </w:r>
      <w:r>
        <w:rPr/>
        <w:t>的灭活不会对本试剂盒的检测产生影响。</w:t>
      </w:r>
    </w:p>
    <w:p>
      <w:pPr>
        <w:pStyle w:val="Heading1"/>
        <w:spacing w:line="230" w:lineRule="exact" w:before="0"/>
      </w:pPr>
      <w:r>
        <w:rPr/>
        <w:t>【检验方法】</w:t>
      </w:r>
    </w:p>
    <w:p>
      <w:pPr>
        <w:pStyle w:val="ListParagraph"/>
        <w:numPr>
          <w:ilvl w:val="0"/>
          <w:numId w:val="2"/>
        </w:numPr>
        <w:tabs>
          <w:tab w:pos="300" w:val="left" w:leader="none"/>
        </w:tabs>
        <w:spacing w:line="302" w:lineRule="auto" w:before="60" w:after="0"/>
        <w:ind w:left="119" w:right="115" w:firstLine="0"/>
        <w:jc w:val="left"/>
        <w:rPr>
          <w:b/>
          <w:sz w:val="18"/>
        </w:rPr>
      </w:pPr>
      <w:r>
        <w:rPr>
          <w:rFonts w:ascii="Times New Roman" w:eastAsia="Times New Roman"/>
          <w:b/>
          <w:sz w:val="18"/>
        </w:rPr>
        <w:t>SLAN-96P</w:t>
      </w:r>
      <w:r>
        <w:rPr>
          <w:rFonts w:ascii="Times New Roman" w:eastAsia="Times New Roman"/>
          <w:b/>
          <w:spacing w:val="-11"/>
          <w:sz w:val="18"/>
        </w:rPr>
        <w:t> </w:t>
      </w:r>
      <w:r>
        <w:rPr>
          <w:b/>
          <w:spacing w:val="8"/>
          <w:sz w:val="18"/>
        </w:rPr>
        <w:t>全自动医用</w:t>
      </w:r>
      <w:r>
        <w:rPr>
          <w:rFonts w:ascii="Times New Roman" w:eastAsia="Times New Roman"/>
          <w:b/>
          <w:sz w:val="18"/>
        </w:rPr>
        <w:t>PCR</w:t>
      </w:r>
      <w:r>
        <w:rPr>
          <w:rFonts w:ascii="Times New Roman" w:eastAsia="Times New Roman"/>
          <w:b/>
          <w:spacing w:val="-11"/>
          <w:sz w:val="18"/>
        </w:rPr>
        <w:t> </w:t>
      </w:r>
      <w:r>
        <w:rPr>
          <w:b/>
          <w:sz w:val="18"/>
        </w:rPr>
        <w:t>分析系统、</w:t>
      </w:r>
      <w:r>
        <w:rPr>
          <w:rFonts w:ascii="Times New Roman" w:eastAsia="Times New Roman"/>
          <w:b/>
          <w:spacing w:val="-3"/>
          <w:sz w:val="18"/>
        </w:rPr>
        <w:t>ABI7500</w:t>
      </w:r>
      <w:r>
        <w:rPr>
          <w:rFonts w:ascii="Times New Roman" w:eastAsia="Times New Roman"/>
          <w:b/>
          <w:spacing w:val="-10"/>
          <w:sz w:val="18"/>
        </w:rPr>
        <w:t> </w:t>
      </w:r>
      <w:r>
        <w:rPr>
          <w:b/>
          <w:spacing w:val="21"/>
          <w:sz w:val="18"/>
        </w:rPr>
        <w:t>荧光</w:t>
      </w:r>
      <w:r>
        <w:rPr>
          <w:rFonts w:ascii="Times New Roman" w:eastAsia="Times New Roman"/>
          <w:b/>
          <w:sz w:val="18"/>
        </w:rPr>
        <w:t>PCR</w:t>
      </w:r>
      <w:r>
        <w:rPr>
          <w:rFonts w:ascii="Times New Roman" w:eastAsia="Times New Roman"/>
          <w:b/>
          <w:spacing w:val="-11"/>
          <w:sz w:val="18"/>
        </w:rPr>
        <w:t> </w:t>
      </w:r>
      <w:r>
        <w:rPr>
          <w:b/>
          <w:sz w:val="18"/>
        </w:rPr>
        <w:t>仪、</w:t>
      </w:r>
      <w:r>
        <w:rPr>
          <w:rFonts w:ascii="Times New Roman" w:eastAsia="Times New Roman"/>
          <w:b/>
          <w:sz w:val="18"/>
        </w:rPr>
        <w:t>Life</w:t>
      </w:r>
      <w:r>
        <w:rPr>
          <w:rFonts w:ascii="Times New Roman" w:eastAsia="Times New Roman"/>
          <w:b/>
          <w:spacing w:val="-5"/>
          <w:sz w:val="18"/>
        </w:rPr>
        <w:t> </w:t>
      </w:r>
      <w:r>
        <w:rPr>
          <w:rFonts w:ascii="Times New Roman" w:eastAsia="Times New Roman"/>
          <w:b/>
          <w:spacing w:val="-3"/>
          <w:sz w:val="18"/>
        </w:rPr>
        <w:t>Technologies</w:t>
      </w:r>
      <w:r>
        <w:rPr>
          <w:rFonts w:ascii="Times New Roman" w:eastAsia="Times New Roman"/>
          <w:b/>
          <w:spacing w:val="-7"/>
          <w:sz w:val="18"/>
        </w:rPr>
        <w:t> </w:t>
      </w:r>
      <w:r>
        <w:rPr>
          <w:rFonts w:ascii="Times New Roman" w:eastAsia="Times New Roman"/>
          <w:b/>
          <w:spacing w:val="-3"/>
          <w:sz w:val="18"/>
        </w:rPr>
        <w:t>QuantStudio</w:t>
      </w:r>
      <w:r>
        <w:rPr>
          <w:rFonts w:ascii="Times New Roman" w:eastAsia="Times New Roman"/>
          <w:b/>
          <w:spacing w:val="-4"/>
          <w:sz w:val="18"/>
        </w:rPr>
        <w:t> </w:t>
      </w:r>
      <w:r>
        <w:rPr>
          <w:rFonts w:ascii="Times New Roman" w:eastAsia="Times New Roman"/>
          <w:b/>
          <w:position w:val="6"/>
          <w:sz w:val="11"/>
        </w:rPr>
        <w:t>TM</w:t>
      </w:r>
      <w:r>
        <w:rPr>
          <w:rFonts w:ascii="Times New Roman" w:eastAsia="Times New Roman"/>
          <w:b/>
          <w:spacing w:val="12"/>
          <w:position w:val="6"/>
          <w:sz w:val="11"/>
        </w:rPr>
        <w:t> </w:t>
      </w:r>
      <w:r>
        <w:rPr>
          <w:rFonts w:ascii="Times New Roman" w:eastAsia="Times New Roman"/>
          <w:b/>
          <w:sz w:val="18"/>
        </w:rPr>
        <w:t>5</w:t>
      </w:r>
      <w:r>
        <w:rPr>
          <w:rFonts w:ascii="Times New Roman" w:eastAsia="Times New Roman"/>
          <w:b/>
          <w:spacing w:val="-9"/>
          <w:sz w:val="18"/>
        </w:rPr>
        <w:t> </w:t>
      </w:r>
      <w:r>
        <w:rPr>
          <w:b/>
          <w:spacing w:val="21"/>
          <w:sz w:val="18"/>
        </w:rPr>
        <w:t>荧光</w:t>
      </w:r>
      <w:r>
        <w:rPr>
          <w:rFonts w:ascii="Times New Roman" w:eastAsia="Times New Roman"/>
          <w:b/>
          <w:sz w:val="18"/>
        </w:rPr>
        <w:t>PCR</w:t>
      </w:r>
      <w:r>
        <w:rPr>
          <w:rFonts w:ascii="Times New Roman" w:eastAsia="Times New Roman"/>
          <w:b/>
          <w:spacing w:val="-12"/>
          <w:sz w:val="18"/>
        </w:rPr>
        <w:t> </w:t>
      </w:r>
      <w:r>
        <w:rPr>
          <w:b/>
          <w:sz w:val="18"/>
        </w:rPr>
        <w:t>仪、</w:t>
      </w:r>
      <w:r>
        <w:rPr>
          <w:rFonts w:ascii="Times New Roman" w:eastAsia="Times New Roman"/>
          <w:b/>
          <w:sz w:val="18"/>
        </w:rPr>
        <w:t>Roche</w:t>
      </w:r>
      <w:r>
        <w:rPr>
          <w:rFonts w:ascii="Times New Roman" w:eastAsia="Times New Roman"/>
          <w:b/>
          <w:spacing w:val="-4"/>
          <w:sz w:val="18"/>
        </w:rPr>
        <w:t> </w:t>
      </w:r>
      <w:r>
        <w:rPr>
          <w:rFonts w:ascii="Times New Roman" w:eastAsia="Times New Roman"/>
          <w:b/>
          <w:sz w:val="18"/>
        </w:rPr>
        <w:t>Light</w:t>
      </w:r>
      <w:r>
        <w:rPr>
          <w:rFonts w:ascii="Times New Roman" w:eastAsia="Times New Roman"/>
          <w:b/>
          <w:spacing w:val="-7"/>
          <w:sz w:val="18"/>
        </w:rPr>
        <w:t> </w:t>
      </w:r>
      <w:r>
        <w:rPr>
          <w:rFonts w:ascii="Times New Roman" w:eastAsia="Times New Roman"/>
          <w:b/>
          <w:spacing w:val="-3"/>
          <w:sz w:val="18"/>
        </w:rPr>
        <w:t>Cycler </w:t>
      </w:r>
      <w:r>
        <w:rPr>
          <w:rFonts w:ascii="Times New Roman" w:eastAsia="Times New Roman"/>
          <w:b/>
          <w:sz w:val="18"/>
        </w:rPr>
        <w:t>480</w:t>
      </w:r>
      <w:r>
        <w:rPr>
          <w:rFonts w:ascii="Times New Roman" w:eastAsia="Times New Roman"/>
          <w:b/>
          <w:spacing w:val="-12"/>
          <w:sz w:val="18"/>
        </w:rPr>
        <w:t> </w:t>
      </w:r>
      <w:r>
        <w:rPr>
          <w:b/>
          <w:spacing w:val="8"/>
          <w:sz w:val="18"/>
        </w:rPr>
        <w:t>荧光定量</w:t>
      </w:r>
      <w:r>
        <w:rPr>
          <w:rFonts w:ascii="Times New Roman" w:eastAsia="Times New Roman"/>
          <w:b/>
          <w:sz w:val="18"/>
        </w:rPr>
        <w:t>PCR</w:t>
      </w:r>
      <w:r>
        <w:rPr>
          <w:rFonts w:ascii="Times New Roman" w:eastAsia="Times New Roman"/>
          <w:b/>
          <w:spacing w:val="-12"/>
          <w:sz w:val="18"/>
        </w:rPr>
        <w:t> </w:t>
      </w:r>
      <w:r>
        <w:rPr>
          <w:b/>
          <w:spacing w:val="8"/>
          <w:sz w:val="18"/>
        </w:rPr>
        <w:t>仪、雅睿</w:t>
      </w:r>
      <w:r>
        <w:rPr>
          <w:rFonts w:ascii="Times New Roman" w:eastAsia="Times New Roman"/>
          <w:b/>
          <w:sz w:val="18"/>
        </w:rPr>
        <w:t>MA-6000</w:t>
      </w:r>
      <w:r>
        <w:rPr>
          <w:rFonts w:ascii="Times New Roman" w:eastAsia="Times New Roman"/>
          <w:b/>
          <w:spacing w:val="-13"/>
          <w:sz w:val="18"/>
        </w:rPr>
        <w:t> </w:t>
      </w:r>
      <w:r>
        <w:rPr>
          <w:b/>
          <w:spacing w:val="20"/>
          <w:sz w:val="18"/>
        </w:rPr>
        <w:t>荧光</w:t>
      </w:r>
      <w:r>
        <w:rPr>
          <w:rFonts w:ascii="Times New Roman" w:eastAsia="Times New Roman"/>
          <w:b/>
          <w:sz w:val="18"/>
        </w:rPr>
        <w:t>PCR</w:t>
      </w:r>
      <w:r>
        <w:rPr>
          <w:rFonts w:ascii="Times New Roman" w:eastAsia="Times New Roman"/>
          <w:b/>
          <w:spacing w:val="-13"/>
          <w:sz w:val="18"/>
        </w:rPr>
        <w:t> </w:t>
      </w:r>
      <w:r>
        <w:rPr>
          <w:b/>
          <w:spacing w:val="-3"/>
          <w:sz w:val="18"/>
        </w:rPr>
        <w:t>仪参照以下步骤进行处理：</w:t>
      </w:r>
    </w:p>
    <w:p>
      <w:pPr>
        <w:pStyle w:val="ListParagraph"/>
        <w:numPr>
          <w:ilvl w:val="1"/>
          <w:numId w:val="2"/>
        </w:numPr>
        <w:tabs>
          <w:tab w:pos="391" w:val="left" w:leader="none"/>
        </w:tabs>
        <w:spacing w:line="228" w:lineRule="exact" w:before="0" w:after="0"/>
        <w:ind w:left="390" w:right="0" w:hanging="272"/>
        <w:jc w:val="left"/>
        <w:rPr>
          <w:rFonts w:ascii="Times New Roman" w:eastAsia="Times New Roman"/>
          <w:b/>
          <w:sz w:val="18"/>
        </w:rPr>
      </w:pPr>
      <w:r>
        <w:rPr>
          <w:b/>
          <w:sz w:val="18"/>
        </w:rPr>
        <w:t>试剂准备（在试剂准备区进行）</w:t>
      </w:r>
    </w:p>
    <w:p>
      <w:pPr>
        <w:pStyle w:val="ListParagraph"/>
        <w:numPr>
          <w:ilvl w:val="2"/>
          <w:numId w:val="2"/>
        </w:numPr>
        <w:tabs>
          <w:tab w:pos="516" w:val="left" w:leader="none"/>
        </w:tabs>
        <w:spacing w:line="240" w:lineRule="auto" w:before="60" w:after="0"/>
        <w:ind w:left="515" w:right="0" w:hanging="397"/>
        <w:jc w:val="left"/>
        <w:rPr>
          <w:sz w:val="18"/>
        </w:rPr>
      </w:pPr>
      <w:r>
        <w:rPr>
          <w:sz w:val="18"/>
        </w:rPr>
        <w:t>取出盒中的各组分，室温放置，待其温度平衡至室温后，混匀后备用；</w:t>
      </w:r>
    </w:p>
    <w:p>
      <w:pPr>
        <w:pStyle w:val="ListParagraph"/>
        <w:numPr>
          <w:ilvl w:val="2"/>
          <w:numId w:val="2"/>
        </w:numPr>
        <w:tabs>
          <w:tab w:pos="516" w:val="left" w:leader="none"/>
        </w:tabs>
        <w:spacing w:line="302" w:lineRule="auto" w:before="60" w:after="0"/>
        <w:ind w:left="119" w:right="286" w:firstLine="0"/>
        <w:jc w:val="left"/>
        <w:rPr>
          <w:sz w:val="18"/>
        </w:rPr>
      </w:pPr>
      <w:r>
        <w:rPr>
          <w:sz w:val="18"/>
        </w:rPr>
        <w:t>根据待测样本数量，阳性对照和阴性对照数量，按比例（</w:t>
      </w:r>
      <w:r>
        <w:rPr>
          <w:rFonts w:ascii="Times New Roman" w:hAnsi="Times New Roman" w:eastAsia="Times New Roman"/>
          <w:sz w:val="18"/>
        </w:rPr>
        <w:t>2019-nCoV-PCR</w:t>
      </w:r>
      <w:r>
        <w:rPr>
          <w:rFonts w:ascii="Times New Roman" w:hAnsi="Times New Roman" w:eastAsia="Times New Roman"/>
          <w:spacing w:val="-13"/>
          <w:sz w:val="18"/>
        </w:rPr>
        <w:t> </w:t>
      </w:r>
      <w:r>
        <w:rPr>
          <w:spacing w:val="-13"/>
          <w:sz w:val="18"/>
        </w:rPr>
        <w:t>反应液 </w:t>
      </w:r>
      <w:r>
        <w:rPr>
          <w:rFonts w:ascii="Times New Roman" w:hAnsi="Times New Roman" w:eastAsia="Times New Roman"/>
          <w:sz w:val="18"/>
        </w:rPr>
        <w:t>26μL/</w:t>
      </w:r>
      <w:r>
        <w:rPr>
          <w:spacing w:val="21"/>
          <w:sz w:val="18"/>
        </w:rPr>
        <w:t>人份</w:t>
      </w:r>
      <w:r>
        <w:rPr>
          <w:rFonts w:ascii="Times New Roman" w:hAnsi="Times New Roman" w:eastAsia="Times New Roman"/>
          <w:spacing w:val="-2"/>
          <w:sz w:val="18"/>
        </w:rPr>
        <w:t>+ </w:t>
      </w:r>
      <w:r>
        <w:rPr>
          <w:rFonts w:ascii="Times New Roman" w:hAnsi="Times New Roman" w:eastAsia="Times New Roman"/>
          <w:sz w:val="18"/>
        </w:rPr>
        <w:t>2019-nCoV-PCR-</w:t>
      </w:r>
      <w:r>
        <w:rPr>
          <w:spacing w:val="-10"/>
          <w:sz w:val="18"/>
        </w:rPr>
        <w:t>酶混合液 </w:t>
      </w:r>
      <w:r>
        <w:rPr>
          <w:rFonts w:ascii="Times New Roman" w:hAnsi="Times New Roman" w:eastAsia="Times New Roman"/>
          <w:sz w:val="18"/>
        </w:rPr>
        <w:t>4μL/</w:t>
      </w:r>
      <w:r>
        <w:rPr>
          <w:sz w:val="18"/>
        </w:rPr>
        <w:t>人份）</w:t>
      </w:r>
      <w:r>
        <w:rPr>
          <w:spacing w:val="-4"/>
          <w:sz w:val="18"/>
        </w:rPr>
        <w:t>取相应量的组分，充分混匀成 </w:t>
      </w:r>
      <w:r>
        <w:rPr>
          <w:rFonts w:ascii="Times New Roman" w:hAnsi="Times New Roman" w:eastAsia="Times New Roman"/>
          <w:sz w:val="18"/>
        </w:rPr>
        <w:t>PCR</w:t>
      </w:r>
      <w:r>
        <w:rPr>
          <w:rFonts w:ascii="Times New Roman" w:hAnsi="Times New Roman" w:eastAsia="Times New Roman"/>
          <w:spacing w:val="-11"/>
          <w:sz w:val="18"/>
        </w:rPr>
        <w:t> </w:t>
      </w:r>
      <w:r>
        <w:rPr>
          <w:sz w:val="18"/>
        </w:rPr>
        <w:t>混合液，瞬时离心后备用；</w:t>
      </w:r>
    </w:p>
    <w:p>
      <w:pPr>
        <w:pStyle w:val="ListParagraph"/>
        <w:numPr>
          <w:ilvl w:val="2"/>
          <w:numId w:val="2"/>
        </w:numPr>
        <w:tabs>
          <w:tab w:pos="525" w:val="left" w:leader="none"/>
        </w:tabs>
        <w:spacing w:line="230" w:lineRule="exact" w:before="0" w:after="0"/>
        <w:ind w:left="524" w:right="0" w:hanging="406"/>
        <w:jc w:val="left"/>
        <w:rPr>
          <w:sz w:val="18"/>
        </w:rPr>
      </w:pPr>
      <w:r>
        <w:rPr>
          <w:sz w:val="18"/>
        </w:rPr>
        <w:t>将上述准备好的试剂转移至样本处理区，待用。</w:t>
      </w:r>
    </w:p>
    <w:p>
      <w:pPr>
        <w:pStyle w:val="Heading1"/>
        <w:numPr>
          <w:ilvl w:val="1"/>
          <w:numId w:val="2"/>
        </w:numPr>
        <w:tabs>
          <w:tab w:pos="391" w:val="left" w:leader="none"/>
        </w:tabs>
        <w:spacing w:line="240" w:lineRule="auto" w:before="60" w:after="0"/>
        <w:ind w:left="390" w:right="0" w:hanging="272"/>
        <w:jc w:val="left"/>
        <w:rPr>
          <w:rFonts w:ascii="Times New Roman" w:eastAsia="Times New Roman"/>
        </w:rPr>
      </w:pPr>
      <w:r>
        <w:rPr/>
        <w:t>样本处理（在样本处理区进行）</w:t>
      </w:r>
    </w:p>
    <w:p>
      <w:pPr>
        <w:pStyle w:val="ListParagraph"/>
        <w:numPr>
          <w:ilvl w:val="2"/>
          <w:numId w:val="2"/>
        </w:numPr>
        <w:tabs>
          <w:tab w:pos="525" w:val="left" w:leader="none"/>
        </w:tabs>
        <w:spacing w:line="240" w:lineRule="auto" w:before="57" w:after="0"/>
        <w:ind w:left="524" w:right="0" w:hanging="406"/>
        <w:jc w:val="left"/>
        <w:rPr>
          <w:sz w:val="18"/>
        </w:rPr>
      </w:pPr>
      <w:r>
        <w:rPr>
          <w:sz w:val="18"/>
        </w:rPr>
        <w:t>使用圣湘生物科技股份有限公司的样本释放剂或者核酸提取或纯化试剂按其说明书操作进行核酸提取。</w:t>
      </w:r>
    </w:p>
    <w:p>
      <w:pPr>
        <w:pStyle w:val="ListParagraph"/>
        <w:numPr>
          <w:ilvl w:val="2"/>
          <w:numId w:val="2"/>
        </w:numPr>
        <w:tabs>
          <w:tab w:pos="525" w:val="left" w:leader="none"/>
        </w:tabs>
        <w:spacing w:line="302" w:lineRule="auto" w:before="60" w:after="0"/>
        <w:ind w:left="119" w:right="154" w:firstLine="0"/>
        <w:jc w:val="left"/>
        <w:rPr>
          <w:sz w:val="18"/>
        </w:rPr>
      </w:pPr>
      <w:r>
        <w:rPr>
          <w:spacing w:val="-20"/>
          <w:sz w:val="18"/>
        </w:rPr>
        <w:t>将 </w:t>
      </w:r>
      <w:r>
        <w:rPr>
          <w:rFonts w:ascii="Times New Roman" w:hAnsi="Times New Roman" w:eastAsia="Times New Roman"/>
          <w:sz w:val="18"/>
        </w:rPr>
        <w:t>30μL</w:t>
      </w:r>
      <w:r>
        <w:rPr>
          <w:rFonts w:ascii="Times New Roman" w:hAnsi="Times New Roman" w:eastAsia="Times New Roman"/>
          <w:spacing w:val="-6"/>
          <w:sz w:val="18"/>
        </w:rPr>
        <w:t> </w:t>
      </w:r>
      <w:r>
        <w:rPr>
          <w:spacing w:val="-9"/>
          <w:sz w:val="18"/>
        </w:rPr>
        <w:t>配制好的 </w:t>
      </w:r>
      <w:r>
        <w:rPr>
          <w:rFonts w:ascii="Times New Roman" w:hAnsi="Times New Roman" w:eastAsia="Times New Roman"/>
          <w:sz w:val="18"/>
        </w:rPr>
        <w:t>PCR-</w:t>
      </w:r>
      <w:r>
        <w:rPr>
          <w:spacing w:val="-5"/>
          <w:sz w:val="18"/>
        </w:rPr>
        <w:t>混合液加入到装有 </w:t>
      </w:r>
      <w:r>
        <w:rPr>
          <w:rFonts w:ascii="Times New Roman" w:hAnsi="Times New Roman" w:eastAsia="Times New Roman"/>
          <w:sz w:val="18"/>
        </w:rPr>
        <w:t>20μL</w:t>
      </w:r>
      <w:r>
        <w:rPr>
          <w:rFonts w:ascii="Times New Roman" w:hAnsi="Times New Roman" w:eastAsia="Times New Roman"/>
          <w:spacing w:val="-5"/>
          <w:sz w:val="18"/>
        </w:rPr>
        <w:t> </w:t>
      </w:r>
      <w:r>
        <w:rPr>
          <w:spacing w:val="-5"/>
          <w:sz w:val="18"/>
        </w:rPr>
        <w:t>上述处理后的样本 </w:t>
      </w:r>
      <w:r>
        <w:rPr>
          <w:rFonts w:ascii="Times New Roman" w:hAnsi="Times New Roman" w:eastAsia="Times New Roman"/>
          <w:sz w:val="18"/>
        </w:rPr>
        <w:t>PCR</w:t>
      </w:r>
      <w:r>
        <w:rPr>
          <w:rFonts w:ascii="Times New Roman" w:hAnsi="Times New Roman" w:eastAsia="Times New Roman"/>
          <w:spacing w:val="-8"/>
          <w:sz w:val="18"/>
        </w:rPr>
        <w:t> </w:t>
      </w:r>
      <w:r>
        <w:rPr>
          <w:spacing w:val="-5"/>
          <w:sz w:val="18"/>
        </w:rPr>
        <w:t>扩增管中，在荧光 </w:t>
      </w:r>
      <w:r>
        <w:rPr>
          <w:rFonts w:ascii="Times New Roman" w:hAnsi="Times New Roman" w:eastAsia="Times New Roman"/>
          <w:sz w:val="18"/>
        </w:rPr>
        <w:t>PCR</w:t>
      </w:r>
      <w:r>
        <w:rPr>
          <w:rFonts w:ascii="Times New Roman" w:hAnsi="Times New Roman" w:eastAsia="Times New Roman"/>
          <w:spacing w:val="-8"/>
          <w:sz w:val="18"/>
        </w:rPr>
        <w:t> </w:t>
      </w:r>
      <w:r>
        <w:rPr>
          <w:spacing w:val="-5"/>
          <w:sz w:val="18"/>
        </w:rPr>
        <w:t>仪上进行荧光定量 </w:t>
      </w:r>
      <w:r>
        <w:rPr>
          <w:rFonts w:ascii="Times New Roman" w:hAnsi="Times New Roman" w:eastAsia="Times New Roman"/>
          <w:sz w:val="18"/>
        </w:rPr>
        <w:t>PCR</w:t>
      </w:r>
      <w:r>
        <w:rPr>
          <w:rFonts w:ascii="Times New Roman" w:hAnsi="Times New Roman" w:eastAsia="Times New Roman"/>
          <w:spacing w:val="-8"/>
          <w:sz w:val="18"/>
        </w:rPr>
        <w:t> </w:t>
      </w:r>
      <w:r>
        <w:rPr>
          <w:sz w:val="18"/>
        </w:rPr>
        <w:t>的检测。</w:t>
      </w:r>
      <w:r>
        <w:rPr>
          <w:spacing w:val="-23"/>
          <w:sz w:val="18"/>
        </w:rPr>
        <w:t>在 </w:t>
      </w:r>
      <w:r>
        <w:rPr>
          <w:rFonts w:ascii="Times New Roman" w:hAnsi="Times New Roman" w:eastAsia="Times New Roman"/>
          <w:sz w:val="18"/>
        </w:rPr>
        <w:t>PCR</w:t>
      </w:r>
      <w:r>
        <w:rPr>
          <w:rFonts w:ascii="Times New Roman" w:hAnsi="Times New Roman" w:eastAsia="Times New Roman"/>
          <w:spacing w:val="-10"/>
          <w:sz w:val="18"/>
        </w:rPr>
        <w:t> </w:t>
      </w:r>
      <w:r>
        <w:rPr>
          <w:spacing w:val="-8"/>
          <w:sz w:val="18"/>
        </w:rPr>
        <w:t>扩增前，可使用 </w:t>
      </w:r>
      <w:r>
        <w:rPr>
          <w:rFonts w:ascii="Times New Roman" w:hAnsi="Times New Roman" w:eastAsia="Times New Roman"/>
          <w:sz w:val="18"/>
        </w:rPr>
        <w:t>15μL</w:t>
      </w:r>
      <w:r>
        <w:rPr>
          <w:rFonts w:ascii="Times New Roman" w:hAnsi="Times New Roman" w:eastAsia="Times New Roman"/>
          <w:spacing w:val="-9"/>
          <w:sz w:val="18"/>
        </w:rPr>
        <w:t> </w:t>
      </w:r>
      <w:r>
        <w:rPr>
          <w:spacing w:val="3"/>
          <w:sz w:val="18"/>
        </w:rPr>
        <w:t>的石蜡油对荧光</w:t>
      </w:r>
      <w:r>
        <w:rPr>
          <w:rFonts w:ascii="Times New Roman" w:hAnsi="Times New Roman" w:eastAsia="Times New Roman"/>
          <w:sz w:val="18"/>
        </w:rPr>
        <w:t>PCR</w:t>
      </w:r>
      <w:r>
        <w:rPr>
          <w:rFonts w:ascii="Times New Roman" w:hAnsi="Times New Roman" w:eastAsia="Times New Roman"/>
          <w:spacing w:val="-14"/>
          <w:sz w:val="18"/>
        </w:rPr>
        <w:t> </w:t>
      </w:r>
      <w:r>
        <w:rPr>
          <w:spacing w:val="-3"/>
          <w:sz w:val="18"/>
        </w:rPr>
        <w:t>管进行封盖处理。</w:t>
      </w:r>
    </w:p>
    <w:p>
      <w:pPr>
        <w:pStyle w:val="ListParagraph"/>
        <w:numPr>
          <w:ilvl w:val="1"/>
          <w:numId w:val="2"/>
        </w:numPr>
        <w:tabs>
          <w:tab w:pos="391" w:val="left" w:leader="none"/>
        </w:tabs>
        <w:spacing w:line="230" w:lineRule="exact" w:before="0" w:after="0"/>
        <w:ind w:left="390" w:right="0" w:hanging="272"/>
        <w:jc w:val="left"/>
        <w:rPr>
          <w:rFonts w:ascii="Times New Roman" w:eastAsia="Times New Roman"/>
          <w:sz w:val="18"/>
        </w:rPr>
      </w:pPr>
      <w:r>
        <w:rPr>
          <w:rFonts w:ascii="Times New Roman" w:eastAsia="Times New Roman"/>
          <w:b/>
          <w:sz w:val="18"/>
        </w:rPr>
        <w:t>PCR</w:t>
      </w:r>
      <w:r>
        <w:rPr>
          <w:rFonts w:ascii="Times New Roman" w:eastAsia="Times New Roman"/>
          <w:b/>
          <w:spacing w:val="-4"/>
          <w:sz w:val="18"/>
        </w:rPr>
        <w:t> </w:t>
      </w:r>
      <w:r>
        <w:rPr>
          <w:b/>
          <w:sz w:val="18"/>
        </w:rPr>
        <w:t>扩增（在扩增与分析区进行）</w:t>
      </w:r>
      <w:r>
        <w:rPr>
          <w:sz w:val="18"/>
        </w:rPr>
        <w:t>（请参照仪器使用说明书进行设置）</w:t>
      </w:r>
    </w:p>
    <w:p>
      <w:pPr>
        <w:pStyle w:val="ListParagraph"/>
        <w:numPr>
          <w:ilvl w:val="2"/>
          <w:numId w:val="2"/>
        </w:numPr>
        <w:tabs>
          <w:tab w:pos="525" w:val="left" w:leader="none"/>
        </w:tabs>
        <w:spacing w:line="240" w:lineRule="auto" w:before="59" w:after="0"/>
        <w:ind w:left="524" w:right="0" w:hanging="406"/>
        <w:jc w:val="left"/>
        <w:rPr>
          <w:sz w:val="18"/>
        </w:rPr>
      </w:pPr>
      <w:r>
        <w:rPr>
          <w:spacing w:val="-23"/>
          <w:sz w:val="18"/>
        </w:rPr>
        <w:t>将 </w:t>
      </w:r>
      <w:r>
        <w:rPr>
          <w:rFonts w:ascii="Times New Roman" w:eastAsia="Times New Roman"/>
          <w:sz w:val="18"/>
        </w:rPr>
        <w:t>PCR</w:t>
      </w:r>
      <w:r>
        <w:rPr>
          <w:rFonts w:ascii="Times New Roman" w:eastAsia="Times New Roman"/>
          <w:spacing w:val="-2"/>
          <w:sz w:val="18"/>
        </w:rPr>
        <w:t> </w:t>
      </w:r>
      <w:r>
        <w:rPr>
          <w:sz w:val="18"/>
        </w:rPr>
        <w:t>反应管放入扩增仪样品槽，按对应顺序设置阳性对照、阴性对照及待测样本，并设置样本名称。</w:t>
      </w:r>
    </w:p>
    <w:p>
      <w:pPr>
        <w:pStyle w:val="ListParagraph"/>
        <w:numPr>
          <w:ilvl w:val="2"/>
          <w:numId w:val="2"/>
        </w:numPr>
        <w:tabs>
          <w:tab w:pos="525" w:val="left" w:leader="none"/>
        </w:tabs>
        <w:spacing w:line="240" w:lineRule="auto" w:before="60" w:after="0"/>
        <w:ind w:left="524" w:right="0" w:hanging="406"/>
        <w:jc w:val="left"/>
        <w:rPr>
          <w:sz w:val="18"/>
        </w:rPr>
      </w:pPr>
      <w:r>
        <w:rPr>
          <w:sz w:val="18"/>
        </w:rPr>
        <w:t>荧光检测通道选择：</w:t>
      </w:r>
    </w:p>
    <w:p>
      <w:pPr>
        <w:pStyle w:val="ListParagraph"/>
        <w:numPr>
          <w:ilvl w:val="0"/>
          <w:numId w:val="3"/>
        </w:numPr>
        <w:tabs>
          <w:tab w:pos="392" w:val="left" w:leader="none"/>
        </w:tabs>
        <w:spacing w:line="240" w:lineRule="auto" w:before="58" w:after="0"/>
        <w:ind w:left="391" w:right="0" w:hanging="273"/>
        <w:jc w:val="left"/>
        <w:rPr>
          <w:sz w:val="18"/>
        </w:rPr>
      </w:pPr>
      <w:r>
        <w:rPr>
          <w:spacing w:val="-16"/>
          <w:sz w:val="18"/>
        </w:rPr>
        <w:t>选择 </w:t>
      </w:r>
      <w:r>
        <w:rPr>
          <w:rFonts w:ascii="Times New Roman" w:eastAsia="Times New Roman"/>
          <w:sz w:val="18"/>
        </w:rPr>
        <w:t>FAM</w:t>
      </w:r>
      <w:r>
        <w:rPr>
          <w:sz w:val="18"/>
        </w:rPr>
        <w:t>（</w:t>
      </w:r>
      <w:r>
        <w:rPr>
          <w:rFonts w:ascii="Times New Roman" w:eastAsia="Times New Roman"/>
          <w:sz w:val="18"/>
        </w:rPr>
        <w:t>ORF-1ab</w:t>
      </w:r>
      <w:r>
        <w:rPr>
          <w:rFonts w:ascii="Times New Roman" w:eastAsia="Times New Roman"/>
          <w:spacing w:val="-11"/>
          <w:sz w:val="18"/>
        </w:rPr>
        <w:t> </w:t>
      </w:r>
      <w:r>
        <w:rPr>
          <w:sz w:val="18"/>
        </w:rPr>
        <w:t>区域）</w:t>
      </w:r>
      <w:r>
        <w:rPr>
          <w:spacing w:val="-23"/>
          <w:sz w:val="18"/>
        </w:rPr>
        <w:t>和 </w:t>
      </w:r>
      <w:r>
        <w:rPr>
          <w:rFonts w:ascii="Times New Roman" w:eastAsia="Times New Roman"/>
          <w:sz w:val="18"/>
        </w:rPr>
        <w:t>ROX</w:t>
      </w:r>
      <w:r>
        <w:rPr>
          <w:sz w:val="18"/>
        </w:rPr>
        <w:t>（</w:t>
      </w:r>
      <w:r>
        <w:rPr>
          <w:rFonts w:ascii="Times New Roman" w:eastAsia="Times New Roman"/>
          <w:sz w:val="18"/>
        </w:rPr>
        <w:t>N</w:t>
      </w:r>
      <w:r>
        <w:rPr>
          <w:rFonts w:ascii="Times New Roman" w:eastAsia="Times New Roman"/>
          <w:spacing w:val="-10"/>
          <w:sz w:val="18"/>
        </w:rPr>
        <w:t> </w:t>
      </w:r>
      <w:r>
        <w:rPr>
          <w:sz w:val="18"/>
        </w:rPr>
        <w:t>基因）</w:t>
      </w:r>
      <w:r>
        <w:rPr>
          <w:spacing w:val="-16"/>
          <w:sz w:val="18"/>
        </w:rPr>
        <w:t> 通道检测 </w:t>
      </w:r>
      <w:r>
        <w:rPr>
          <w:rFonts w:ascii="Times New Roman" w:eastAsia="Times New Roman"/>
          <w:sz w:val="18"/>
        </w:rPr>
        <w:t>2019-nCoV </w:t>
      </w:r>
      <w:r>
        <w:rPr>
          <w:sz w:val="18"/>
        </w:rPr>
        <w:t>病毒核酸；</w:t>
      </w:r>
    </w:p>
    <w:p>
      <w:pPr>
        <w:pStyle w:val="ListParagraph"/>
        <w:numPr>
          <w:ilvl w:val="0"/>
          <w:numId w:val="3"/>
        </w:numPr>
        <w:tabs>
          <w:tab w:pos="392" w:val="left" w:leader="none"/>
        </w:tabs>
        <w:spacing w:line="240" w:lineRule="auto" w:before="59" w:after="0"/>
        <w:ind w:left="391" w:right="0" w:hanging="273"/>
        <w:jc w:val="left"/>
        <w:rPr>
          <w:sz w:val="18"/>
        </w:rPr>
      </w:pPr>
      <w:r>
        <w:rPr>
          <w:spacing w:val="-15"/>
          <w:sz w:val="18"/>
        </w:rPr>
        <w:t>选择 </w:t>
      </w:r>
      <w:r>
        <w:rPr>
          <w:rFonts w:ascii="Times New Roman" w:eastAsia="Times New Roman"/>
          <w:sz w:val="18"/>
        </w:rPr>
        <w:t>HEX</w:t>
      </w:r>
      <w:r>
        <w:rPr>
          <w:rFonts w:ascii="Times New Roman" w:eastAsia="Times New Roman"/>
          <w:spacing w:val="-4"/>
          <w:sz w:val="18"/>
        </w:rPr>
        <w:t> </w:t>
      </w:r>
      <w:r>
        <w:rPr>
          <w:sz w:val="18"/>
        </w:rPr>
        <w:t>通道检测内标。</w:t>
      </w:r>
    </w:p>
    <w:p>
      <w:pPr>
        <w:pStyle w:val="ListParagraph"/>
        <w:numPr>
          <w:ilvl w:val="2"/>
          <w:numId w:val="2"/>
        </w:numPr>
        <w:tabs>
          <w:tab w:pos="513" w:val="left" w:leader="none"/>
        </w:tabs>
        <w:spacing w:line="240" w:lineRule="auto" w:before="60" w:after="0"/>
        <w:ind w:left="512" w:right="0" w:hanging="394"/>
        <w:jc w:val="left"/>
        <w:rPr>
          <w:sz w:val="18"/>
        </w:rPr>
      </w:pPr>
      <w:r>
        <w:rPr>
          <w:spacing w:val="-3"/>
          <w:sz w:val="18"/>
        </w:rPr>
        <w:t>推荐的循环参数设定：</w:t>
      </w:r>
    </w:p>
    <w:tbl>
      <w:tblPr>
        <w:tblW w:w="0" w:type="auto"/>
        <w:jc w:val="left"/>
        <w:tblInd w:w="2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472"/>
        <w:gridCol w:w="1020"/>
        <w:gridCol w:w="1164"/>
        <w:gridCol w:w="780"/>
      </w:tblGrid>
      <w:tr>
        <w:trPr>
          <w:trHeight w:val="290" w:hRule="atLeast"/>
        </w:trPr>
        <w:tc>
          <w:tcPr>
            <w:tcW w:w="5975" w:type="dxa"/>
            <w:gridSpan w:val="5"/>
          </w:tcPr>
          <w:p>
            <w:pPr>
              <w:pStyle w:val="TableParagraph"/>
              <w:spacing w:line="217" w:lineRule="exact" w:before="53"/>
              <w:ind w:left="2370" w:right="2358"/>
              <w:rPr>
                <w:rFonts w:ascii="宋体" w:eastAsia="宋体" w:hint="eastAsia"/>
                <w:sz w:val="18"/>
              </w:rPr>
            </w:pPr>
            <w:r>
              <w:rPr>
                <w:rFonts w:ascii="宋体" w:eastAsia="宋体" w:hint="eastAsia"/>
                <w:sz w:val="18"/>
              </w:rPr>
              <w:t>常规</w:t>
            </w:r>
            <w:r>
              <w:rPr>
                <w:sz w:val="18"/>
              </w:rPr>
              <w:t>qPCR </w:t>
            </w:r>
            <w:r>
              <w:rPr>
                <w:rFonts w:ascii="宋体" w:eastAsia="宋体" w:hint="eastAsia"/>
                <w:sz w:val="18"/>
              </w:rPr>
              <w:t>程序</w:t>
            </w:r>
          </w:p>
        </w:tc>
      </w:tr>
      <w:tr>
        <w:trPr>
          <w:trHeight w:val="290" w:hRule="atLeast"/>
        </w:trPr>
        <w:tc>
          <w:tcPr>
            <w:tcW w:w="3011" w:type="dxa"/>
            <w:gridSpan w:val="2"/>
          </w:tcPr>
          <w:p>
            <w:pPr>
              <w:pStyle w:val="TableParagraph"/>
              <w:spacing w:line="217" w:lineRule="exact" w:before="53"/>
              <w:ind w:left="1304" w:right="1296"/>
              <w:rPr>
                <w:rFonts w:ascii="宋体" w:eastAsia="宋体" w:hint="eastAsia"/>
                <w:sz w:val="18"/>
              </w:rPr>
            </w:pPr>
            <w:r>
              <w:rPr>
                <w:rFonts w:ascii="宋体" w:eastAsia="宋体" w:hint="eastAsia"/>
                <w:sz w:val="18"/>
              </w:rPr>
              <w:t>步骤</w:t>
            </w:r>
          </w:p>
        </w:tc>
        <w:tc>
          <w:tcPr>
            <w:tcW w:w="1020" w:type="dxa"/>
          </w:tcPr>
          <w:p>
            <w:pPr>
              <w:pStyle w:val="TableParagraph"/>
              <w:spacing w:line="217" w:lineRule="exact" w:before="53"/>
              <w:ind w:left="330"/>
              <w:jc w:val="left"/>
              <w:rPr>
                <w:rFonts w:ascii="宋体" w:eastAsia="宋体" w:hint="eastAsia"/>
                <w:sz w:val="18"/>
              </w:rPr>
            </w:pPr>
            <w:r>
              <w:rPr>
                <w:rFonts w:ascii="宋体" w:eastAsia="宋体" w:hint="eastAsia"/>
                <w:sz w:val="18"/>
              </w:rPr>
              <w:t>温度</w:t>
            </w:r>
          </w:p>
        </w:tc>
        <w:tc>
          <w:tcPr>
            <w:tcW w:w="1164" w:type="dxa"/>
          </w:tcPr>
          <w:p>
            <w:pPr>
              <w:pStyle w:val="TableParagraph"/>
              <w:spacing w:line="217" w:lineRule="exact" w:before="53"/>
              <w:ind w:left="269" w:right="260"/>
              <w:rPr>
                <w:rFonts w:ascii="宋体" w:eastAsia="宋体" w:hint="eastAsia"/>
                <w:sz w:val="18"/>
              </w:rPr>
            </w:pPr>
            <w:r>
              <w:rPr>
                <w:rFonts w:ascii="宋体" w:eastAsia="宋体" w:hint="eastAsia"/>
                <w:sz w:val="18"/>
              </w:rPr>
              <w:t>时间</w:t>
            </w:r>
          </w:p>
        </w:tc>
        <w:tc>
          <w:tcPr>
            <w:tcW w:w="780" w:type="dxa"/>
          </w:tcPr>
          <w:p>
            <w:pPr>
              <w:pStyle w:val="TableParagraph"/>
              <w:spacing w:line="217" w:lineRule="exact" w:before="53"/>
              <w:ind w:left="99" w:right="90"/>
              <w:rPr>
                <w:rFonts w:ascii="宋体" w:eastAsia="宋体" w:hint="eastAsia"/>
                <w:sz w:val="18"/>
              </w:rPr>
            </w:pPr>
            <w:r>
              <w:rPr>
                <w:rFonts w:ascii="宋体" w:eastAsia="宋体" w:hint="eastAsia"/>
                <w:sz w:val="18"/>
              </w:rPr>
              <w:t>循环数</w:t>
            </w:r>
          </w:p>
        </w:tc>
      </w:tr>
      <w:tr>
        <w:trPr>
          <w:trHeight w:val="290" w:hRule="atLeast"/>
        </w:trPr>
        <w:tc>
          <w:tcPr>
            <w:tcW w:w="539" w:type="dxa"/>
          </w:tcPr>
          <w:p>
            <w:pPr>
              <w:pStyle w:val="TableParagraph"/>
              <w:spacing w:line="205" w:lineRule="exact" w:before="64"/>
              <w:ind w:left="9"/>
              <w:rPr>
                <w:sz w:val="18"/>
              </w:rPr>
            </w:pPr>
            <w:r>
              <w:rPr>
                <w:sz w:val="18"/>
              </w:rPr>
              <w:t>1</w:t>
            </w:r>
          </w:p>
        </w:tc>
        <w:tc>
          <w:tcPr>
            <w:tcW w:w="2472" w:type="dxa"/>
          </w:tcPr>
          <w:p>
            <w:pPr>
              <w:pStyle w:val="TableParagraph"/>
              <w:spacing w:line="217" w:lineRule="exact" w:before="53"/>
              <w:ind w:left="315" w:right="304"/>
              <w:rPr>
                <w:rFonts w:ascii="宋体" w:eastAsia="宋体" w:hint="eastAsia"/>
                <w:sz w:val="18"/>
              </w:rPr>
            </w:pPr>
            <w:r>
              <w:rPr>
                <w:rFonts w:ascii="宋体" w:eastAsia="宋体" w:hint="eastAsia"/>
                <w:sz w:val="18"/>
              </w:rPr>
              <w:t>逆转录</w:t>
            </w:r>
          </w:p>
        </w:tc>
        <w:tc>
          <w:tcPr>
            <w:tcW w:w="1020" w:type="dxa"/>
          </w:tcPr>
          <w:p>
            <w:pPr>
              <w:pStyle w:val="TableParagraph"/>
              <w:spacing w:line="205" w:lineRule="exact" w:before="64"/>
              <w:ind w:left="330"/>
              <w:jc w:val="left"/>
              <w:rPr>
                <w:sz w:val="18"/>
              </w:rPr>
            </w:pPr>
            <w:r>
              <w:rPr>
                <w:sz w:val="18"/>
              </w:rPr>
              <w:t>50℃</w:t>
            </w:r>
          </w:p>
        </w:tc>
        <w:tc>
          <w:tcPr>
            <w:tcW w:w="1164" w:type="dxa"/>
          </w:tcPr>
          <w:p>
            <w:pPr>
              <w:pStyle w:val="TableParagraph"/>
              <w:spacing w:line="217" w:lineRule="exact" w:before="53"/>
              <w:ind w:left="269" w:right="260"/>
              <w:rPr>
                <w:rFonts w:ascii="宋体" w:eastAsia="宋体" w:hint="eastAsia"/>
                <w:sz w:val="18"/>
              </w:rPr>
            </w:pPr>
            <w:r>
              <w:rPr>
                <w:sz w:val="18"/>
              </w:rPr>
              <w:t>30 </w:t>
            </w:r>
            <w:r>
              <w:rPr>
                <w:rFonts w:ascii="宋体" w:eastAsia="宋体" w:hint="eastAsia"/>
                <w:sz w:val="18"/>
              </w:rPr>
              <w:t>分钟</w:t>
            </w:r>
          </w:p>
        </w:tc>
        <w:tc>
          <w:tcPr>
            <w:tcW w:w="780" w:type="dxa"/>
          </w:tcPr>
          <w:p>
            <w:pPr>
              <w:pStyle w:val="TableParagraph"/>
              <w:spacing w:line="205" w:lineRule="exact" w:before="64"/>
              <w:ind w:left="10"/>
              <w:rPr>
                <w:sz w:val="18"/>
              </w:rPr>
            </w:pPr>
            <w:r>
              <w:rPr>
                <w:sz w:val="18"/>
              </w:rPr>
              <w:t>1</w:t>
            </w:r>
          </w:p>
        </w:tc>
      </w:tr>
      <w:tr>
        <w:trPr>
          <w:trHeight w:val="290" w:hRule="atLeast"/>
        </w:trPr>
        <w:tc>
          <w:tcPr>
            <w:tcW w:w="539" w:type="dxa"/>
          </w:tcPr>
          <w:p>
            <w:pPr>
              <w:pStyle w:val="TableParagraph"/>
              <w:spacing w:line="205" w:lineRule="exact" w:before="64"/>
              <w:ind w:left="9"/>
              <w:rPr>
                <w:sz w:val="18"/>
              </w:rPr>
            </w:pPr>
            <w:r>
              <w:rPr>
                <w:sz w:val="18"/>
              </w:rPr>
              <w:t>2</w:t>
            </w:r>
          </w:p>
        </w:tc>
        <w:tc>
          <w:tcPr>
            <w:tcW w:w="2472" w:type="dxa"/>
          </w:tcPr>
          <w:p>
            <w:pPr>
              <w:pStyle w:val="TableParagraph"/>
              <w:spacing w:line="217" w:lineRule="exact" w:before="53"/>
              <w:ind w:left="315" w:right="302"/>
              <w:rPr>
                <w:rFonts w:ascii="宋体" w:eastAsia="宋体" w:hint="eastAsia"/>
                <w:sz w:val="18"/>
              </w:rPr>
            </w:pPr>
            <w:r>
              <w:rPr>
                <w:sz w:val="18"/>
              </w:rPr>
              <w:t>cDNA </w:t>
            </w:r>
            <w:r>
              <w:rPr>
                <w:rFonts w:ascii="宋体" w:eastAsia="宋体" w:hint="eastAsia"/>
                <w:sz w:val="18"/>
              </w:rPr>
              <w:t>预变性</w:t>
            </w:r>
          </w:p>
        </w:tc>
        <w:tc>
          <w:tcPr>
            <w:tcW w:w="1020" w:type="dxa"/>
          </w:tcPr>
          <w:p>
            <w:pPr>
              <w:pStyle w:val="TableParagraph"/>
              <w:spacing w:line="205" w:lineRule="exact" w:before="64"/>
              <w:ind w:left="330"/>
              <w:jc w:val="left"/>
              <w:rPr>
                <w:sz w:val="18"/>
              </w:rPr>
            </w:pPr>
            <w:r>
              <w:rPr>
                <w:sz w:val="18"/>
              </w:rPr>
              <w:t>95℃</w:t>
            </w:r>
          </w:p>
        </w:tc>
        <w:tc>
          <w:tcPr>
            <w:tcW w:w="1164" w:type="dxa"/>
          </w:tcPr>
          <w:p>
            <w:pPr>
              <w:pStyle w:val="TableParagraph"/>
              <w:spacing w:line="217" w:lineRule="exact" w:before="53"/>
              <w:ind w:left="269" w:right="258"/>
              <w:rPr>
                <w:rFonts w:ascii="宋体" w:eastAsia="宋体" w:hint="eastAsia"/>
                <w:sz w:val="18"/>
              </w:rPr>
            </w:pPr>
            <w:r>
              <w:rPr>
                <w:sz w:val="18"/>
              </w:rPr>
              <w:t>1 </w:t>
            </w:r>
            <w:r>
              <w:rPr>
                <w:rFonts w:ascii="宋体" w:eastAsia="宋体" w:hint="eastAsia"/>
                <w:sz w:val="18"/>
              </w:rPr>
              <w:t>分钟</w:t>
            </w:r>
          </w:p>
        </w:tc>
        <w:tc>
          <w:tcPr>
            <w:tcW w:w="780" w:type="dxa"/>
          </w:tcPr>
          <w:p>
            <w:pPr>
              <w:pStyle w:val="TableParagraph"/>
              <w:spacing w:line="205" w:lineRule="exact" w:before="64"/>
              <w:ind w:left="10"/>
              <w:rPr>
                <w:sz w:val="18"/>
              </w:rPr>
            </w:pPr>
            <w:r>
              <w:rPr>
                <w:sz w:val="18"/>
              </w:rPr>
              <w:t>1</w:t>
            </w:r>
          </w:p>
        </w:tc>
      </w:tr>
      <w:tr>
        <w:trPr>
          <w:trHeight w:val="290" w:hRule="atLeast"/>
        </w:trPr>
        <w:tc>
          <w:tcPr>
            <w:tcW w:w="539" w:type="dxa"/>
            <w:vMerge w:val="restart"/>
          </w:tcPr>
          <w:p>
            <w:pPr>
              <w:pStyle w:val="TableParagraph"/>
              <w:spacing w:before="8"/>
              <w:jc w:val="left"/>
              <w:rPr>
                <w:rFonts w:ascii="宋体"/>
                <w:sz w:val="16"/>
              </w:rPr>
            </w:pPr>
          </w:p>
          <w:p>
            <w:pPr>
              <w:pStyle w:val="TableParagraph"/>
              <w:ind w:left="9"/>
              <w:rPr>
                <w:sz w:val="18"/>
              </w:rPr>
            </w:pPr>
            <w:r>
              <w:rPr>
                <w:sz w:val="18"/>
              </w:rPr>
              <w:t>3</w:t>
            </w:r>
          </w:p>
        </w:tc>
        <w:tc>
          <w:tcPr>
            <w:tcW w:w="2472" w:type="dxa"/>
          </w:tcPr>
          <w:p>
            <w:pPr>
              <w:pStyle w:val="TableParagraph"/>
              <w:spacing w:line="217" w:lineRule="exact" w:before="53"/>
              <w:ind w:left="315" w:right="304"/>
              <w:rPr>
                <w:rFonts w:ascii="宋体" w:eastAsia="宋体" w:hint="eastAsia"/>
                <w:sz w:val="18"/>
              </w:rPr>
            </w:pPr>
            <w:r>
              <w:rPr>
                <w:rFonts w:ascii="宋体" w:eastAsia="宋体" w:hint="eastAsia"/>
                <w:sz w:val="18"/>
              </w:rPr>
              <w:t>变性</w:t>
            </w:r>
          </w:p>
        </w:tc>
        <w:tc>
          <w:tcPr>
            <w:tcW w:w="1020" w:type="dxa"/>
          </w:tcPr>
          <w:p>
            <w:pPr>
              <w:pStyle w:val="TableParagraph"/>
              <w:spacing w:line="205" w:lineRule="exact" w:before="64"/>
              <w:ind w:left="330"/>
              <w:jc w:val="left"/>
              <w:rPr>
                <w:sz w:val="18"/>
              </w:rPr>
            </w:pPr>
            <w:r>
              <w:rPr>
                <w:sz w:val="18"/>
              </w:rPr>
              <w:t>95℃</w:t>
            </w:r>
          </w:p>
        </w:tc>
        <w:tc>
          <w:tcPr>
            <w:tcW w:w="1164" w:type="dxa"/>
          </w:tcPr>
          <w:p>
            <w:pPr>
              <w:pStyle w:val="TableParagraph"/>
              <w:spacing w:line="217" w:lineRule="exact" w:before="53"/>
              <w:ind w:left="269" w:right="258"/>
              <w:rPr>
                <w:rFonts w:ascii="宋体" w:eastAsia="宋体" w:hint="eastAsia"/>
                <w:sz w:val="18"/>
              </w:rPr>
            </w:pPr>
            <w:r>
              <w:rPr>
                <w:sz w:val="18"/>
              </w:rPr>
              <w:t>15 </w:t>
            </w:r>
            <w:r>
              <w:rPr>
                <w:rFonts w:ascii="宋体" w:eastAsia="宋体" w:hint="eastAsia"/>
                <w:sz w:val="18"/>
              </w:rPr>
              <w:t>秒</w:t>
            </w:r>
          </w:p>
        </w:tc>
        <w:tc>
          <w:tcPr>
            <w:tcW w:w="780" w:type="dxa"/>
            <w:vMerge w:val="restart"/>
          </w:tcPr>
          <w:p>
            <w:pPr>
              <w:pStyle w:val="TableParagraph"/>
              <w:spacing w:before="8"/>
              <w:jc w:val="left"/>
              <w:rPr>
                <w:rFonts w:ascii="宋体"/>
                <w:sz w:val="16"/>
              </w:rPr>
            </w:pPr>
          </w:p>
          <w:p>
            <w:pPr>
              <w:pStyle w:val="TableParagraph"/>
              <w:ind w:left="99" w:right="87"/>
              <w:rPr>
                <w:sz w:val="18"/>
              </w:rPr>
            </w:pPr>
            <w:r>
              <w:rPr>
                <w:sz w:val="18"/>
              </w:rPr>
              <w:t>45</w:t>
            </w:r>
          </w:p>
        </w:tc>
      </w:tr>
      <w:tr>
        <w:trPr>
          <w:trHeight w:val="290" w:hRule="atLeast"/>
        </w:trPr>
        <w:tc>
          <w:tcPr>
            <w:tcW w:w="539" w:type="dxa"/>
            <w:vMerge/>
            <w:tcBorders>
              <w:top w:val="nil"/>
            </w:tcBorders>
          </w:tcPr>
          <w:p>
            <w:pPr>
              <w:rPr>
                <w:sz w:val="2"/>
                <w:szCs w:val="2"/>
              </w:rPr>
            </w:pPr>
          </w:p>
        </w:tc>
        <w:tc>
          <w:tcPr>
            <w:tcW w:w="2472" w:type="dxa"/>
          </w:tcPr>
          <w:p>
            <w:pPr>
              <w:pStyle w:val="TableParagraph"/>
              <w:spacing w:line="217" w:lineRule="exact" w:before="53"/>
              <w:ind w:left="315" w:right="306"/>
              <w:rPr>
                <w:rFonts w:ascii="宋体" w:eastAsia="宋体" w:hint="eastAsia"/>
                <w:sz w:val="18"/>
              </w:rPr>
            </w:pPr>
            <w:r>
              <w:rPr>
                <w:rFonts w:ascii="宋体" w:eastAsia="宋体" w:hint="eastAsia"/>
                <w:sz w:val="18"/>
              </w:rPr>
              <w:t>退火，延伸及荧光采集</w:t>
            </w:r>
          </w:p>
        </w:tc>
        <w:tc>
          <w:tcPr>
            <w:tcW w:w="1020" w:type="dxa"/>
          </w:tcPr>
          <w:p>
            <w:pPr>
              <w:pStyle w:val="TableParagraph"/>
              <w:spacing w:line="205" w:lineRule="exact" w:before="64"/>
              <w:ind w:left="330"/>
              <w:jc w:val="left"/>
              <w:rPr>
                <w:sz w:val="18"/>
              </w:rPr>
            </w:pPr>
            <w:r>
              <w:rPr>
                <w:sz w:val="18"/>
              </w:rPr>
              <w:t>60℃</w:t>
            </w:r>
          </w:p>
        </w:tc>
        <w:tc>
          <w:tcPr>
            <w:tcW w:w="1164" w:type="dxa"/>
          </w:tcPr>
          <w:p>
            <w:pPr>
              <w:pStyle w:val="TableParagraph"/>
              <w:spacing w:line="217" w:lineRule="exact" w:before="53"/>
              <w:ind w:left="269" w:right="258"/>
              <w:rPr>
                <w:rFonts w:ascii="宋体" w:eastAsia="宋体" w:hint="eastAsia"/>
                <w:sz w:val="18"/>
              </w:rPr>
            </w:pPr>
            <w:r>
              <w:rPr>
                <w:sz w:val="18"/>
              </w:rPr>
              <w:t>30 </w:t>
            </w:r>
            <w:r>
              <w:rPr>
                <w:rFonts w:ascii="宋体" w:eastAsia="宋体" w:hint="eastAsia"/>
                <w:sz w:val="18"/>
              </w:rPr>
              <w:t>秒</w:t>
            </w:r>
          </w:p>
        </w:tc>
        <w:tc>
          <w:tcPr>
            <w:tcW w:w="780" w:type="dxa"/>
            <w:vMerge/>
            <w:tcBorders>
              <w:top w:val="nil"/>
            </w:tcBorders>
          </w:tcPr>
          <w:p>
            <w:pPr>
              <w:rPr>
                <w:sz w:val="2"/>
                <w:szCs w:val="2"/>
              </w:rPr>
            </w:pPr>
          </w:p>
        </w:tc>
      </w:tr>
      <w:tr>
        <w:trPr>
          <w:trHeight w:val="290" w:hRule="atLeast"/>
        </w:trPr>
        <w:tc>
          <w:tcPr>
            <w:tcW w:w="539" w:type="dxa"/>
          </w:tcPr>
          <w:p>
            <w:pPr>
              <w:pStyle w:val="TableParagraph"/>
              <w:spacing w:line="205" w:lineRule="exact" w:before="64"/>
              <w:ind w:left="9"/>
              <w:rPr>
                <w:sz w:val="18"/>
              </w:rPr>
            </w:pPr>
            <w:r>
              <w:rPr>
                <w:sz w:val="18"/>
              </w:rPr>
              <w:t>4</w:t>
            </w:r>
          </w:p>
        </w:tc>
        <w:tc>
          <w:tcPr>
            <w:tcW w:w="2472" w:type="dxa"/>
          </w:tcPr>
          <w:p>
            <w:pPr>
              <w:pStyle w:val="TableParagraph"/>
              <w:spacing w:line="217" w:lineRule="exact" w:before="53"/>
              <w:ind w:left="315" w:right="304"/>
              <w:rPr>
                <w:rFonts w:ascii="宋体" w:eastAsia="宋体" w:hint="eastAsia"/>
                <w:sz w:val="18"/>
              </w:rPr>
            </w:pPr>
            <w:r>
              <w:rPr>
                <w:rFonts w:ascii="宋体" w:eastAsia="宋体" w:hint="eastAsia"/>
                <w:sz w:val="18"/>
              </w:rPr>
              <w:t>仪器冷却</w:t>
            </w:r>
          </w:p>
        </w:tc>
        <w:tc>
          <w:tcPr>
            <w:tcW w:w="1020" w:type="dxa"/>
          </w:tcPr>
          <w:p>
            <w:pPr>
              <w:pStyle w:val="TableParagraph"/>
              <w:spacing w:line="205" w:lineRule="exact" w:before="64"/>
              <w:ind w:left="330"/>
              <w:jc w:val="left"/>
              <w:rPr>
                <w:sz w:val="18"/>
              </w:rPr>
            </w:pPr>
            <w:r>
              <w:rPr>
                <w:sz w:val="18"/>
              </w:rPr>
              <w:t>25℃</w:t>
            </w:r>
          </w:p>
        </w:tc>
        <w:tc>
          <w:tcPr>
            <w:tcW w:w="1164" w:type="dxa"/>
          </w:tcPr>
          <w:p>
            <w:pPr>
              <w:pStyle w:val="TableParagraph"/>
              <w:spacing w:line="217" w:lineRule="exact" w:before="53"/>
              <w:ind w:left="269" w:right="258"/>
              <w:rPr>
                <w:rFonts w:ascii="宋体" w:eastAsia="宋体" w:hint="eastAsia"/>
                <w:sz w:val="18"/>
              </w:rPr>
            </w:pPr>
            <w:r>
              <w:rPr>
                <w:sz w:val="18"/>
              </w:rPr>
              <w:t>10 </w:t>
            </w:r>
            <w:r>
              <w:rPr>
                <w:rFonts w:ascii="宋体" w:eastAsia="宋体" w:hint="eastAsia"/>
                <w:sz w:val="18"/>
              </w:rPr>
              <w:t>秒</w:t>
            </w:r>
          </w:p>
        </w:tc>
        <w:tc>
          <w:tcPr>
            <w:tcW w:w="780" w:type="dxa"/>
          </w:tcPr>
          <w:p>
            <w:pPr>
              <w:pStyle w:val="TableParagraph"/>
              <w:spacing w:line="205" w:lineRule="exact" w:before="64"/>
              <w:ind w:left="10"/>
              <w:rPr>
                <w:sz w:val="18"/>
              </w:rPr>
            </w:pPr>
            <w:r>
              <w:rPr>
                <w:sz w:val="18"/>
              </w:rPr>
              <w:t>1</w:t>
            </w:r>
          </w:p>
        </w:tc>
      </w:tr>
    </w:tbl>
    <w:p>
      <w:pPr>
        <w:pStyle w:val="BodyText"/>
      </w:pPr>
      <w:r>
        <w:rPr/>
        <w:t>设置完毕，保存文件，运行反应程序。</w:t>
      </w:r>
    </w:p>
    <w:p>
      <w:pPr>
        <w:pStyle w:val="Heading1"/>
        <w:numPr>
          <w:ilvl w:val="0"/>
          <w:numId w:val="2"/>
        </w:numPr>
        <w:tabs>
          <w:tab w:pos="295" w:val="left" w:leader="none"/>
        </w:tabs>
        <w:spacing w:line="240" w:lineRule="auto" w:before="60" w:after="0"/>
        <w:ind w:left="294" w:right="0" w:hanging="176"/>
        <w:jc w:val="left"/>
      </w:pPr>
      <w:r>
        <w:rPr>
          <w:spacing w:val="-3"/>
        </w:rPr>
        <w:t>核酸检测分析仪</w:t>
      </w:r>
      <w:r>
        <w:rPr/>
        <w:t>（</w:t>
      </w:r>
      <w:r>
        <w:rPr>
          <w:rFonts w:ascii="Times New Roman" w:eastAsia="Times New Roman"/>
        </w:rPr>
        <w:t>S-Q31A</w:t>
      </w:r>
      <w:r>
        <w:rPr/>
        <w:t>）参照以下步骤进行处理：</w:t>
      </w:r>
    </w:p>
    <w:p>
      <w:pPr>
        <w:pStyle w:val="ListParagraph"/>
        <w:numPr>
          <w:ilvl w:val="1"/>
          <w:numId w:val="2"/>
        </w:numPr>
        <w:tabs>
          <w:tab w:pos="347" w:val="left" w:leader="none"/>
        </w:tabs>
        <w:spacing w:line="240" w:lineRule="auto" w:before="59" w:after="0"/>
        <w:ind w:left="346" w:right="0" w:hanging="228"/>
        <w:jc w:val="left"/>
        <w:rPr>
          <w:rFonts w:ascii="Times New Roman" w:eastAsia="Times New Roman"/>
          <w:sz w:val="16"/>
        </w:rPr>
      </w:pPr>
      <w:r>
        <w:rPr>
          <w:sz w:val="18"/>
        </w:rPr>
        <w:t>试剂条准备</w:t>
      </w:r>
    </w:p>
    <w:p>
      <w:pPr>
        <w:pStyle w:val="ListParagraph"/>
        <w:numPr>
          <w:ilvl w:val="2"/>
          <w:numId w:val="2"/>
        </w:numPr>
        <w:tabs>
          <w:tab w:pos="482" w:val="left" w:leader="none"/>
        </w:tabs>
        <w:spacing w:line="240" w:lineRule="auto" w:before="60" w:after="0"/>
        <w:ind w:left="481" w:right="0" w:hanging="363"/>
        <w:jc w:val="left"/>
        <w:rPr>
          <w:sz w:val="18"/>
        </w:rPr>
      </w:pPr>
      <w:r>
        <w:rPr>
          <w:sz w:val="18"/>
        </w:rPr>
        <w:t>按图</w:t>
      </w:r>
      <w:r>
        <w:rPr>
          <w:rFonts w:ascii="Times New Roman" w:eastAsia="Times New Roman"/>
          <w:sz w:val="18"/>
        </w:rPr>
        <w:t>1</w:t>
      </w:r>
      <w:r>
        <w:rPr>
          <w:sz w:val="18"/>
        </w:rPr>
        <w:t>所示将盒中各组分以及圣湘生物科技股份有限公司的样本释放剂加入至四联管中；</w:t>
      </w:r>
    </w:p>
    <w:p>
      <w:pPr>
        <w:pStyle w:val="BodyText"/>
        <w:spacing w:before="12"/>
        <w:ind w:left="0"/>
        <w:rPr>
          <w:sz w:val="10"/>
        </w:rPr>
      </w:pPr>
      <w:r>
        <w:rPr/>
        <w:drawing>
          <wp:anchor distT="0" distB="0" distL="0" distR="0" allowOverlap="1" layoutInCell="1" locked="0" behindDoc="0" simplePos="0" relativeHeight="0">
            <wp:simplePos x="0" y="0"/>
            <wp:positionH relativeFrom="page">
              <wp:posOffset>10073640</wp:posOffset>
            </wp:positionH>
            <wp:positionV relativeFrom="paragraph">
              <wp:posOffset>113892</wp:posOffset>
            </wp:positionV>
            <wp:extent cx="1405420" cy="329184"/>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7" cstate="print"/>
                    <a:stretch>
                      <a:fillRect/>
                    </a:stretch>
                  </pic:blipFill>
                  <pic:spPr>
                    <a:xfrm>
                      <a:off x="0" y="0"/>
                      <a:ext cx="1405420" cy="329184"/>
                    </a:xfrm>
                    <a:prstGeom prst="rect">
                      <a:avLst/>
                    </a:prstGeom>
                  </pic:spPr>
                </pic:pic>
              </a:graphicData>
            </a:graphic>
          </wp:anchor>
        </w:drawing>
      </w:r>
    </w:p>
    <w:p>
      <w:pPr>
        <w:spacing w:after="0"/>
        <w:rPr>
          <w:sz w:val="10"/>
        </w:rPr>
        <w:sectPr>
          <w:type w:val="continuous"/>
          <w:pgSz w:w="23760" w:h="16790" w:orient="landscape"/>
          <w:pgMar w:top="1320" w:bottom="1120" w:left="860" w:right="880"/>
          <w:cols w:num="2" w:equalWidth="0">
            <w:col w:w="11070" w:space="186"/>
            <w:col w:w="10764"/>
          </w:cols>
        </w:sectPr>
      </w:pPr>
    </w:p>
    <w:p>
      <w:pPr>
        <w:pStyle w:val="Heading1"/>
        <w:spacing w:line="228" w:lineRule="exact" w:before="0"/>
      </w:pPr>
      <w:r>
        <w:rPr/>
        <w:t>【样本要求】</w:t>
      </w:r>
    </w:p>
    <w:p>
      <w:pPr>
        <w:pStyle w:val="ListParagraph"/>
        <w:numPr>
          <w:ilvl w:val="0"/>
          <w:numId w:val="4"/>
        </w:numPr>
        <w:tabs>
          <w:tab w:pos="256" w:val="left" w:leader="none"/>
        </w:tabs>
        <w:spacing w:line="240" w:lineRule="auto" w:before="59" w:after="0"/>
        <w:ind w:left="256" w:right="0" w:hanging="137"/>
        <w:jc w:val="left"/>
        <w:rPr>
          <w:sz w:val="18"/>
        </w:rPr>
      </w:pPr>
      <w:r>
        <w:rPr>
          <w:sz w:val="18"/>
        </w:rPr>
        <w:t>适用样本类型：咽拭子、肺泡灌洗液。</w:t>
      </w:r>
    </w:p>
    <w:p>
      <w:pPr>
        <w:pStyle w:val="ListParagraph"/>
        <w:numPr>
          <w:ilvl w:val="0"/>
          <w:numId w:val="4"/>
        </w:numPr>
        <w:tabs>
          <w:tab w:pos="256" w:val="left" w:leader="none"/>
        </w:tabs>
        <w:spacing w:line="302" w:lineRule="auto" w:before="60" w:after="0"/>
        <w:ind w:left="119" w:right="38" w:firstLine="0"/>
        <w:jc w:val="left"/>
        <w:rPr>
          <w:sz w:val="18"/>
        </w:rPr>
      </w:pPr>
      <w:r>
        <w:rPr>
          <w:spacing w:val="-1"/>
          <w:sz w:val="18"/>
        </w:rPr>
        <w:t>样本采集：推荐按照《新型冠状病毒肺炎实验室检测技术指南》</w:t>
      </w:r>
      <w:r>
        <w:rPr>
          <w:rFonts w:ascii="Times New Roman" w:hAnsi="Times New Roman" w:eastAsia="Times New Roman"/>
          <w:sz w:val="18"/>
        </w:rPr>
        <w:t>“</w:t>
      </w:r>
      <w:r>
        <w:rPr>
          <w:sz w:val="18"/>
        </w:rPr>
        <w:t>标本采集方法</w:t>
      </w:r>
      <w:r>
        <w:rPr>
          <w:rFonts w:ascii="Times New Roman" w:hAnsi="Times New Roman" w:eastAsia="Times New Roman"/>
          <w:sz w:val="18"/>
        </w:rPr>
        <w:t>”</w:t>
      </w:r>
      <w:r>
        <w:rPr>
          <w:sz w:val="18"/>
        </w:rPr>
        <w:t>相关规定执行。经验证，可选择尼龙采样头</w:t>
      </w:r>
      <w:r>
        <w:rPr>
          <w:rFonts w:ascii="Times New Roman" w:hAnsi="Times New Roman" w:eastAsia="Times New Roman"/>
          <w:sz w:val="18"/>
        </w:rPr>
        <w:t>+ABS</w:t>
      </w:r>
      <w:r>
        <w:rPr>
          <w:rFonts w:ascii="Times New Roman" w:hAnsi="Times New Roman" w:eastAsia="Times New Roman"/>
          <w:spacing w:val="7"/>
          <w:sz w:val="18"/>
        </w:rPr>
        <w:t> </w:t>
      </w:r>
      <w:r>
        <w:rPr>
          <w:sz w:val="18"/>
        </w:rPr>
        <w:t>采样杆材质的采样拭子进行样本采集。样本采集后，可置入下表所示保存液进行保存：</w:t>
      </w:r>
    </w:p>
    <w:p>
      <w:pPr>
        <w:tabs>
          <w:tab w:pos="549" w:val="left" w:leader="none"/>
          <w:tab w:pos="1101" w:val="left" w:leader="none"/>
          <w:tab w:pos="1651" w:val="left" w:leader="none"/>
        </w:tabs>
        <w:spacing w:before="53"/>
        <w:ind w:left="0" w:right="1115" w:firstLine="0"/>
        <w:jc w:val="center"/>
        <w:rPr>
          <w:sz w:val="22"/>
        </w:rPr>
      </w:pPr>
      <w:r>
        <w:rPr/>
        <w:br w:type="column"/>
      </w:r>
      <w:r>
        <w:rPr>
          <w:sz w:val="22"/>
        </w:rPr>
        <w:t>A</w:t>
        <w:tab/>
        <w:t>B</w:t>
        <w:tab/>
        <w:t>C</w:t>
        <w:tab/>
        <w:t>D</w:t>
      </w:r>
    </w:p>
    <w:p>
      <w:pPr>
        <w:pStyle w:val="BodyText"/>
        <w:spacing w:before="130"/>
        <w:ind w:left="0" w:right="5287"/>
        <w:jc w:val="right"/>
      </w:pPr>
      <w:r>
        <w:rPr/>
        <w:t>图</w:t>
      </w:r>
      <w:r>
        <w:rPr>
          <w:rFonts w:ascii="Times New Roman" w:eastAsia="Times New Roman"/>
        </w:rPr>
        <w:t>1 </w:t>
      </w:r>
      <w:r>
        <w:rPr/>
        <w:t>四联管示意图</w:t>
      </w:r>
    </w:p>
    <w:p>
      <w:pPr>
        <w:pStyle w:val="ListParagraph"/>
        <w:numPr>
          <w:ilvl w:val="0"/>
          <w:numId w:val="5"/>
        </w:numPr>
        <w:tabs>
          <w:tab w:pos="273" w:val="left" w:leader="none"/>
        </w:tabs>
        <w:spacing w:line="240" w:lineRule="auto" w:before="62" w:after="0"/>
        <w:ind w:left="391" w:right="5355" w:hanging="392"/>
        <w:jc w:val="right"/>
        <w:rPr>
          <w:sz w:val="18"/>
        </w:rPr>
      </w:pPr>
      <w:r>
        <w:rPr>
          <w:spacing w:val="-1"/>
          <w:sz w:val="18"/>
        </w:rPr>
        <w:t>加入</w:t>
      </w:r>
      <w:r>
        <w:rPr>
          <w:rFonts w:ascii="Times New Roman" w:hAnsi="Times New Roman" w:eastAsia="Times New Roman"/>
          <w:spacing w:val="-1"/>
          <w:sz w:val="18"/>
        </w:rPr>
        <w:t>20μL</w:t>
      </w:r>
      <w:r>
        <w:rPr>
          <w:sz w:val="18"/>
        </w:rPr>
        <w:t>待测样本、阳性对照或者阴性对照至四联管中的</w:t>
      </w:r>
      <w:r>
        <w:rPr>
          <w:rFonts w:ascii="Times New Roman" w:hAnsi="Times New Roman" w:eastAsia="Times New Roman"/>
          <w:sz w:val="18"/>
        </w:rPr>
        <w:t>A</w:t>
      </w:r>
      <w:r>
        <w:rPr>
          <w:sz w:val="18"/>
        </w:rPr>
        <w:t>孔；</w:t>
      </w:r>
    </w:p>
    <w:p>
      <w:pPr>
        <w:pStyle w:val="ListParagraph"/>
        <w:numPr>
          <w:ilvl w:val="0"/>
          <w:numId w:val="5"/>
        </w:numPr>
        <w:tabs>
          <w:tab w:pos="392" w:val="left" w:leader="none"/>
        </w:tabs>
        <w:spacing w:line="240" w:lineRule="auto" w:before="57" w:after="0"/>
        <w:ind w:left="391" w:right="1048" w:hanging="392"/>
        <w:jc w:val="left"/>
        <w:rPr>
          <w:sz w:val="18"/>
        </w:rPr>
      </w:pPr>
      <w:r>
        <w:rPr>
          <w:sz w:val="18"/>
        </w:rPr>
        <w:t>加入</w:t>
      </w:r>
      <w:r>
        <w:rPr>
          <w:rFonts w:ascii="Times New Roman" w:hAnsi="Times New Roman" w:eastAsia="Times New Roman"/>
          <w:sz w:val="18"/>
        </w:rPr>
        <w:t>20μL</w:t>
      </w:r>
      <w:r>
        <w:rPr>
          <w:sz w:val="18"/>
        </w:rPr>
        <w:t>样本释放剂至四联管</w:t>
      </w:r>
      <w:r>
        <w:rPr>
          <w:rFonts w:ascii="Times New Roman" w:hAnsi="Times New Roman" w:eastAsia="Times New Roman"/>
          <w:sz w:val="18"/>
        </w:rPr>
        <w:t>C</w:t>
      </w:r>
      <w:r>
        <w:rPr>
          <w:sz w:val="18"/>
        </w:rPr>
        <w:t>孔，加入</w:t>
      </w:r>
      <w:r>
        <w:rPr>
          <w:rFonts w:ascii="Times New Roman" w:hAnsi="Times New Roman" w:eastAsia="Times New Roman"/>
          <w:sz w:val="18"/>
        </w:rPr>
        <w:t>26μL</w:t>
      </w:r>
      <w:r>
        <w:rPr>
          <w:rFonts w:ascii="Times New Roman" w:hAnsi="Times New Roman" w:eastAsia="Times New Roman"/>
          <w:spacing w:val="-7"/>
          <w:sz w:val="18"/>
        </w:rPr>
        <w:t> </w:t>
      </w:r>
      <w:r>
        <w:rPr>
          <w:rFonts w:ascii="Times New Roman" w:hAnsi="Times New Roman" w:eastAsia="Times New Roman"/>
          <w:sz w:val="18"/>
        </w:rPr>
        <w:t>2019-nCoV-PCR-</w:t>
      </w:r>
      <w:r>
        <w:rPr>
          <w:sz w:val="18"/>
        </w:rPr>
        <w:t>反应液和</w:t>
      </w:r>
      <w:r>
        <w:rPr>
          <w:rFonts w:ascii="Times New Roman" w:hAnsi="Times New Roman" w:eastAsia="Times New Roman"/>
          <w:sz w:val="18"/>
        </w:rPr>
        <w:t>4μL2019-nCoV-PCR-</w:t>
      </w:r>
      <w:r>
        <w:rPr>
          <w:sz w:val="18"/>
        </w:rPr>
        <w:t>酶混合液至四联管</w:t>
      </w:r>
      <w:r>
        <w:rPr>
          <w:rFonts w:ascii="Times New Roman" w:hAnsi="Times New Roman" w:eastAsia="Times New Roman"/>
          <w:sz w:val="18"/>
        </w:rPr>
        <w:t>D</w:t>
      </w:r>
      <w:r>
        <w:rPr>
          <w:sz w:val="18"/>
        </w:rPr>
        <w:t>孔；</w:t>
      </w:r>
    </w:p>
    <w:p>
      <w:pPr>
        <w:pStyle w:val="ListParagraph"/>
        <w:numPr>
          <w:ilvl w:val="2"/>
          <w:numId w:val="2"/>
        </w:numPr>
        <w:tabs>
          <w:tab w:pos="482" w:val="left" w:leader="none"/>
        </w:tabs>
        <w:spacing w:line="240" w:lineRule="auto" w:before="60" w:after="0"/>
        <w:ind w:left="481" w:right="0" w:hanging="363"/>
        <w:jc w:val="left"/>
        <w:rPr>
          <w:sz w:val="18"/>
        </w:rPr>
      </w:pPr>
      <w:r>
        <w:rPr>
          <w:sz w:val="18"/>
        </w:rPr>
        <w:t>将四联管按照</w:t>
      </w:r>
      <w:r>
        <w:rPr>
          <w:rFonts w:ascii="Times New Roman" w:eastAsia="Times New Roman"/>
          <w:sz w:val="18"/>
        </w:rPr>
        <w:t>A</w:t>
      </w:r>
      <w:r>
        <w:rPr>
          <w:sz w:val="18"/>
        </w:rPr>
        <w:t>至</w:t>
      </w:r>
      <w:r>
        <w:rPr>
          <w:rFonts w:ascii="Times New Roman" w:eastAsia="Times New Roman"/>
          <w:sz w:val="18"/>
        </w:rPr>
        <w:t>D</w:t>
      </w:r>
      <w:r>
        <w:rPr>
          <w:sz w:val="18"/>
        </w:rPr>
        <w:t>方向放在仪器试剂条上的对应孔位；</w:t>
      </w:r>
    </w:p>
    <w:p>
      <w:pPr>
        <w:spacing w:after="0" w:line="240" w:lineRule="auto"/>
        <w:jc w:val="left"/>
        <w:rPr>
          <w:sz w:val="18"/>
        </w:rPr>
        <w:sectPr>
          <w:type w:val="continuous"/>
          <w:pgSz w:w="23760" w:h="16790" w:orient="landscape"/>
          <w:pgMar w:top="1320" w:bottom="1120" w:left="860" w:right="880"/>
          <w:cols w:num="2" w:equalWidth="0">
            <w:col w:w="11049" w:space="207"/>
            <w:col w:w="10764"/>
          </w:cols>
        </w:sectPr>
      </w:pPr>
    </w:p>
    <w:p>
      <w:pPr>
        <w:pStyle w:val="ListParagraph"/>
        <w:numPr>
          <w:ilvl w:val="2"/>
          <w:numId w:val="2"/>
        </w:numPr>
        <w:tabs>
          <w:tab w:pos="482" w:val="left" w:leader="none"/>
        </w:tabs>
        <w:spacing w:line="240" w:lineRule="auto" w:before="98" w:after="0"/>
        <w:ind w:left="481" w:right="0" w:hanging="363"/>
        <w:jc w:val="left"/>
        <w:rPr>
          <w:sz w:val="18"/>
        </w:rPr>
      </w:pPr>
      <w:r>
        <w:rPr>
          <w:sz w:val="18"/>
        </w:rPr>
        <w:t>取出</w:t>
      </w:r>
      <w:r>
        <w:rPr>
          <w:rFonts w:ascii="Times New Roman" w:eastAsia="Times New Roman"/>
          <w:sz w:val="18"/>
        </w:rPr>
        <w:t>PCR</w:t>
      </w:r>
      <w:r>
        <w:rPr>
          <w:sz w:val="18"/>
        </w:rPr>
        <w:t>反应管放在试剂条的</w:t>
      </w:r>
      <w:r>
        <w:rPr>
          <w:rFonts w:ascii="Times New Roman" w:eastAsia="Times New Roman"/>
          <w:sz w:val="18"/>
        </w:rPr>
        <w:t>PCR</w:t>
      </w:r>
      <w:r>
        <w:rPr>
          <w:sz w:val="18"/>
        </w:rPr>
        <w:t>孔内，取出</w:t>
      </w:r>
      <w:r>
        <w:rPr>
          <w:rFonts w:ascii="Times New Roman" w:eastAsia="Times New Roman"/>
          <w:sz w:val="18"/>
        </w:rPr>
        <w:t>Tips</w:t>
      </w:r>
      <w:r>
        <w:rPr>
          <w:sz w:val="18"/>
        </w:rPr>
        <w:t>放在试剂条的</w:t>
      </w:r>
      <w:r>
        <w:rPr>
          <w:rFonts w:ascii="Times New Roman" w:eastAsia="Times New Roman"/>
          <w:sz w:val="18"/>
        </w:rPr>
        <w:t>H</w:t>
      </w:r>
      <w:r>
        <w:rPr>
          <w:sz w:val="18"/>
        </w:rPr>
        <w:t>孔内。</w:t>
      </w:r>
    </w:p>
    <w:p>
      <w:pPr>
        <w:pStyle w:val="ListParagraph"/>
        <w:numPr>
          <w:ilvl w:val="1"/>
          <w:numId w:val="2"/>
        </w:numPr>
        <w:tabs>
          <w:tab w:pos="347" w:val="left" w:leader="none"/>
        </w:tabs>
        <w:spacing w:line="240" w:lineRule="auto" w:before="58" w:after="0"/>
        <w:ind w:left="346" w:right="0" w:hanging="228"/>
        <w:jc w:val="left"/>
        <w:rPr>
          <w:rFonts w:ascii="Times New Roman" w:eastAsia="Times New Roman"/>
          <w:sz w:val="16"/>
        </w:rPr>
      </w:pPr>
      <w:r>
        <w:rPr>
          <w:sz w:val="18"/>
        </w:rPr>
        <w:t>检测流程</w:t>
      </w:r>
    </w:p>
    <w:p>
      <w:pPr>
        <w:pStyle w:val="ListParagraph"/>
        <w:numPr>
          <w:ilvl w:val="2"/>
          <w:numId w:val="2"/>
        </w:numPr>
        <w:tabs>
          <w:tab w:pos="482" w:val="left" w:leader="none"/>
        </w:tabs>
        <w:spacing w:line="240" w:lineRule="auto" w:before="59" w:after="0"/>
        <w:ind w:left="481" w:right="0" w:hanging="363"/>
        <w:jc w:val="left"/>
        <w:rPr>
          <w:sz w:val="18"/>
        </w:rPr>
      </w:pPr>
      <w:r>
        <w:rPr>
          <w:sz w:val="18"/>
        </w:rPr>
        <w:t>启动</w:t>
      </w:r>
      <w:r>
        <w:rPr>
          <w:rFonts w:ascii="Times New Roman" w:eastAsia="Times New Roman"/>
          <w:sz w:val="18"/>
        </w:rPr>
        <w:t>S-Q31A</w:t>
      </w:r>
      <w:r>
        <w:rPr>
          <w:sz w:val="18"/>
        </w:rPr>
        <w:t>仪器电源，登录软件；</w:t>
      </w:r>
    </w:p>
    <w:p>
      <w:pPr>
        <w:pStyle w:val="ListParagraph"/>
        <w:numPr>
          <w:ilvl w:val="2"/>
          <w:numId w:val="2"/>
        </w:numPr>
        <w:tabs>
          <w:tab w:pos="482" w:val="left" w:leader="none"/>
        </w:tabs>
        <w:spacing w:line="240" w:lineRule="auto" w:before="60" w:after="0"/>
        <w:ind w:left="481" w:right="0" w:hanging="363"/>
        <w:jc w:val="left"/>
        <w:rPr>
          <w:sz w:val="18"/>
        </w:rPr>
      </w:pPr>
      <w:r>
        <w:rPr>
          <w:sz w:val="18"/>
        </w:rPr>
        <w:t>将上述已经放入试剂、耗材的试剂条放置于</w:t>
      </w:r>
      <w:r>
        <w:rPr>
          <w:rFonts w:ascii="Times New Roman" w:eastAsia="Times New Roman"/>
          <w:sz w:val="18"/>
        </w:rPr>
        <w:t>S-Q31A</w:t>
      </w:r>
      <w:r>
        <w:rPr>
          <w:sz w:val="18"/>
        </w:rPr>
        <w:t>仪器的试剂条载架槽內；</w:t>
      </w:r>
    </w:p>
    <w:p>
      <w:pPr>
        <w:pStyle w:val="ListParagraph"/>
        <w:numPr>
          <w:ilvl w:val="2"/>
          <w:numId w:val="2"/>
        </w:numPr>
        <w:tabs>
          <w:tab w:pos="482" w:val="left" w:leader="none"/>
        </w:tabs>
        <w:spacing w:line="240" w:lineRule="auto" w:before="60" w:after="0"/>
        <w:ind w:left="481" w:right="0" w:hanging="363"/>
        <w:jc w:val="left"/>
        <w:rPr>
          <w:sz w:val="18"/>
        </w:rPr>
      </w:pPr>
      <w:r>
        <w:rPr>
          <w:sz w:val="18"/>
        </w:rPr>
        <w:t>点击</w:t>
      </w:r>
      <w:r>
        <w:rPr>
          <w:rFonts w:ascii="Times New Roman" w:hAnsi="Times New Roman" w:eastAsia="Times New Roman"/>
          <w:sz w:val="18"/>
        </w:rPr>
        <w:t>“</w:t>
      </w:r>
      <w:r>
        <w:rPr>
          <w:sz w:val="18"/>
        </w:rPr>
        <w:t>实验任务</w:t>
      </w:r>
      <w:r>
        <w:rPr>
          <w:rFonts w:ascii="Times New Roman" w:hAnsi="Times New Roman" w:eastAsia="Times New Roman"/>
          <w:sz w:val="18"/>
        </w:rPr>
        <w:t>”</w:t>
      </w:r>
      <w:r>
        <w:rPr>
          <w:sz w:val="18"/>
        </w:rPr>
        <w:t>，输入</w:t>
      </w:r>
      <w:r>
        <w:rPr>
          <w:rFonts w:ascii="Times New Roman" w:hAnsi="Times New Roman" w:eastAsia="Times New Roman"/>
          <w:sz w:val="18"/>
        </w:rPr>
        <w:t>“</w:t>
      </w:r>
      <w:r>
        <w:rPr>
          <w:sz w:val="18"/>
        </w:rPr>
        <w:t>任务名称</w:t>
      </w:r>
      <w:r>
        <w:rPr>
          <w:rFonts w:ascii="Times New Roman" w:hAnsi="Times New Roman" w:eastAsia="Times New Roman"/>
          <w:sz w:val="18"/>
        </w:rPr>
        <w:t>”</w:t>
      </w:r>
      <w:r>
        <w:rPr>
          <w:sz w:val="18"/>
        </w:rPr>
        <w:t>。在</w:t>
      </w:r>
      <w:r>
        <w:rPr>
          <w:rFonts w:ascii="Times New Roman" w:hAnsi="Times New Roman" w:eastAsia="Times New Roman"/>
          <w:sz w:val="18"/>
        </w:rPr>
        <w:t>“</w:t>
      </w:r>
      <w:r>
        <w:rPr>
          <w:sz w:val="18"/>
        </w:rPr>
        <w:t>实验项目</w:t>
      </w:r>
      <w:r>
        <w:rPr>
          <w:rFonts w:ascii="Times New Roman" w:hAnsi="Times New Roman" w:eastAsia="Times New Roman"/>
          <w:sz w:val="18"/>
        </w:rPr>
        <w:t>”</w:t>
      </w:r>
      <w:r>
        <w:rPr>
          <w:sz w:val="18"/>
        </w:rPr>
        <w:t>下拉菜单中选择</w:t>
      </w:r>
      <w:r>
        <w:rPr>
          <w:rFonts w:ascii="Times New Roman" w:hAnsi="Times New Roman" w:eastAsia="Times New Roman"/>
          <w:sz w:val="18"/>
        </w:rPr>
        <w:t>2019-nCoV</w:t>
      </w:r>
      <w:r>
        <w:rPr>
          <w:sz w:val="18"/>
        </w:rPr>
        <w:t>；</w:t>
      </w:r>
    </w:p>
    <w:p>
      <w:pPr>
        <w:pStyle w:val="ListParagraph"/>
        <w:numPr>
          <w:ilvl w:val="2"/>
          <w:numId w:val="2"/>
        </w:numPr>
        <w:tabs>
          <w:tab w:pos="482" w:val="left" w:leader="none"/>
        </w:tabs>
        <w:spacing w:line="240" w:lineRule="auto" w:before="60" w:after="0"/>
        <w:ind w:left="481" w:right="0" w:hanging="363"/>
        <w:jc w:val="left"/>
        <w:rPr>
          <w:sz w:val="18"/>
        </w:rPr>
      </w:pPr>
      <w:r>
        <w:rPr>
          <w:sz w:val="18"/>
        </w:rPr>
        <w:t>依次点击</w:t>
      </w:r>
      <w:r>
        <w:rPr>
          <w:rFonts w:ascii="Times New Roman" w:hAnsi="Times New Roman" w:eastAsia="Times New Roman"/>
          <w:sz w:val="18"/>
        </w:rPr>
        <w:t>“</w:t>
      </w:r>
      <w:r>
        <w:rPr>
          <w:sz w:val="18"/>
        </w:rPr>
        <w:t>提交</w:t>
      </w:r>
      <w:r>
        <w:rPr>
          <w:rFonts w:ascii="Times New Roman" w:hAnsi="Times New Roman" w:eastAsia="Times New Roman"/>
          <w:sz w:val="18"/>
        </w:rPr>
        <w:t>”</w:t>
      </w:r>
      <w:r>
        <w:rPr>
          <w:sz w:val="18"/>
        </w:rPr>
        <w:t>、</w:t>
      </w:r>
      <w:r>
        <w:rPr>
          <w:rFonts w:ascii="Times New Roman" w:hAnsi="Times New Roman" w:eastAsia="Times New Roman"/>
          <w:sz w:val="18"/>
        </w:rPr>
        <w:t>“</w:t>
      </w:r>
      <w:r>
        <w:rPr>
          <w:sz w:val="18"/>
        </w:rPr>
        <w:t>运行</w:t>
      </w:r>
      <w:r>
        <w:rPr>
          <w:rFonts w:ascii="Times New Roman" w:hAnsi="Times New Roman" w:eastAsia="Times New Roman"/>
          <w:sz w:val="18"/>
        </w:rPr>
        <w:t>”</w:t>
      </w:r>
      <w:r>
        <w:rPr>
          <w:sz w:val="18"/>
        </w:rPr>
        <w:t>；</w:t>
      </w:r>
    </w:p>
    <w:p>
      <w:pPr>
        <w:pStyle w:val="ListParagraph"/>
        <w:numPr>
          <w:ilvl w:val="2"/>
          <w:numId w:val="2"/>
        </w:numPr>
        <w:tabs>
          <w:tab w:pos="482" w:val="left" w:leader="none"/>
        </w:tabs>
        <w:spacing w:line="240" w:lineRule="auto" w:before="60" w:after="0"/>
        <w:ind w:left="481" w:right="0" w:hanging="363"/>
        <w:jc w:val="left"/>
        <w:rPr>
          <w:sz w:val="18"/>
        </w:rPr>
      </w:pPr>
      <w:r>
        <w:rPr>
          <w:sz w:val="18"/>
        </w:rPr>
        <w:t>待界面提示</w:t>
      </w:r>
      <w:r>
        <w:rPr>
          <w:rFonts w:ascii="Times New Roman" w:hAnsi="Times New Roman" w:eastAsia="Times New Roman"/>
          <w:sz w:val="18"/>
        </w:rPr>
        <w:t>“</w:t>
      </w:r>
      <w:r>
        <w:rPr>
          <w:sz w:val="18"/>
        </w:rPr>
        <w:t>请转移</w:t>
      </w:r>
      <w:r>
        <w:rPr>
          <w:rFonts w:ascii="Times New Roman" w:hAnsi="Times New Roman" w:eastAsia="Times New Roman"/>
          <w:sz w:val="18"/>
        </w:rPr>
        <w:t>PCR</w:t>
      </w:r>
      <w:r>
        <w:rPr>
          <w:sz w:val="18"/>
        </w:rPr>
        <w:t>反应管</w:t>
      </w:r>
      <w:r>
        <w:rPr>
          <w:rFonts w:ascii="Times New Roman" w:hAnsi="Times New Roman" w:eastAsia="Times New Roman"/>
          <w:sz w:val="18"/>
        </w:rPr>
        <w:t>”</w:t>
      </w:r>
      <w:r>
        <w:rPr>
          <w:sz w:val="18"/>
        </w:rPr>
        <w:t>后，取出</w:t>
      </w:r>
      <w:r>
        <w:rPr>
          <w:rFonts w:ascii="Times New Roman" w:hAnsi="Times New Roman" w:eastAsia="Times New Roman"/>
          <w:sz w:val="18"/>
        </w:rPr>
        <w:t>PCR</w:t>
      </w:r>
      <w:r>
        <w:rPr>
          <w:sz w:val="18"/>
        </w:rPr>
        <w:t>反应管盖好管盖，瞬时离心；</w:t>
      </w:r>
    </w:p>
    <w:p>
      <w:pPr>
        <w:pStyle w:val="ListParagraph"/>
        <w:numPr>
          <w:ilvl w:val="2"/>
          <w:numId w:val="2"/>
        </w:numPr>
        <w:tabs>
          <w:tab w:pos="482" w:val="left" w:leader="none"/>
        </w:tabs>
        <w:spacing w:line="240" w:lineRule="auto" w:before="57" w:after="0"/>
        <w:ind w:left="481" w:right="0" w:hanging="363"/>
        <w:jc w:val="left"/>
        <w:rPr>
          <w:sz w:val="18"/>
        </w:rPr>
      </w:pPr>
      <w:r>
        <w:rPr>
          <w:sz w:val="18"/>
        </w:rPr>
        <w:t>将</w:t>
      </w:r>
      <w:r>
        <w:rPr>
          <w:rFonts w:ascii="Times New Roman" w:hAnsi="Times New Roman" w:eastAsia="Times New Roman"/>
          <w:sz w:val="18"/>
        </w:rPr>
        <w:t>PCR</w:t>
      </w:r>
      <w:r>
        <w:rPr>
          <w:sz w:val="18"/>
        </w:rPr>
        <w:t>反应管插入</w:t>
      </w:r>
      <w:r>
        <w:rPr>
          <w:rFonts w:ascii="Times New Roman" w:hAnsi="Times New Roman" w:eastAsia="Times New Roman"/>
          <w:sz w:val="18"/>
        </w:rPr>
        <w:t>PCR</w:t>
      </w:r>
      <w:r>
        <w:rPr>
          <w:sz w:val="18"/>
        </w:rPr>
        <w:t>扩增模块内，盖上扩增模块外盖，点击</w:t>
      </w:r>
      <w:r>
        <w:rPr>
          <w:rFonts w:ascii="Times New Roman" w:hAnsi="Times New Roman" w:eastAsia="Times New Roman"/>
          <w:sz w:val="18"/>
        </w:rPr>
        <w:t>“</w:t>
      </w:r>
      <w:r>
        <w:rPr>
          <w:sz w:val="18"/>
        </w:rPr>
        <w:t>确定</w:t>
      </w:r>
      <w:r>
        <w:rPr>
          <w:rFonts w:ascii="Times New Roman" w:hAnsi="Times New Roman" w:eastAsia="Times New Roman"/>
          <w:sz w:val="18"/>
        </w:rPr>
        <w:t>”</w:t>
      </w:r>
      <w:r>
        <w:rPr>
          <w:sz w:val="18"/>
        </w:rPr>
        <w:t>进行扩增检测。</w:t>
      </w:r>
    </w:p>
    <w:p>
      <w:pPr>
        <w:pStyle w:val="ListParagraph"/>
        <w:numPr>
          <w:ilvl w:val="0"/>
          <w:numId w:val="2"/>
        </w:numPr>
        <w:tabs>
          <w:tab w:pos="295" w:val="left" w:leader="none"/>
        </w:tabs>
        <w:spacing w:line="240" w:lineRule="auto" w:before="60" w:after="0"/>
        <w:ind w:left="294" w:right="0" w:hanging="176"/>
        <w:jc w:val="left"/>
        <w:rPr>
          <w:sz w:val="18"/>
        </w:rPr>
      </w:pPr>
      <w:r>
        <w:rPr>
          <w:b/>
          <w:spacing w:val="-3"/>
          <w:sz w:val="18"/>
        </w:rPr>
        <w:t>结果分析</w:t>
      </w:r>
      <w:r>
        <w:rPr>
          <w:spacing w:val="-3"/>
          <w:sz w:val="18"/>
        </w:rPr>
        <w:t>（请参照仪器使用说明书进行设置</w:t>
      </w:r>
      <w:r>
        <w:rPr>
          <w:sz w:val="18"/>
        </w:rPr>
        <w:t>）</w:t>
      </w:r>
    </w:p>
    <w:p>
      <w:pPr>
        <w:pStyle w:val="BodyText"/>
        <w:spacing w:line="302" w:lineRule="auto"/>
        <w:ind w:right="470" w:firstLine="352"/>
      </w:pPr>
      <w:r>
        <w:rPr>
          <w:spacing w:val="-2"/>
        </w:rPr>
        <w:t>反应结束后自动保存结果，对检测靶标以及内标的扩增曲线分别进行分析。根据分析后图像调节</w:t>
      </w:r>
      <w:r>
        <w:rPr>
          <w:rFonts w:ascii="Times New Roman" w:hAnsi="Times New Roman" w:eastAsia="Times New Roman"/>
        </w:rPr>
        <w:t>Baseline </w:t>
      </w:r>
      <w:r>
        <w:rPr>
          <w:spacing w:val="43"/>
        </w:rPr>
        <w:t>的</w:t>
      </w:r>
      <w:r>
        <w:rPr>
          <w:rFonts w:ascii="Times New Roman" w:hAnsi="Times New Roman" w:eastAsia="Times New Roman"/>
        </w:rPr>
        <w:t>Start </w:t>
      </w:r>
      <w:r>
        <w:rPr>
          <w:spacing w:val="-3"/>
        </w:rPr>
        <w:t>值、</w:t>
      </w:r>
      <w:r>
        <w:rPr>
          <w:rFonts w:ascii="Times New Roman" w:hAnsi="Times New Roman" w:eastAsia="Times New Roman"/>
        </w:rPr>
        <w:t>End </w:t>
      </w:r>
      <w:r>
        <w:rPr>
          <w:spacing w:val="-2"/>
        </w:rPr>
        <w:t>值以及</w:t>
      </w:r>
      <w:r>
        <w:rPr>
          <w:rFonts w:ascii="Times New Roman" w:hAnsi="Times New Roman" w:eastAsia="Times New Roman"/>
          <w:spacing w:val="-2"/>
        </w:rPr>
        <w:t>Threshold </w:t>
      </w:r>
      <w:r>
        <w:rPr>
          <w:spacing w:val="-3"/>
        </w:rPr>
        <w:t>值（用户可根据实际情况自行调整，</w:t>
      </w:r>
      <w:r>
        <w:rPr>
          <w:rFonts w:ascii="Times New Roman" w:hAnsi="Times New Roman" w:eastAsia="Times New Roman"/>
        </w:rPr>
        <w:t>Start </w:t>
      </w:r>
      <w:r>
        <w:rPr>
          <w:spacing w:val="-13"/>
        </w:rPr>
        <w:t>值可以在 </w:t>
      </w:r>
      <w:r>
        <w:rPr>
          <w:rFonts w:ascii="Times New Roman" w:hAnsi="Times New Roman" w:eastAsia="Times New Roman"/>
          <w:spacing w:val="-3"/>
        </w:rPr>
        <w:t>3</w:t>
      </w:r>
      <w:r>
        <w:rPr>
          <w:spacing w:val="-3"/>
        </w:rPr>
        <w:t>～</w:t>
      </w:r>
      <w:r>
        <w:rPr>
          <w:rFonts w:ascii="Times New Roman" w:hAnsi="Times New Roman" w:eastAsia="Times New Roman"/>
          <w:spacing w:val="-3"/>
        </w:rPr>
        <w:t>15</w:t>
      </w:r>
      <w:r>
        <w:rPr>
          <w:spacing w:val="-3"/>
        </w:rPr>
        <w:t>、</w:t>
      </w:r>
      <w:r>
        <w:rPr>
          <w:rFonts w:ascii="Times New Roman" w:hAnsi="Times New Roman" w:eastAsia="Times New Roman"/>
        </w:rPr>
        <w:t>End </w:t>
      </w:r>
      <w:r>
        <w:rPr>
          <w:spacing w:val="-13"/>
        </w:rPr>
        <w:t>值可设在 </w:t>
      </w:r>
      <w:r>
        <w:rPr>
          <w:rFonts w:ascii="Times New Roman" w:hAnsi="Times New Roman" w:eastAsia="Times New Roman"/>
          <w:spacing w:val="-3"/>
        </w:rPr>
        <w:t>5</w:t>
      </w:r>
      <w:r>
        <w:rPr>
          <w:spacing w:val="-3"/>
        </w:rPr>
        <w:t>～</w:t>
      </w:r>
      <w:r>
        <w:rPr>
          <w:rFonts w:ascii="Times New Roman" w:hAnsi="Times New Roman" w:eastAsia="Times New Roman"/>
          <w:spacing w:val="-3"/>
        </w:rPr>
        <w:t>20</w:t>
      </w:r>
      <w:r>
        <w:rPr>
          <w:spacing w:val="-3"/>
        </w:rPr>
        <w:t>，调整阴性对照的扩增曲线使其平直或低于阈值线），</w:t>
      </w:r>
      <w:r>
        <w:rPr>
          <w:spacing w:val="20"/>
        </w:rPr>
        <w:t>点击</w:t>
      </w:r>
      <w:r>
        <w:rPr>
          <w:rFonts w:ascii="Times New Roman" w:hAnsi="Times New Roman" w:eastAsia="Times New Roman"/>
        </w:rPr>
        <w:t>Analyze </w:t>
      </w:r>
      <w:r>
        <w:rPr>
          <w:spacing w:val="-3"/>
        </w:rPr>
        <w:t>进行分析，使各项参数符合下述</w:t>
      </w:r>
      <w:r>
        <w:rPr>
          <w:rFonts w:ascii="Times New Roman" w:hAnsi="Times New Roman" w:eastAsia="Times New Roman"/>
          <w:spacing w:val="-3"/>
        </w:rPr>
        <w:t>“4.</w:t>
      </w:r>
      <w:r>
        <w:rPr>
          <w:spacing w:val="-3"/>
        </w:rPr>
        <w:t>质量控制</w:t>
      </w:r>
      <w:r>
        <w:rPr>
          <w:rFonts w:ascii="Times New Roman" w:hAnsi="Times New Roman" w:eastAsia="Times New Roman"/>
          <w:spacing w:val="-4"/>
        </w:rPr>
        <w:t>”</w:t>
      </w:r>
      <w:r>
        <w:rPr>
          <w:spacing w:val="2"/>
        </w:rPr>
        <w:t>中的要求，然后到</w:t>
      </w:r>
      <w:r>
        <w:rPr>
          <w:rFonts w:ascii="Times New Roman" w:hAnsi="Times New Roman" w:eastAsia="Times New Roman"/>
        </w:rPr>
        <w:t>Plate </w:t>
      </w:r>
      <w:r>
        <w:rPr>
          <w:spacing w:val="-3"/>
        </w:rPr>
        <w:t>窗口下记录定性结果。</w:t>
      </w:r>
    </w:p>
    <w:p>
      <w:pPr>
        <w:pStyle w:val="Heading1"/>
        <w:numPr>
          <w:ilvl w:val="0"/>
          <w:numId w:val="2"/>
        </w:numPr>
        <w:tabs>
          <w:tab w:pos="295" w:val="left" w:leader="none"/>
        </w:tabs>
        <w:spacing w:line="230" w:lineRule="exact" w:before="0" w:after="0"/>
        <w:ind w:left="294" w:right="0" w:hanging="176"/>
        <w:jc w:val="left"/>
      </w:pPr>
      <w:r>
        <w:rPr>
          <w:spacing w:val="-3"/>
        </w:rPr>
        <w:t>质量控制</w:t>
      </w:r>
    </w:p>
    <w:p>
      <w:pPr>
        <w:pStyle w:val="ListParagraph"/>
        <w:numPr>
          <w:ilvl w:val="1"/>
          <w:numId w:val="2"/>
        </w:numPr>
        <w:tabs>
          <w:tab w:pos="381" w:val="left" w:leader="none"/>
        </w:tabs>
        <w:spacing w:line="240" w:lineRule="auto" w:before="57" w:after="0"/>
        <w:ind w:left="380" w:right="0" w:hanging="262"/>
        <w:jc w:val="left"/>
        <w:rPr>
          <w:rFonts w:ascii="Times New Roman" w:eastAsia="Times New Roman"/>
          <w:sz w:val="18"/>
        </w:rPr>
      </w:pPr>
      <w:r>
        <w:rPr>
          <w:rFonts w:ascii="Times New Roman" w:eastAsia="Times New Roman"/>
          <w:spacing w:val="-3"/>
          <w:sz w:val="18"/>
        </w:rPr>
        <w:t>2019-nCoV-PCR-</w:t>
      </w:r>
      <w:r>
        <w:rPr>
          <w:spacing w:val="-3"/>
          <w:sz w:val="18"/>
        </w:rPr>
        <w:t>阴性对照：</w:t>
      </w:r>
      <w:r>
        <w:rPr>
          <w:rFonts w:ascii="Times New Roman" w:eastAsia="Times New Roman"/>
          <w:spacing w:val="-3"/>
          <w:sz w:val="18"/>
        </w:rPr>
        <w:t>FAM</w:t>
      </w:r>
      <w:r>
        <w:rPr>
          <w:sz w:val="18"/>
        </w:rPr>
        <w:t>、</w:t>
      </w:r>
      <w:r>
        <w:rPr>
          <w:rFonts w:ascii="Times New Roman" w:eastAsia="Times New Roman"/>
          <w:sz w:val="18"/>
        </w:rPr>
        <w:t>ROX</w:t>
      </w:r>
      <w:r>
        <w:rPr>
          <w:rFonts w:ascii="Times New Roman" w:eastAsia="Times New Roman"/>
          <w:spacing w:val="-15"/>
          <w:sz w:val="18"/>
        </w:rPr>
        <w:t> </w:t>
      </w:r>
      <w:r>
        <w:rPr>
          <w:spacing w:val="-3"/>
          <w:sz w:val="18"/>
        </w:rPr>
        <w:t>通道及内标（</w:t>
      </w:r>
      <w:r>
        <w:rPr>
          <w:rFonts w:ascii="Times New Roman" w:eastAsia="Times New Roman"/>
          <w:spacing w:val="-3"/>
          <w:sz w:val="18"/>
        </w:rPr>
        <w:t>HEX</w:t>
      </w:r>
      <w:r>
        <w:rPr>
          <w:spacing w:val="-3"/>
          <w:sz w:val="18"/>
        </w:rPr>
        <w:t>）</w:t>
      </w:r>
      <w:r>
        <w:rPr>
          <w:spacing w:val="8"/>
          <w:sz w:val="18"/>
        </w:rPr>
        <w:t>通道均无</w:t>
      </w:r>
      <w:r>
        <w:rPr>
          <w:rFonts w:ascii="Times New Roman" w:eastAsia="Times New Roman"/>
          <w:sz w:val="18"/>
        </w:rPr>
        <w:t>Ct</w:t>
      </w:r>
      <w:r>
        <w:rPr>
          <w:rFonts w:ascii="Times New Roman" w:eastAsia="Times New Roman"/>
          <w:spacing w:val="-14"/>
          <w:sz w:val="18"/>
        </w:rPr>
        <w:t> </w:t>
      </w:r>
      <w:r>
        <w:rPr>
          <w:spacing w:val="18"/>
          <w:sz w:val="18"/>
        </w:rPr>
        <w:t>值或</w:t>
      </w:r>
      <w:r>
        <w:rPr>
          <w:rFonts w:ascii="Times New Roman" w:eastAsia="Times New Roman"/>
          <w:spacing w:val="-2"/>
          <w:sz w:val="18"/>
        </w:rPr>
        <w:t>Ct</w:t>
      </w:r>
      <w:r>
        <w:rPr>
          <w:spacing w:val="-2"/>
          <w:sz w:val="18"/>
        </w:rPr>
        <w:t>＞</w:t>
      </w:r>
      <w:r>
        <w:rPr>
          <w:rFonts w:ascii="Times New Roman" w:eastAsia="Times New Roman"/>
          <w:spacing w:val="-2"/>
          <w:sz w:val="18"/>
        </w:rPr>
        <w:t>40</w:t>
      </w:r>
      <w:r>
        <w:rPr>
          <w:spacing w:val="-2"/>
          <w:sz w:val="18"/>
        </w:rPr>
        <w:t>；</w:t>
      </w:r>
    </w:p>
    <w:p>
      <w:pPr>
        <w:pStyle w:val="ListParagraph"/>
        <w:numPr>
          <w:ilvl w:val="1"/>
          <w:numId w:val="2"/>
        </w:numPr>
        <w:tabs>
          <w:tab w:pos="381" w:val="left" w:leader="none"/>
        </w:tabs>
        <w:spacing w:line="240" w:lineRule="auto" w:before="60" w:after="0"/>
        <w:ind w:left="380" w:right="0" w:hanging="262"/>
        <w:jc w:val="left"/>
        <w:rPr>
          <w:rFonts w:ascii="Times New Roman" w:hAnsi="Times New Roman" w:eastAsia="Times New Roman"/>
          <w:sz w:val="18"/>
        </w:rPr>
      </w:pPr>
      <w:r>
        <w:rPr>
          <w:rFonts w:ascii="Times New Roman" w:hAnsi="Times New Roman" w:eastAsia="Times New Roman"/>
          <w:spacing w:val="-3"/>
          <w:sz w:val="18"/>
        </w:rPr>
        <w:t>2019-nCoV-PCR</w:t>
      </w:r>
      <w:r>
        <w:rPr>
          <w:rFonts w:ascii="Times New Roman" w:hAnsi="Times New Roman" w:eastAsia="Times New Roman"/>
          <w:spacing w:val="-4"/>
          <w:sz w:val="18"/>
        </w:rPr>
        <w:t> -</w:t>
      </w:r>
      <w:r>
        <w:rPr>
          <w:spacing w:val="-3"/>
          <w:sz w:val="18"/>
        </w:rPr>
        <w:t>阳性对照：</w:t>
      </w:r>
      <w:r>
        <w:rPr>
          <w:rFonts w:ascii="Times New Roman" w:hAnsi="Times New Roman" w:eastAsia="Times New Roman"/>
          <w:spacing w:val="-3"/>
          <w:sz w:val="18"/>
        </w:rPr>
        <w:t>FAM</w:t>
      </w:r>
      <w:r>
        <w:rPr>
          <w:sz w:val="18"/>
        </w:rPr>
        <w:t>、</w:t>
      </w:r>
      <w:r>
        <w:rPr>
          <w:rFonts w:ascii="Times New Roman" w:hAnsi="Times New Roman" w:eastAsia="Times New Roman"/>
          <w:sz w:val="18"/>
        </w:rPr>
        <w:t>ROX</w:t>
      </w:r>
      <w:r>
        <w:rPr>
          <w:rFonts w:ascii="Times New Roman" w:hAnsi="Times New Roman" w:eastAsia="Times New Roman"/>
          <w:spacing w:val="-15"/>
          <w:sz w:val="18"/>
        </w:rPr>
        <w:t> </w:t>
      </w:r>
      <w:r>
        <w:rPr>
          <w:spacing w:val="-3"/>
          <w:sz w:val="18"/>
        </w:rPr>
        <w:t>及内标（</w:t>
      </w:r>
      <w:r>
        <w:rPr>
          <w:rFonts w:ascii="Times New Roman" w:hAnsi="Times New Roman" w:eastAsia="Times New Roman"/>
          <w:spacing w:val="-3"/>
          <w:sz w:val="18"/>
        </w:rPr>
        <w:t>HEX</w:t>
      </w:r>
      <w:r>
        <w:rPr>
          <w:spacing w:val="-3"/>
          <w:sz w:val="18"/>
        </w:rPr>
        <w:t>）</w:t>
      </w:r>
      <w:r>
        <w:rPr>
          <w:spacing w:val="12"/>
          <w:sz w:val="18"/>
        </w:rPr>
        <w:t>通道均</w:t>
      </w:r>
      <w:r>
        <w:rPr>
          <w:rFonts w:ascii="Times New Roman" w:hAnsi="Times New Roman" w:eastAsia="Times New Roman"/>
          <w:spacing w:val="-3"/>
          <w:sz w:val="18"/>
        </w:rPr>
        <w:t>Ct≤35</w:t>
      </w:r>
      <w:r>
        <w:rPr>
          <w:spacing w:val="-3"/>
          <w:sz w:val="18"/>
        </w:rPr>
        <w:t>；</w:t>
      </w:r>
    </w:p>
    <w:p>
      <w:pPr>
        <w:pStyle w:val="ListParagraph"/>
        <w:numPr>
          <w:ilvl w:val="1"/>
          <w:numId w:val="2"/>
        </w:numPr>
        <w:tabs>
          <w:tab w:pos="374" w:val="left" w:leader="none"/>
        </w:tabs>
        <w:spacing w:line="240" w:lineRule="auto" w:before="59" w:after="0"/>
        <w:ind w:left="373" w:right="0" w:hanging="255"/>
        <w:jc w:val="left"/>
        <w:rPr>
          <w:rFonts w:ascii="Times New Roman" w:eastAsia="Times New Roman"/>
          <w:sz w:val="18"/>
        </w:rPr>
      </w:pPr>
      <w:r>
        <w:rPr>
          <w:spacing w:val="-3"/>
          <w:sz w:val="18"/>
        </w:rPr>
        <w:t>以上要求需在同一次实验中同时满足，否则，本次实验无效，需重新进行。</w:t>
      </w:r>
    </w:p>
    <w:p>
      <w:pPr>
        <w:pStyle w:val="Heading1"/>
      </w:pPr>
      <w:r>
        <w:rPr/>
        <w:t>【阳性判断值】</w:t>
      </w:r>
    </w:p>
    <w:p>
      <w:pPr>
        <w:pStyle w:val="BodyText"/>
        <w:ind w:left="207"/>
      </w:pPr>
      <w:r>
        <w:rPr/>
        <w:t>通过参考值的研究确定本试剂盒检测目标基因的</w:t>
      </w:r>
      <w:r>
        <w:rPr>
          <w:rFonts w:ascii="Times New Roman" w:eastAsia="Times New Roman"/>
        </w:rPr>
        <w:t>Ct </w:t>
      </w:r>
      <w:r>
        <w:rPr/>
        <w:t>参考值为 </w:t>
      </w:r>
      <w:r>
        <w:rPr>
          <w:rFonts w:ascii="Times New Roman" w:eastAsia="Times New Roman"/>
        </w:rPr>
        <w:t>40</w:t>
      </w:r>
      <w:r>
        <w:rPr/>
        <w:t>，内标</w:t>
      </w:r>
      <w:r>
        <w:rPr>
          <w:rFonts w:ascii="Times New Roman" w:eastAsia="Times New Roman"/>
        </w:rPr>
        <w:t>Ct </w:t>
      </w:r>
      <w:r>
        <w:rPr/>
        <w:t>的参考值为 </w:t>
      </w:r>
      <w:r>
        <w:rPr>
          <w:rFonts w:ascii="Times New Roman" w:eastAsia="Times New Roman"/>
        </w:rPr>
        <w:t>40</w:t>
      </w:r>
      <w:r>
        <w:rPr/>
        <w:t>。</w:t>
      </w:r>
    </w:p>
    <w:p>
      <w:pPr>
        <w:pStyle w:val="Heading1"/>
      </w:pPr>
      <w:r>
        <w:rPr/>
        <w:t>【检验结果的解释】</w:t>
      </w:r>
    </w:p>
    <w:p>
      <w:pPr>
        <w:pStyle w:val="ListParagraph"/>
        <w:numPr>
          <w:ilvl w:val="0"/>
          <w:numId w:val="6"/>
        </w:numPr>
        <w:tabs>
          <w:tab w:pos="295" w:val="left" w:leader="none"/>
        </w:tabs>
        <w:spacing w:line="240" w:lineRule="auto" w:before="57" w:after="0"/>
        <w:ind w:left="294" w:right="0" w:hanging="176"/>
        <w:jc w:val="left"/>
        <w:rPr>
          <w:sz w:val="18"/>
        </w:rPr>
      </w:pPr>
      <w:r>
        <w:rPr>
          <w:spacing w:val="-3"/>
          <w:sz w:val="18"/>
        </w:rPr>
        <w:t>对于</w:t>
      </w:r>
      <w:r>
        <w:rPr>
          <w:rFonts w:ascii="Times New Roman" w:hAnsi="Times New Roman" w:eastAsia="Times New Roman"/>
          <w:spacing w:val="-3"/>
          <w:sz w:val="18"/>
        </w:rPr>
        <w:t>FAM</w:t>
      </w:r>
      <w:r>
        <w:rPr>
          <w:spacing w:val="-3"/>
          <w:sz w:val="18"/>
        </w:rPr>
        <w:t>或</w:t>
      </w:r>
      <w:r>
        <w:rPr>
          <w:rFonts w:ascii="Times New Roman" w:hAnsi="Times New Roman" w:eastAsia="Times New Roman"/>
          <w:spacing w:val="-3"/>
          <w:sz w:val="18"/>
        </w:rPr>
        <w:t>ROX</w:t>
      </w:r>
      <w:r>
        <w:rPr>
          <w:spacing w:val="-3"/>
          <w:sz w:val="18"/>
        </w:rPr>
        <w:t>通道检测到典型的</w:t>
      </w:r>
      <w:r>
        <w:rPr>
          <w:rFonts w:ascii="Times New Roman" w:hAnsi="Times New Roman" w:eastAsia="Times New Roman"/>
          <w:sz w:val="18"/>
        </w:rPr>
        <w:t>S</w:t>
      </w:r>
      <w:r>
        <w:rPr>
          <w:spacing w:val="-3"/>
          <w:sz w:val="18"/>
        </w:rPr>
        <w:t>型扩增曲线，且</w:t>
      </w:r>
      <w:r>
        <w:rPr>
          <w:rFonts w:ascii="Times New Roman" w:hAnsi="Times New Roman" w:eastAsia="Times New Roman"/>
          <w:spacing w:val="-3"/>
          <w:sz w:val="18"/>
        </w:rPr>
        <w:t>Ct≤40</w:t>
      </w:r>
      <w:r>
        <w:rPr>
          <w:spacing w:val="-3"/>
          <w:sz w:val="18"/>
        </w:rPr>
        <w:t>的样本，报告为</w:t>
      </w:r>
      <w:r>
        <w:rPr>
          <w:rFonts w:ascii="Times New Roman" w:hAnsi="Times New Roman" w:eastAsia="Times New Roman"/>
          <w:spacing w:val="-3"/>
          <w:sz w:val="18"/>
        </w:rPr>
        <w:t>2019-nCoV</w:t>
      </w:r>
      <w:r>
        <w:rPr>
          <w:spacing w:val="-3"/>
          <w:sz w:val="18"/>
        </w:rPr>
        <w:t>病毒阳性；</w:t>
      </w:r>
    </w:p>
    <w:p>
      <w:pPr>
        <w:pStyle w:val="ListParagraph"/>
        <w:numPr>
          <w:ilvl w:val="0"/>
          <w:numId w:val="6"/>
        </w:numPr>
        <w:tabs>
          <w:tab w:pos="295" w:val="left" w:leader="none"/>
        </w:tabs>
        <w:spacing w:line="302" w:lineRule="auto" w:before="60" w:after="0"/>
        <w:ind w:left="119" w:right="328" w:firstLine="0"/>
        <w:jc w:val="left"/>
        <w:rPr>
          <w:sz w:val="18"/>
        </w:rPr>
      </w:pPr>
      <w:r>
        <w:rPr>
          <w:spacing w:val="-3"/>
          <w:sz w:val="18"/>
        </w:rPr>
        <w:t>对于</w:t>
      </w:r>
      <w:r>
        <w:rPr>
          <w:rFonts w:ascii="Times New Roman" w:hAnsi="Times New Roman" w:eastAsia="Times New Roman"/>
          <w:spacing w:val="-3"/>
          <w:sz w:val="18"/>
        </w:rPr>
        <w:t>FAM</w:t>
      </w:r>
      <w:r>
        <w:rPr>
          <w:spacing w:val="-3"/>
          <w:sz w:val="18"/>
        </w:rPr>
        <w:t>且</w:t>
      </w:r>
      <w:r>
        <w:rPr>
          <w:rFonts w:ascii="Times New Roman" w:hAnsi="Times New Roman" w:eastAsia="Times New Roman"/>
          <w:spacing w:val="-3"/>
          <w:sz w:val="18"/>
        </w:rPr>
        <w:t>ROX</w:t>
      </w:r>
      <w:r>
        <w:rPr>
          <w:spacing w:val="-3"/>
          <w:sz w:val="18"/>
        </w:rPr>
        <w:t>通道均未检测到典型的</w:t>
      </w:r>
      <w:r>
        <w:rPr>
          <w:rFonts w:ascii="Times New Roman" w:hAnsi="Times New Roman" w:eastAsia="Times New Roman"/>
          <w:sz w:val="18"/>
        </w:rPr>
        <w:t>S</w:t>
      </w:r>
      <w:r>
        <w:rPr>
          <w:spacing w:val="-3"/>
          <w:sz w:val="18"/>
        </w:rPr>
        <w:t>型扩增曲线</w:t>
      </w:r>
      <w:r>
        <w:rPr>
          <w:sz w:val="18"/>
        </w:rPr>
        <w:t>（</w:t>
      </w:r>
      <w:r>
        <w:rPr>
          <w:rFonts w:ascii="Times New Roman" w:hAnsi="Times New Roman" w:eastAsia="Times New Roman"/>
          <w:sz w:val="18"/>
        </w:rPr>
        <w:t>No</w:t>
      </w:r>
      <w:r>
        <w:rPr>
          <w:rFonts w:ascii="Times New Roman" w:hAnsi="Times New Roman" w:eastAsia="Times New Roman"/>
          <w:spacing w:val="1"/>
          <w:sz w:val="18"/>
        </w:rPr>
        <w:t> </w:t>
      </w:r>
      <w:r>
        <w:rPr>
          <w:rFonts w:ascii="Times New Roman" w:hAnsi="Times New Roman" w:eastAsia="Times New Roman"/>
          <w:spacing w:val="-3"/>
          <w:sz w:val="18"/>
        </w:rPr>
        <w:t>Ct</w:t>
      </w:r>
      <w:r>
        <w:rPr>
          <w:spacing w:val="-3"/>
          <w:sz w:val="18"/>
        </w:rPr>
        <w:t>），或</w:t>
      </w:r>
      <w:r>
        <w:rPr>
          <w:rFonts w:ascii="Times New Roman" w:hAnsi="Times New Roman" w:eastAsia="Times New Roman"/>
          <w:spacing w:val="-3"/>
          <w:sz w:val="18"/>
        </w:rPr>
        <w:t>Ct</w:t>
      </w:r>
      <w:r>
        <w:rPr>
          <w:spacing w:val="-3"/>
          <w:sz w:val="18"/>
        </w:rPr>
        <w:t>＞</w:t>
      </w:r>
      <w:r>
        <w:rPr>
          <w:rFonts w:ascii="Times New Roman" w:hAnsi="Times New Roman" w:eastAsia="Times New Roman"/>
          <w:spacing w:val="-3"/>
          <w:sz w:val="18"/>
        </w:rPr>
        <w:t>40</w:t>
      </w:r>
      <w:r>
        <w:rPr>
          <w:spacing w:val="-3"/>
          <w:sz w:val="18"/>
        </w:rPr>
        <w:t>，</w:t>
      </w:r>
      <w:r>
        <w:rPr>
          <w:rFonts w:ascii="Times New Roman" w:hAnsi="Times New Roman" w:eastAsia="Times New Roman"/>
          <w:spacing w:val="-3"/>
          <w:sz w:val="18"/>
        </w:rPr>
        <w:t>HEX</w:t>
      </w:r>
      <w:r>
        <w:rPr>
          <w:spacing w:val="-3"/>
          <w:sz w:val="18"/>
        </w:rPr>
        <w:t>通道有扩增曲线，且</w:t>
      </w:r>
      <w:r>
        <w:rPr>
          <w:rFonts w:ascii="Times New Roman" w:hAnsi="Times New Roman" w:eastAsia="Times New Roman"/>
          <w:spacing w:val="-3"/>
          <w:sz w:val="18"/>
        </w:rPr>
        <w:t>Ct≤40</w:t>
      </w:r>
      <w:r>
        <w:rPr>
          <w:spacing w:val="-3"/>
          <w:sz w:val="18"/>
        </w:rPr>
        <w:t>的样本，报告为</w:t>
      </w:r>
      <w:r>
        <w:rPr>
          <w:rFonts w:ascii="Times New Roman" w:hAnsi="Times New Roman" w:eastAsia="Times New Roman"/>
          <w:spacing w:val="-3"/>
          <w:sz w:val="18"/>
        </w:rPr>
        <w:t>2019-nCoV</w:t>
      </w:r>
      <w:r>
        <w:rPr>
          <w:sz w:val="18"/>
        </w:rPr>
        <w:t>病</w:t>
      </w:r>
      <w:r>
        <w:rPr>
          <w:spacing w:val="-3"/>
          <w:sz w:val="18"/>
        </w:rPr>
        <w:t>毒阴性；</w:t>
      </w:r>
    </w:p>
    <w:p>
      <w:pPr>
        <w:pStyle w:val="ListParagraph"/>
        <w:numPr>
          <w:ilvl w:val="0"/>
          <w:numId w:val="6"/>
        </w:numPr>
        <w:tabs>
          <w:tab w:pos="295" w:val="left" w:leader="none"/>
        </w:tabs>
        <w:spacing w:line="302" w:lineRule="auto" w:before="0" w:after="0"/>
        <w:ind w:left="119" w:right="0" w:firstLine="0"/>
        <w:jc w:val="left"/>
        <w:rPr>
          <w:sz w:val="18"/>
        </w:rPr>
      </w:pPr>
      <w:r>
        <w:rPr>
          <w:spacing w:val="-3"/>
          <w:sz w:val="18"/>
        </w:rPr>
        <w:t>对于</w:t>
      </w:r>
      <w:r>
        <w:rPr>
          <w:rFonts w:ascii="Times New Roman" w:eastAsia="Times New Roman"/>
          <w:spacing w:val="-3"/>
          <w:sz w:val="18"/>
        </w:rPr>
        <w:t>FAM</w:t>
      </w:r>
      <w:r>
        <w:rPr>
          <w:spacing w:val="-3"/>
          <w:sz w:val="18"/>
        </w:rPr>
        <w:t>、</w:t>
      </w:r>
      <w:r>
        <w:rPr>
          <w:rFonts w:ascii="Times New Roman" w:eastAsia="Times New Roman"/>
          <w:spacing w:val="-3"/>
          <w:sz w:val="18"/>
        </w:rPr>
        <w:t>ROX</w:t>
      </w:r>
      <w:r>
        <w:rPr>
          <w:spacing w:val="-3"/>
          <w:sz w:val="18"/>
        </w:rPr>
        <w:t>、</w:t>
      </w:r>
      <w:r>
        <w:rPr>
          <w:rFonts w:ascii="Times New Roman" w:eastAsia="Times New Roman"/>
          <w:spacing w:val="-2"/>
          <w:sz w:val="18"/>
        </w:rPr>
        <w:t>HEX</w:t>
      </w:r>
      <w:r>
        <w:rPr>
          <w:spacing w:val="-3"/>
          <w:sz w:val="18"/>
        </w:rPr>
        <w:t>通道均未检测到典型的</w:t>
      </w:r>
      <w:r>
        <w:rPr>
          <w:rFonts w:ascii="Times New Roman" w:eastAsia="Times New Roman"/>
          <w:spacing w:val="-5"/>
          <w:sz w:val="18"/>
        </w:rPr>
        <w:t>S</w:t>
      </w:r>
      <w:r>
        <w:rPr>
          <w:spacing w:val="-3"/>
          <w:sz w:val="18"/>
        </w:rPr>
        <w:t>型扩增曲线</w:t>
      </w:r>
      <w:r>
        <w:rPr>
          <w:sz w:val="18"/>
        </w:rPr>
        <w:t>（</w:t>
      </w:r>
      <w:r>
        <w:rPr>
          <w:rFonts w:ascii="Times New Roman" w:eastAsia="Times New Roman"/>
          <w:sz w:val="18"/>
        </w:rPr>
        <w:t>No</w:t>
      </w:r>
      <w:r>
        <w:rPr>
          <w:rFonts w:ascii="Times New Roman" w:eastAsia="Times New Roman"/>
          <w:spacing w:val="33"/>
          <w:sz w:val="18"/>
        </w:rPr>
        <w:t> </w:t>
      </w:r>
      <w:r>
        <w:rPr>
          <w:rFonts w:ascii="Times New Roman" w:eastAsia="Times New Roman"/>
          <w:spacing w:val="-3"/>
          <w:sz w:val="18"/>
        </w:rPr>
        <w:t>Ct</w:t>
      </w:r>
      <w:r>
        <w:rPr>
          <w:spacing w:val="-3"/>
          <w:sz w:val="18"/>
        </w:rPr>
        <w:t>），或</w:t>
      </w:r>
      <w:r>
        <w:rPr>
          <w:rFonts w:ascii="Times New Roman" w:eastAsia="Times New Roman"/>
          <w:spacing w:val="-3"/>
          <w:sz w:val="18"/>
        </w:rPr>
        <w:t>Ct</w:t>
      </w:r>
      <w:r>
        <w:rPr>
          <w:spacing w:val="-3"/>
          <w:sz w:val="18"/>
        </w:rPr>
        <w:t>＞</w:t>
      </w:r>
      <w:r>
        <w:rPr>
          <w:rFonts w:ascii="Times New Roman" w:eastAsia="Times New Roman"/>
          <w:spacing w:val="-3"/>
          <w:sz w:val="18"/>
        </w:rPr>
        <w:t>40</w:t>
      </w:r>
      <w:r>
        <w:rPr>
          <w:spacing w:val="-3"/>
          <w:sz w:val="18"/>
        </w:rPr>
        <w:t>，表示本次检测样本细胞含量太低或者有干扰物质抑制反应，该样本的检测结果无效，应查找并排除原因，并对此样本重新采样，进行重复试验</w:t>
      </w:r>
      <w:r>
        <w:rPr>
          <w:sz w:val="18"/>
        </w:rPr>
        <w:t>（</w:t>
      </w:r>
      <w:r>
        <w:rPr>
          <w:spacing w:val="-3"/>
          <w:sz w:val="18"/>
        </w:rPr>
        <w:t>若重复试验的检测结果仍无效，请与本公司联系）</w:t>
      </w:r>
      <w:r>
        <w:rPr>
          <w:spacing w:val="-2"/>
          <w:sz w:val="18"/>
        </w:rPr>
        <w:t>。注</w:t>
      </w:r>
      <w:r>
        <w:rPr>
          <w:spacing w:val="-3"/>
          <w:sz w:val="18"/>
        </w:rPr>
        <w:t>：对于病毒培养物，内标检测结果不作要求。</w:t>
      </w:r>
    </w:p>
    <w:p>
      <w:pPr>
        <w:pStyle w:val="Heading1"/>
        <w:spacing w:line="228" w:lineRule="exact" w:before="0"/>
      </w:pPr>
      <w:r>
        <w:rPr/>
        <w:t>【检验方法的局限性】</w:t>
      </w:r>
    </w:p>
    <w:p>
      <w:pPr>
        <w:pStyle w:val="ListParagraph"/>
        <w:numPr>
          <w:ilvl w:val="0"/>
          <w:numId w:val="7"/>
        </w:numPr>
        <w:tabs>
          <w:tab w:pos="254" w:val="left" w:leader="none"/>
        </w:tabs>
        <w:spacing w:line="240" w:lineRule="auto" w:before="59" w:after="0"/>
        <w:ind w:left="253" w:right="0" w:hanging="135"/>
        <w:jc w:val="left"/>
        <w:rPr>
          <w:sz w:val="18"/>
        </w:rPr>
      </w:pPr>
      <w:r>
        <w:rPr>
          <w:spacing w:val="-3"/>
          <w:sz w:val="18"/>
        </w:rPr>
        <w:t>本试剂盒的检测结果仅供临床参考，对患者的临床诊治应结合其症状</w:t>
      </w:r>
      <w:r>
        <w:rPr>
          <w:rFonts w:ascii="Times New Roman" w:eastAsia="Times New Roman"/>
          <w:sz w:val="18"/>
        </w:rPr>
        <w:t>/</w:t>
      </w:r>
      <w:r>
        <w:rPr>
          <w:spacing w:val="-3"/>
          <w:sz w:val="18"/>
        </w:rPr>
        <w:t>体征、病史、其它实验室检查及治疗反应等情况综合考虑。</w:t>
      </w:r>
    </w:p>
    <w:p>
      <w:pPr>
        <w:pStyle w:val="ListParagraph"/>
        <w:numPr>
          <w:ilvl w:val="0"/>
          <w:numId w:val="7"/>
        </w:numPr>
        <w:tabs>
          <w:tab w:pos="254" w:val="left" w:leader="none"/>
        </w:tabs>
        <w:spacing w:line="240" w:lineRule="auto" w:before="60" w:after="0"/>
        <w:ind w:left="253" w:right="0" w:hanging="135"/>
        <w:jc w:val="left"/>
        <w:rPr>
          <w:sz w:val="18"/>
        </w:rPr>
      </w:pPr>
      <w:r>
        <w:rPr>
          <w:spacing w:val="-3"/>
          <w:sz w:val="18"/>
        </w:rPr>
        <w:t>有关假阴性结果的可能性分析</w:t>
      </w:r>
    </w:p>
    <w:p>
      <w:pPr>
        <w:pStyle w:val="ListParagraph"/>
        <w:numPr>
          <w:ilvl w:val="1"/>
          <w:numId w:val="7"/>
        </w:numPr>
        <w:tabs>
          <w:tab w:pos="374" w:val="left" w:leader="none"/>
        </w:tabs>
        <w:spacing w:line="240" w:lineRule="auto" w:before="60" w:after="0"/>
        <w:ind w:left="373" w:right="0" w:hanging="255"/>
        <w:jc w:val="left"/>
        <w:rPr>
          <w:sz w:val="18"/>
        </w:rPr>
      </w:pPr>
      <w:r>
        <w:rPr>
          <w:spacing w:val="-3"/>
          <w:sz w:val="18"/>
        </w:rPr>
        <w:t>不合理的样本采集、处理、运送、样本浓度过低均有可能导致假阴性结果。</w:t>
      </w:r>
    </w:p>
    <w:p>
      <w:pPr>
        <w:pStyle w:val="ListParagraph"/>
        <w:numPr>
          <w:ilvl w:val="1"/>
          <w:numId w:val="7"/>
        </w:numPr>
        <w:tabs>
          <w:tab w:pos="381" w:val="left" w:leader="none"/>
        </w:tabs>
        <w:spacing w:line="240" w:lineRule="auto" w:before="60" w:after="0"/>
        <w:ind w:left="380" w:right="0" w:hanging="262"/>
        <w:jc w:val="left"/>
        <w:rPr>
          <w:sz w:val="18"/>
        </w:rPr>
      </w:pPr>
      <w:r>
        <w:rPr>
          <w:rFonts w:ascii="Times New Roman" w:eastAsia="Times New Roman"/>
          <w:sz w:val="18"/>
        </w:rPr>
        <w:t>2019-nCoV</w:t>
      </w:r>
      <w:r>
        <w:rPr>
          <w:rFonts w:ascii="Times New Roman" w:eastAsia="Times New Roman"/>
          <w:spacing w:val="-16"/>
          <w:sz w:val="18"/>
        </w:rPr>
        <w:t> </w:t>
      </w:r>
      <w:r>
        <w:rPr>
          <w:spacing w:val="-3"/>
          <w:sz w:val="18"/>
        </w:rPr>
        <w:t>新型冠状病毒待测靶序列的变异或其他原因导致的序列改变可能会导致假阴性结果。</w:t>
      </w:r>
    </w:p>
    <w:p>
      <w:pPr>
        <w:pStyle w:val="ListParagraph"/>
        <w:numPr>
          <w:ilvl w:val="1"/>
          <w:numId w:val="7"/>
        </w:numPr>
        <w:tabs>
          <w:tab w:pos="374" w:val="left" w:leader="none"/>
        </w:tabs>
        <w:spacing w:line="240" w:lineRule="auto" w:before="59" w:after="0"/>
        <w:ind w:left="373" w:right="0" w:hanging="255"/>
        <w:jc w:val="left"/>
        <w:rPr>
          <w:sz w:val="18"/>
        </w:rPr>
      </w:pPr>
      <w:r>
        <w:rPr>
          <w:spacing w:val="-3"/>
          <w:sz w:val="18"/>
        </w:rPr>
        <w:t>不合理的试剂保存可能会导致假阴性结果。</w:t>
      </w:r>
    </w:p>
    <w:p>
      <w:pPr>
        <w:pStyle w:val="ListParagraph"/>
        <w:numPr>
          <w:ilvl w:val="1"/>
          <w:numId w:val="7"/>
        </w:numPr>
        <w:tabs>
          <w:tab w:pos="374" w:val="left" w:leader="none"/>
        </w:tabs>
        <w:spacing w:line="240" w:lineRule="auto" w:before="58" w:after="0"/>
        <w:ind w:left="373" w:right="0" w:hanging="255"/>
        <w:jc w:val="left"/>
        <w:rPr>
          <w:sz w:val="18"/>
        </w:rPr>
      </w:pPr>
      <w:r>
        <w:rPr>
          <w:spacing w:val="1"/>
          <w:sz w:val="18"/>
        </w:rPr>
        <w:t>未经验证的其他干扰或</w:t>
      </w:r>
      <w:r>
        <w:rPr>
          <w:rFonts w:ascii="Times New Roman" w:eastAsia="Times New Roman"/>
          <w:sz w:val="18"/>
        </w:rPr>
        <w:t>PCR</w:t>
      </w:r>
      <w:r>
        <w:rPr>
          <w:rFonts w:ascii="Times New Roman" w:eastAsia="Times New Roman"/>
          <w:spacing w:val="-15"/>
          <w:sz w:val="18"/>
        </w:rPr>
        <w:t> </w:t>
      </w:r>
      <w:r>
        <w:rPr>
          <w:spacing w:val="-3"/>
          <w:sz w:val="18"/>
        </w:rPr>
        <w:t>抑制因子，可能会导致假阴性结果。</w:t>
      </w:r>
    </w:p>
    <w:p>
      <w:pPr>
        <w:pStyle w:val="ListParagraph"/>
        <w:numPr>
          <w:ilvl w:val="1"/>
          <w:numId w:val="7"/>
        </w:numPr>
        <w:tabs>
          <w:tab w:pos="374" w:val="left" w:leader="none"/>
        </w:tabs>
        <w:spacing w:line="240" w:lineRule="auto" w:before="60" w:after="0"/>
        <w:ind w:left="373" w:right="0" w:hanging="255"/>
        <w:jc w:val="left"/>
        <w:rPr>
          <w:sz w:val="18"/>
        </w:rPr>
      </w:pPr>
      <w:r>
        <w:rPr>
          <w:spacing w:val="-3"/>
          <w:sz w:val="18"/>
        </w:rPr>
        <w:t>样本处理过程出现交叉污染，会造成假阳性结果。</w:t>
      </w:r>
    </w:p>
    <w:p>
      <w:pPr>
        <w:pStyle w:val="ListParagraph"/>
        <w:numPr>
          <w:ilvl w:val="1"/>
          <w:numId w:val="7"/>
        </w:numPr>
        <w:tabs>
          <w:tab w:pos="374" w:val="left" w:leader="none"/>
        </w:tabs>
        <w:spacing w:line="240" w:lineRule="auto" w:before="59" w:after="0"/>
        <w:ind w:left="373" w:right="0" w:hanging="255"/>
        <w:jc w:val="left"/>
        <w:rPr>
          <w:sz w:val="18"/>
        </w:rPr>
      </w:pPr>
      <w:r>
        <w:rPr>
          <w:spacing w:val="-3"/>
          <w:sz w:val="18"/>
        </w:rPr>
        <w:t>临床实验室应严格按照《临床基因扩增实验室工作规范》中的要求配备设备及操作人员，应严格按照说明书要求进行操作。</w:t>
      </w:r>
    </w:p>
    <w:p>
      <w:pPr>
        <w:pStyle w:val="Heading1"/>
      </w:pPr>
      <w:r>
        <w:rPr/>
        <w:t>【产品性能指标】</w:t>
      </w:r>
    </w:p>
    <w:p>
      <w:pPr>
        <w:pStyle w:val="ListParagraph"/>
        <w:numPr>
          <w:ilvl w:val="0"/>
          <w:numId w:val="8"/>
        </w:numPr>
        <w:tabs>
          <w:tab w:pos="254" w:val="left" w:leader="none"/>
        </w:tabs>
        <w:spacing w:line="240" w:lineRule="auto" w:before="60" w:after="0"/>
        <w:ind w:left="253" w:right="0" w:hanging="135"/>
        <w:jc w:val="left"/>
        <w:rPr>
          <w:sz w:val="18"/>
        </w:rPr>
      </w:pPr>
      <w:r>
        <w:rPr>
          <w:spacing w:val="-2"/>
          <w:sz w:val="18"/>
        </w:rPr>
        <w:t>准确性</w:t>
      </w:r>
    </w:p>
    <w:p>
      <w:pPr>
        <w:pStyle w:val="BodyText"/>
      </w:pPr>
      <w:r>
        <w:rPr/>
        <w:t>检测企业阳性参考品，结果均为阳性。</w:t>
      </w:r>
    </w:p>
    <w:p>
      <w:pPr>
        <w:pStyle w:val="ListParagraph"/>
        <w:numPr>
          <w:ilvl w:val="0"/>
          <w:numId w:val="8"/>
        </w:numPr>
        <w:tabs>
          <w:tab w:pos="254" w:val="left" w:leader="none"/>
        </w:tabs>
        <w:spacing w:line="240" w:lineRule="auto" w:before="57" w:after="0"/>
        <w:ind w:left="253" w:right="0" w:hanging="135"/>
        <w:jc w:val="left"/>
        <w:rPr>
          <w:sz w:val="18"/>
        </w:rPr>
      </w:pPr>
      <w:r>
        <w:rPr>
          <w:spacing w:val="-2"/>
          <w:sz w:val="18"/>
        </w:rPr>
        <w:t>特异性</w:t>
      </w:r>
    </w:p>
    <w:p>
      <w:pPr>
        <w:pStyle w:val="BodyText"/>
        <w:spacing w:line="302" w:lineRule="auto"/>
        <w:ind w:right="76"/>
      </w:pPr>
      <w:r>
        <w:rPr>
          <w:spacing w:val="-3"/>
        </w:rPr>
        <w:t>本试剂盒与冠状病毒（</w:t>
      </w:r>
      <w:r>
        <w:rPr>
          <w:rFonts w:ascii="Times New Roman" w:eastAsia="Times New Roman"/>
          <w:spacing w:val="-3"/>
        </w:rPr>
        <w:t>NL63</w:t>
      </w:r>
      <w:r>
        <w:rPr>
          <w:spacing w:val="-3"/>
        </w:rPr>
        <w:t>，</w:t>
      </w:r>
      <w:r>
        <w:rPr>
          <w:rFonts w:ascii="Times New Roman" w:eastAsia="Times New Roman"/>
          <w:spacing w:val="-3"/>
        </w:rPr>
        <w:t>HKU1</w:t>
      </w:r>
      <w:r>
        <w:rPr>
          <w:spacing w:val="-3"/>
        </w:rPr>
        <w:t>，</w:t>
      </w:r>
      <w:r>
        <w:rPr>
          <w:rFonts w:ascii="Times New Roman" w:eastAsia="Times New Roman"/>
          <w:spacing w:val="-3"/>
        </w:rPr>
        <w:t>229E</w:t>
      </w:r>
      <w:r>
        <w:rPr>
          <w:spacing w:val="-3"/>
        </w:rPr>
        <w:t>，</w:t>
      </w:r>
      <w:r>
        <w:rPr>
          <w:rFonts w:ascii="Times New Roman" w:eastAsia="Times New Roman"/>
          <w:spacing w:val="-3"/>
        </w:rPr>
        <w:t>OC43</w:t>
      </w:r>
      <w:r>
        <w:rPr>
          <w:spacing w:val="-3"/>
        </w:rPr>
        <w:t>）</w:t>
      </w:r>
      <w:r>
        <w:rPr/>
        <w:t>、</w:t>
      </w:r>
      <w:r>
        <w:rPr>
          <w:rFonts w:ascii="Times New Roman" w:eastAsia="Times New Roman"/>
        </w:rPr>
        <w:t>SARS</w:t>
      </w:r>
      <w:r>
        <w:rPr>
          <w:rFonts w:ascii="Times New Roman" w:eastAsia="Times New Roman"/>
          <w:spacing w:val="-12"/>
        </w:rPr>
        <w:t> </w:t>
      </w:r>
      <w:r>
        <w:rPr>
          <w:spacing w:val="-3"/>
        </w:rPr>
        <w:t>冠状病毒、</w:t>
      </w:r>
      <w:r>
        <w:rPr>
          <w:rFonts w:ascii="Times New Roman" w:eastAsia="Times New Roman"/>
        </w:rPr>
        <w:t>MERS</w:t>
      </w:r>
      <w:r>
        <w:rPr>
          <w:rFonts w:ascii="Times New Roman" w:eastAsia="Times New Roman"/>
          <w:spacing w:val="-14"/>
        </w:rPr>
        <w:t> </w:t>
      </w:r>
      <w:r>
        <w:rPr>
          <w:spacing w:val="-1"/>
        </w:rPr>
        <w:t>冠状病毒、甲型流感病毒、乙型流感病毒</w:t>
      </w:r>
      <w:r>
        <w:rPr>
          <w:rFonts w:ascii="Times New Roman" w:eastAsia="Times New Roman"/>
          <w:spacing w:val="-3"/>
        </w:rPr>
        <w:t>Yamagata</w:t>
      </w:r>
      <w:r>
        <w:rPr>
          <w:rFonts w:ascii="Times New Roman" w:eastAsia="Times New Roman"/>
          <w:spacing w:val="-13"/>
        </w:rPr>
        <w:t> </w:t>
      </w:r>
      <w:r>
        <w:rPr/>
        <w:t>型、</w:t>
      </w:r>
      <w:r>
        <w:rPr>
          <w:rFonts w:ascii="Times New Roman" w:eastAsia="Times New Roman"/>
        </w:rPr>
        <w:t>Victoria</w:t>
      </w:r>
      <w:r>
        <w:rPr>
          <w:rFonts w:ascii="Times New Roman" w:eastAsia="Times New Roman"/>
          <w:spacing w:val="-20"/>
        </w:rPr>
        <w:t> </w:t>
      </w:r>
      <w:r>
        <w:rPr>
          <w:spacing w:val="8"/>
        </w:rPr>
        <w:t>型、甲型</w:t>
      </w:r>
      <w:r>
        <w:rPr>
          <w:rFonts w:ascii="Times New Roman" w:eastAsia="Times New Roman"/>
        </w:rPr>
        <w:t>H1N1</w:t>
      </w:r>
      <w:r>
        <w:rPr>
          <w:rFonts w:ascii="Times New Roman" w:eastAsia="Times New Roman"/>
          <w:spacing w:val="-19"/>
        </w:rPr>
        <w:t> </w:t>
      </w:r>
      <w:r>
        <w:rPr>
          <w:spacing w:val="3"/>
        </w:rPr>
        <w:t>流感病毒、甲型</w:t>
      </w:r>
      <w:r>
        <w:rPr>
          <w:rFonts w:ascii="Times New Roman" w:eastAsia="Times New Roman"/>
        </w:rPr>
        <w:t>H3N2</w:t>
      </w:r>
      <w:r>
        <w:rPr>
          <w:rFonts w:ascii="Times New Roman" w:eastAsia="Times New Roman"/>
          <w:spacing w:val="-20"/>
        </w:rPr>
        <w:t> </w:t>
      </w:r>
      <w:r>
        <w:rPr>
          <w:spacing w:val="3"/>
        </w:rPr>
        <w:t>流感病毒、甲型</w:t>
      </w:r>
      <w:r>
        <w:rPr>
          <w:rFonts w:ascii="Times New Roman" w:eastAsia="Times New Roman"/>
        </w:rPr>
        <w:t>H5N1</w:t>
      </w:r>
      <w:r>
        <w:rPr>
          <w:rFonts w:ascii="Times New Roman" w:eastAsia="Times New Roman"/>
          <w:spacing w:val="-20"/>
        </w:rPr>
        <w:t> </w:t>
      </w:r>
      <w:r>
        <w:rPr>
          <w:spacing w:val="3"/>
        </w:rPr>
        <w:t>流感病毒、甲型</w:t>
      </w:r>
      <w:r>
        <w:rPr>
          <w:rFonts w:ascii="Times New Roman" w:eastAsia="Times New Roman"/>
        </w:rPr>
        <w:t>H7N9</w:t>
      </w:r>
      <w:r>
        <w:rPr>
          <w:rFonts w:ascii="Times New Roman" w:eastAsia="Times New Roman"/>
          <w:spacing w:val="-19"/>
        </w:rPr>
        <w:t> </w:t>
      </w:r>
      <w:r>
        <w:rPr/>
        <w:t>流感病毒、呼吸道合胞病毒</w:t>
      </w:r>
      <w:r>
        <w:rPr>
          <w:rFonts w:ascii="Times New Roman" w:eastAsia="Times New Roman"/>
        </w:rPr>
        <w:t>A</w:t>
      </w:r>
      <w:r>
        <w:rPr>
          <w:spacing w:val="-3"/>
        </w:rPr>
        <w:t>、</w:t>
      </w:r>
      <w:r>
        <w:rPr>
          <w:rFonts w:ascii="Times New Roman" w:eastAsia="Times New Roman"/>
        </w:rPr>
        <w:t>B</w:t>
      </w:r>
      <w:r>
        <w:rPr>
          <w:rFonts w:ascii="Times New Roman" w:eastAsia="Times New Roman"/>
          <w:spacing w:val="-20"/>
        </w:rPr>
        <w:t> </w:t>
      </w:r>
      <w:r>
        <w:rPr>
          <w:spacing w:val="6"/>
        </w:rPr>
        <w:t>型、鼻病毒</w:t>
      </w:r>
      <w:r>
        <w:rPr>
          <w:rFonts w:ascii="Times New Roman" w:eastAsia="Times New Roman"/>
          <w:spacing w:val="-3"/>
        </w:rPr>
        <w:t>A</w:t>
      </w:r>
      <w:r>
        <w:rPr/>
        <w:t>、</w:t>
      </w:r>
      <w:r>
        <w:rPr>
          <w:rFonts w:ascii="Times New Roman" w:eastAsia="Times New Roman"/>
          <w:spacing w:val="-3"/>
        </w:rPr>
        <w:t>B</w:t>
      </w:r>
      <w:r>
        <w:rPr/>
        <w:t>、</w:t>
      </w:r>
      <w:r>
        <w:rPr>
          <w:rFonts w:ascii="Times New Roman" w:eastAsia="Times New Roman"/>
        </w:rPr>
        <w:t>C</w:t>
      </w:r>
      <w:r>
        <w:rPr>
          <w:rFonts w:ascii="Times New Roman" w:eastAsia="Times New Roman"/>
          <w:spacing w:val="-15"/>
        </w:rPr>
        <w:t> </w:t>
      </w:r>
      <w:r>
        <w:rPr>
          <w:spacing w:val="-11"/>
        </w:rPr>
        <w:t>型、腺病毒 </w:t>
      </w:r>
      <w:r>
        <w:rPr>
          <w:rFonts w:ascii="Times New Roman" w:eastAsia="Times New Roman"/>
          <w:spacing w:val="-4"/>
        </w:rPr>
        <w:t>1</w:t>
      </w:r>
      <w:r>
        <w:rPr>
          <w:spacing w:val="-3"/>
        </w:rPr>
        <w:t>、</w:t>
      </w:r>
      <w:r>
        <w:rPr>
          <w:rFonts w:ascii="Times New Roman" w:eastAsia="Times New Roman"/>
        </w:rPr>
        <w:t>2</w:t>
      </w:r>
      <w:r>
        <w:rPr>
          <w:spacing w:val="-3"/>
        </w:rPr>
        <w:t>、</w:t>
      </w:r>
      <w:r>
        <w:rPr>
          <w:rFonts w:ascii="Times New Roman" w:eastAsia="Times New Roman"/>
        </w:rPr>
        <w:t>3</w:t>
      </w:r>
      <w:r>
        <w:rPr>
          <w:spacing w:val="-3"/>
        </w:rPr>
        <w:t>、</w:t>
      </w:r>
      <w:r>
        <w:rPr>
          <w:rFonts w:ascii="Times New Roman" w:eastAsia="Times New Roman"/>
        </w:rPr>
        <w:t>4</w:t>
      </w:r>
      <w:r>
        <w:rPr>
          <w:spacing w:val="-3"/>
        </w:rPr>
        <w:t>、</w:t>
      </w:r>
      <w:r>
        <w:rPr>
          <w:rFonts w:ascii="Times New Roman" w:eastAsia="Times New Roman"/>
        </w:rPr>
        <w:t>5</w:t>
      </w:r>
      <w:r>
        <w:rPr>
          <w:spacing w:val="-3"/>
        </w:rPr>
        <w:t>、</w:t>
      </w:r>
      <w:r>
        <w:rPr>
          <w:rFonts w:ascii="Times New Roman" w:eastAsia="Times New Roman"/>
          <w:spacing w:val="-4"/>
        </w:rPr>
        <w:t>7</w:t>
      </w:r>
      <w:r>
        <w:rPr/>
        <w:t>、</w:t>
      </w:r>
      <w:r>
        <w:rPr>
          <w:rFonts w:ascii="Times New Roman" w:eastAsia="Times New Roman"/>
        </w:rPr>
        <w:t>55</w:t>
      </w:r>
      <w:r>
        <w:rPr>
          <w:rFonts w:ascii="Times New Roman" w:eastAsia="Times New Roman"/>
          <w:spacing w:val="-15"/>
        </w:rPr>
        <w:t> </w:t>
      </w:r>
      <w:r>
        <w:rPr>
          <w:spacing w:val="-9"/>
        </w:rPr>
        <w:t>型、副流感病毒 </w:t>
      </w:r>
      <w:r>
        <w:rPr>
          <w:rFonts w:ascii="Times New Roman" w:eastAsia="Times New Roman"/>
        </w:rPr>
        <w:t>1</w:t>
      </w:r>
      <w:r>
        <w:rPr>
          <w:spacing w:val="-3"/>
        </w:rPr>
        <w:t>、</w:t>
      </w:r>
      <w:r>
        <w:rPr>
          <w:rFonts w:ascii="Times New Roman" w:eastAsia="Times New Roman"/>
          <w:spacing w:val="-4"/>
        </w:rPr>
        <w:t>2</w:t>
      </w:r>
      <w:r>
        <w:rPr/>
        <w:t>、</w:t>
      </w:r>
      <w:r>
        <w:rPr>
          <w:rFonts w:ascii="Times New Roman" w:eastAsia="Times New Roman"/>
        </w:rPr>
        <w:t>3</w:t>
      </w:r>
      <w:r>
        <w:rPr>
          <w:rFonts w:ascii="Times New Roman" w:eastAsia="Times New Roman"/>
          <w:spacing w:val="-13"/>
        </w:rPr>
        <w:t> </w:t>
      </w:r>
      <w:r>
        <w:rPr>
          <w:spacing w:val="6"/>
        </w:rPr>
        <w:t>型、肠病毒</w:t>
      </w:r>
      <w:r>
        <w:rPr>
          <w:rFonts w:ascii="Times New Roman" w:eastAsia="Times New Roman"/>
          <w:spacing w:val="-3"/>
        </w:rPr>
        <w:t>A</w:t>
      </w:r>
      <w:r>
        <w:rPr/>
        <w:t>、</w:t>
      </w:r>
      <w:r>
        <w:rPr>
          <w:rFonts w:ascii="Times New Roman" w:eastAsia="Times New Roman"/>
        </w:rPr>
        <w:t>B</w:t>
      </w:r>
      <w:r>
        <w:rPr>
          <w:rFonts w:ascii="Times New Roman" w:eastAsia="Times New Roman"/>
          <w:spacing w:val="-14"/>
        </w:rPr>
        <w:t> </w:t>
      </w:r>
      <w:r>
        <w:rPr>
          <w:spacing w:val="5"/>
        </w:rPr>
        <w:t>型、肠病毒</w:t>
      </w:r>
      <w:r>
        <w:rPr>
          <w:rFonts w:ascii="Times New Roman" w:eastAsia="Times New Roman"/>
        </w:rPr>
        <w:t>C</w:t>
      </w:r>
      <w:r>
        <w:rPr>
          <w:rFonts w:ascii="Times New Roman" w:eastAsia="Times New Roman"/>
          <w:spacing w:val="-13"/>
        </w:rPr>
        <w:t> </w:t>
      </w:r>
      <w:r>
        <w:rPr>
          <w:spacing w:val="-3"/>
        </w:rPr>
        <w:t>型（</w:t>
      </w:r>
      <w:r>
        <w:rPr>
          <w:rFonts w:ascii="Times New Roman" w:eastAsia="Times New Roman"/>
          <w:spacing w:val="-3"/>
        </w:rPr>
        <w:t>EV-C95</w:t>
      </w:r>
      <w:r>
        <w:rPr>
          <w:spacing w:val="-3"/>
        </w:rPr>
        <w:t>）</w:t>
      </w:r>
      <w:r>
        <w:rPr>
          <w:spacing w:val="8"/>
        </w:rPr>
        <w:t>、肠病毒</w:t>
      </w:r>
      <w:r>
        <w:rPr>
          <w:rFonts w:ascii="Times New Roman" w:eastAsia="Times New Roman"/>
        </w:rPr>
        <w:t>D</w:t>
      </w:r>
      <w:r>
        <w:rPr>
          <w:rFonts w:ascii="Times New Roman" w:eastAsia="Times New Roman"/>
          <w:spacing w:val="-12"/>
        </w:rPr>
        <w:t> </w:t>
      </w:r>
      <w:r>
        <w:rPr>
          <w:spacing w:val="-3"/>
        </w:rPr>
        <w:t>型（</w:t>
      </w:r>
      <w:r>
        <w:rPr>
          <w:rFonts w:ascii="Times New Roman" w:eastAsia="Times New Roman"/>
          <w:spacing w:val="-3"/>
        </w:rPr>
        <w:t>EV-D70</w:t>
      </w:r>
      <w:r>
        <w:rPr>
          <w:spacing w:val="-3"/>
        </w:rPr>
        <w:t>）</w:t>
      </w:r>
      <w:r>
        <w:rPr/>
        <w:t>、</w:t>
      </w:r>
      <w:r>
        <w:rPr>
          <w:spacing w:val="-3"/>
        </w:rPr>
        <w:t>偏肺病毒、人间质肺病毒、新生隐球菌、化脓性性链球菌、鲍曼不动杆菌、肺孢子虫、肺炎克雷伯杆菌、肺炎链球菌、流感嗜血杆菌、铜绿</w:t>
      </w:r>
      <w:r>
        <w:rPr>
          <w:spacing w:val="-4"/>
        </w:rPr>
        <w:t>假单胞菌、嗜肺军团菌、百日咳杆菌、金黄色葡萄球菌、肺炎支原体、肺炎链球菌、肺炎克雷伯菌、肺炎衣原体、</w:t>
      </w:r>
      <w:r>
        <w:rPr>
          <w:rFonts w:ascii="Times New Roman" w:eastAsia="Times New Roman"/>
        </w:rPr>
        <w:t>EB</w:t>
      </w:r>
      <w:r>
        <w:rPr>
          <w:rFonts w:ascii="Times New Roman" w:eastAsia="Times New Roman"/>
          <w:spacing w:val="-15"/>
        </w:rPr>
        <w:t> </w:t>
      </w:r>
      <w:r>
        <w:rPr>
          <w:spacing w:val="-3"/>
        </w:rPr>
        <w:t>病毒、人巨细胞病毒、烟曲霉、白色念球菌、光滑念珠菌、结核分枝杆菌、非结核分枝杆菌、诺如病毒、轮状病毒、水痘</w:t>
      </w:r>
      <w:r>
        <w:rPr>
          <w:rFonts w:ascii="Times New Roman" w:eastAsia="Times New Roman"/>
          <w:spacing w:val="-3"/>
        </w:rPr>
        <w:t>-</w:t>
      </w:r>
      <w:r>
        <w:rPr>
          <w:spacing w:val="-3"/>
        </w:rPr>
        <w:t>带状疱疹病毒、麻疹病毒、腮腺炎病毒、</w:t>
      </w:r>
      <w:r>
        <w:rPr>
          <w:spacing w:val="5"/>
        </w:rPr>
        <w:t>人类基因组</w:t>
      </w:r>
      <w:r>
        <w:rPr>
          <w:rFonts w:ascii="Times New Roman" w:eastAsia="Times New Roman"/>
        </w:rPr>
        <w:t>DNA</w:t>
      </w:r>
      <w:r>
        <w:rPr>
          <w:rFonts w:ascii="Times New Roman" w:eastAsia="Times New Roman"/>
          <w:spacing w:val="-13"/>
        </w:rPr>
        <w:t> </w:t>
      </w:r>
      <w:r>
        <w:rPr>
          <w:spacing w:val="-3"/>
        </w:rPr>
        <w:t>等阳性样本无交叉反应。检测企业阴性参考品均为阴性。</w:t>
      </w:r>
    </w:p>
    <w:p>
      <w:pPr>
        <w:pStyle w:val="ListParagraph"/>
        <w:numPr>
          <w:ilvl w:val="0"/>
          <w:numId w:val="8"/>
        </w:numPr>
        <w:tabs>
          <w:tab w:pos="254" w:val="left" w:leader="none"/>
        </w:tabs>
        <w:spacing w:line="227" w:lineRule="exact" w:before="0" w:after="0"/>
        <w:ind w:left="253" w:right="0" w:hanging="135"/>
        <w:jc w:val="left"/>
        <w:rPr>
          <w:sz w:val="18"/>
        </w:rPr>
      </w:pPr>
      <w:r>
        <w:rPr>
          <w:spacing w:val="-6"/>
          <w:sz w:val="18"/>
        </w:rPr>
        <w:t>最低检测限：本试剂盒最低检测限为 </w:t>
      </w:r>
      <w:r>
        <w:rPr>
          <w:rFonts w:ascii="Times New Roman" w:eastAsia="Times New Roman"/>
          <w:sz w:val="18"/>
        </w:rPr>
        <w:t>200</w:t>
      </w:r>
      <w:r>
        <w:rPr>
          <w:rFonts w:ascii="Times New Roman" w:eastAsia="Times New Roman"/>
          <w:spacing w:val="-6"/>
          <w:sz w:val="18"/>
        </w:rPr>
        <w:t> </w:t>
      </w:r>
      <w:r>
        <w:rPr>
          <w:rFonts w:ascii="Times New Roman" w:eastAsia="Times New Roman"/>
          <w:spacing w:val="-3"/>
          <w:sz w:val="18"/>
        </w:rPr>
        <w:t>copies/mL</w:t>
      </w:r>
      <w:r>
        <w:rPr>
          <w:sz w:val="18"/>
        </w:rPr>
        <w:t>。</w:t>
      </w:r>
    </w:p>
    <w:p>
      <w:pPr>
        <w:pStyle w:val="ListParagraph"/>
        <w:numPr>
          <w:ilvl w:val="0"/>
          <w:numId w:val="8"/>
        </w:numPr>
        <w:tabs>
          <w:tab w:pos="254" w:val="left" w:leader="none"/>
        </w:tabs>
        <w:spacing w:line="240" w:lineRule="auto" w:before="60" w:after="0"/>
        <w:ind w:left="253" w:right="0" w:hanging="135"/>
        <w:jc w:val="left"/>
        <w:rPr>
          <w:sz w:val="18"/>
        </w:rPr>
      </w:pPr>
      <w:r>
        <w:rPr>
          <w:spacing w:val="2"/>
          <w:sz w:val="18"/>
        </w:rPr>
        <w:t>精密度：批内精密度</w:t>
      </w:r>
      <w:r>
        <w:rPr>
          <w:rFonts w:ascii="Times New Roman" w:hAnsi="Times New Roman" w:eastAsia="Times New Roman"/>
          <w:sz w:val="18"/>
        </w:rPr>
        <w:t>Ct</w:t>
      </w:r>
      <w:r>
        <w:rPr>
          <w:rFonts w:ascii="Times New Roman" w:hAnsi="Times New Roman" w:eastAsia="Times New Roman"/>
          <w:spacing w:val="-14"/>
          <w:sz w:val="18"/>
        </w:rPr>
        <w:t> </w:t>
      </w:r>
      <w:r>
        <w:rPr>
          <w:spacing w:val="-3"/>
          <w:sz w:val="18"/>
        </w:rPr>
        <w:t>值的变异系数（</w:t>
      </w:r>
      <w:r>
        <w:rPr>
          <w:rFonts w:ascii="Times New Roman" w:hAnsi="Times New Roman" w:eastAsia="Times New Roman"/>
          <w:spacing w:val="-3"/>
          <w:sz w:val="18"/>
        </w:rPr>
        <w:t>CV,%</w:t>
      </w:r>
      <w:r>
        <w:rPr>
          <w:spacing w:val="-3"/>
          <w:sz w:val="18"/>
        </w:rPr>
        <w:t>）</w:t>
      </w:r>
      <w:r>
        <w:rPr>
          <w:rFonts w:ascii="Times New Roman" w:hAnsi="Times New Roman" w:eastAsia="Times New Roman"/>
          <w:spacing w:val="-3"/>
          <w:sz w:val="18"/>
        </w:rPr>
        <w:t>≤5%</w:t>
      </w:r>
      <w:r>
        <w:rPr>
          <w:sz w:val="18"/>
        </w:rPr>
        <w:t>。</w:t>
      </w:r>
    </w:p>
    <w:p>
      <w:pPr>
        <w:pStyle w:val="ListParagraph"/>
        <w:numPr>
          <w:ilvl w:val="0"/>
          <w:numId w:val="8"/>
        </w:numPr>
        <w:tabs>
          <w:tab w:pos="254" w:val="left" w:leader="none"/>
        </w:tabs>
        <w:spacing w:line="290" w:lineRule="atLeast" w:before="0" w:after="0"/>
        <w:ind w:left="119" w:right="175" w:firstLine="0"/>
        <w:jc w:val="left"/>
        <w:rPr>
          <w:rFonts w:ascii="Times New Roman" w:hAnsi="Times New Roman" w:eastAsia="Times New Roman"/>
          <w:sz w:val="18"/>
        </w:rPr>
      </w:pPr>
      <w:r>
        <w:rPr>
          <w:spacing w:val="-3"/>
          <w:sz w:val="18"/>
        </w:rPr>
        <w:t>样本中可能存在的干扰物质：</w:t>
      </w:r>
      <w:r>
        <w:rPr>
          <w:rFonts w:ascii="Times New Roman" w:hAnsi="Times New Roman" w:eastAsia="Times New Roman"/>
          <w:spacing w:val="-3"/>
          <w:sz w:val="18"/>
        </w:rPr>
        <w:t>100μg/mL</w:t>
      </w:r>
      <w:r>
        <w:rPr>
          <w:rFonts w:ascii="Times New Roman" w:hAnsi="Times New Roman" w:eastAsia="Times New Roman"/>
          <w:spacing w:val="-9"/>
          <w:sz w:val="18"/>
        </w:rPr>
        <w:t> </w:t>
      </w:r>
      <w:r>
        <w:rPr>
          <w:spacing w:val="-3"/>
          <w:sz w:val="18"/>
        </w:rPr>
        <w:t>盐酸羟甲唑啉、</w:t>
      </w:r>
      <w:r>
        <w:rPr>
          <w:rFonts w:ascii="Times New Roman" w:hAnsi="Times New Roman" w:eastAsia="Times New Roman"/>
          <w:spacing w:val="-3"/>
          <w:sz w:val="18"/>
        </w:rPr>
        <w:t>50μg/mL</w:t>
      </w:r>
      <w:r>
        <w:rPr>
          <w:rFonts w:ascii="Times New Roman" w:hAnsi="Times New Roman" w:eastAsia="Times New Roman"/>
          <w:spacing w:val="-8"/>
          <w:sz w:val="18"/>
        </w:rPr>
        <w:t> </w:t>
      </w:r>
      <w:r>
        <w:rPr>
          <w:spacing w:val="-3"/>
          <w:sz w:val="18"/>
        </w:rPr>
        <w:t>地塞米松、</w:t>
      </w:r>
      <w:r>
        <w:rPr>
          <w:rFonts w:ascii="Times New Roman" w:hAnsi="Times New Roman" w:eastAsia="Times New Roman"/>
          <w:spacing w:val="-3"/>
          <w:sz w:val="18"/>
        </w:rPr>
        <w:t>50μg/mL</w:t>
      </w:r>
      <w:r>
        <w:rPr>
          <w:rFonts w:ascii="Times New Roman" w:hAnsi="Times New Roman" w:eastAsia="Times New Roman"/>
          <w:spacing w:val="-8"/>
          <w:sz w:val="18"/>
        </w:rPr>
        <w:t> </w:t>
      </w:r>
      <w:r>
        <w:rPr>
          <w:spacing w:val="-3"/>
          <w:sz w:val="18"/>
        </w:rPr>
        <w:t>盐酸头孢甲肟、</w:t>
      </w:r>
      <w:r>
        <w:rPr>
          <w:rFonts w:ascii="Times New Roman" w:hAnsi="Times New Roman" w:eastAsia="Times New Roman"/>
          <w:spacing w:val="-3"/>
          <w:sz w:val="18"/>
        </w:rPr>
        <w:t>100μg/mL</w:t>
      </w:r>
      <w:r>
        <w:rPr>
          <w:rFonts w:ascii="Times New Roman" w:hAnsi="Times New Roman" w:eastAsia="Times New Roman"/>
          <w:spacing w:val="-11"/>
          <w:sz w:val="18"/>
        </w:rPr>
        <w:t> </w:t>
      </w:r>
      <w:r>
        <w:rPr>
          <w:spacing w:val="-3"/>
          <w:sz w:val="18"/>
        </w:rPr>
        <w:t>奥司他韦、</w:t>
      </w:r>
      <w:r>
        <w:rPr>
          <w:rFonts w:ascii="Times New Roman" w:hAnsi="Times New Roman" w:eastAsia="Times New Roman"/>
          <w:spacing w:val="-3"/>
          <w:sz w:val="18"/>
        </w:rPr>
        <w:t>100μg/mL</w:t>
      </w:r>
      <w:r>
        <w:rPr>
          <w:rFonts w:ascii="Times New Roman" w:hAnsi="Times New Roman" w:eastAsia="Times New Roman"/>
          <w:spacing w:val="-8"/>
          <w:sz w:val="18"/>
        </w:rPr>
        <w:t> </w:t>
      </w:r>
      <w:r>
        <w:rPr>
          <w:spacing w:val="-2"/>
          <w:sz w:val="18"/>
        </w:rPr>
        <w:t>扎那</w:t>
      </w:r>
      <w:r>
        <w:rPr>
          <w:spacing w:val="-3"/>
          <w:sz w:val="18"/>
        </w:rPr>
        <w:t>米韦、</w:t>
      </w:r>
      <w:r>
        <w:rPr>
          <w:rFonts w:ascii="Times New Roman" w:hAnsi="Times New Roman" w:eastAsia="Times New Roman"/>
          <w:spacing w:val="-3"/>
          <w:sz w:val="18"/>
        </w:rPr>
        <w:t>100μg/mL</w:t>
      </w:r>
      <w:r>
        <w:rPr>
          <w:rFonts w:ascii="Times New Roman" w:hAnsi="Times New Roman" w:eastAsia="Times New Roman"/>
          <w:spacing w:val="-5"/>
          <w:sz w:val="18"/>
        </w:rPr>
        <w:t> </w:t>
      </w:r>
      <w:r>
        <w:rPr>
          <w:spacing w:val="-3"/>
          <w:sz w:val="18"/>
        </w:rPr>
        <w:t>利巴韦林、</w:t>
      </w:r>
      <w:r>
        <w:rPr>
          <w:rFonts w:ascii="Times New Roman" w:hAnsi="Times New Roman" w:eastAsia="Times New Roman"/>
          <w:spacing w:val="-3"/>
          <w:sz w:val="18"/>
        </w:rPr>
        <w:t>100μg/mL</w:t>
      </w:r>
      <w:r>
        <w:rPr>
          <w:rFonts w:ascii="Times New Roman" w:hAnsi="Times New Roman" w:eastAsia="Times New Roman"/>
          <w:spacing w:val="-5"/>
          <w:sz w:val="18"/>
        </w:rPr>
        <w:t> </w:t>
      </w:r>
      <w:r>
        <w:rPr>
          <w:spacing w:val="-3"/>
          <w:sz w:val="18"/>
        </w:rPr>
        <w:t>阿奇霉素、</w:t>
      </w:r>
      <w:r>
        <w:rPr>
          <w:rFonts w:ascii="Times New Roman" w:hAnsi="Times New Roman" w:eastAsia="Times New Roman"/>
          <w:spacing w:val="-3"/>
          <w:sz w:val="18"/>
        </w:rPr>
        <w:t>300U/mLα-</w:t>
      </w:r>
      <w:r>
        <w:rPr>
          <w:spacing w:val="-3"/>
          <w:sz w:val="18"/>
        </w:rPr>
        <w:t>干扰素、</w:t>
      </w:r>
      <w:r>
        <w:rPr>
          <w:rFonts w:ascii="Times New Roman" w:hAnsi="Times New Roman" w:eastAsia="Times New Roman"/>
          <w:spacing w:val="-3"/>
          <w:sz w:val="18"/>
        </w:rPr>
        <w:t>320μg/mL</w:t>
      </w:r>
      <w:r>
        <w:rPr>
          <w:rFonts w:ascii="Times New Roman" w:hAnsi="Times New Roman" w:eastAsia="Times New Roman"/>
          <w:spacing w:val="-5"/>
          <w:sz w:val="18"/>
        </w:rPr>
        <w:t> </w:t>
      </w:r>
      <w:r>
        <w:rPr>
          <w:spacing w:val="-4"/>
          <w:sz w:val="18"/>
        </w:rPr>
        <w:t>布地奈德、</w:t>
      </w:r>
      <w:r>
        <w:rPr>
          <w:rFonts w:ascii="Times New Roman" w:hAnsi="Times New Roman" w:eastAsia="Times New Roman"/>
          <w:spacing w:val="-3"/>
          <w:sz w:val="18"/>
        </w:rPr>
        <w:t>125μg/mL</w:t>
      </w:r>
      <w:r>
        <w:rPr>
          <w:rFonts w:ascii="Times New Roman" w:hAnsi="Times New Roman" w:eastAsia="Times New Roman"/>
          <w:spacing w:val="-5"/>
          <w:sz w:val="18"/>
        </w:rPr>
        <w:t> </w:t>
      </w:r>
      <w:r>
        <w:rPr>
          <w:spacing w:val="-3"/>
          <w:sz w:val="18"/>
        </w:rPr>
        <w:t>苯福林、</w:t>
      </w:r>
      <w:r>
        <w:rPr>
          <w:rFonts w:ascii="Times New Roman" w:hAnsi="Times New Roman" w:eastAsia="Times New Roman"/>
          <w:spacing w:val="-3"/>
          <w:sz w:val="18"/>
        </w:rPr>
        <w:t>100μg/mL</w:t>
      </w:r>
      <w:r>
        <w:rPr>
          <w:rFonts w:ascii="Times New Roman" w:hAnsi="Times New Roman" w:eastAsia="Times New Roman"/>
          <w:spacing w:val="-9"/>
          <w:sz w:val="18"/>
        </w:rPr>
        <w:t> </w:t>
      </w:r>
      <w:r>
        <w:rPr>
          <w:spacing w:val="-3"/>
          <w:sz w:val="18"/>
        </w:rPr>
        <w:t>妥布霉素、</w:t>
      </w:r>
      <w:r>
        <w:rPr>
          <w:rFonts w:ascii="Times New Roman" w:hAnsi="Times New Roman" w:eastAsia="Times New Roman"/>
          <w:spacing w:val="-3"/>
          <w:sz w:val="18"/>
        </w:rPr>
        <w:t>50μg/mL</w:t>
      </w:r>
    </w:p>
    <w:p>
      <w:pPr>
        <w:pStyle w:val="BodyText"/>
        <w:spacing w:line="300" w:lineRule="auto" w:before="98"/>
        <w:ind w:right="260"/>
        <w:jc w:val="both"/>
      </w:pPr>
      <w:r>
        <w:rPr/>
        <w:br w:type="column"/>
      </w:r>
      <w:r>
        <w:rPr>
          <w:spacing w:val="-3"/>
        </w:rPr>
        <w:t>倍氯美松、</w:t>
      </w:r>
      <w:r>
        <w:rPr>
          <w:rFonts w:ascii="Times New Roman" w:hAnsi="Times New Roman" w:eastAsia="Times New Roman"/>
          <w:spacing w:val="-3"/>
        </w:rPr>
        <w:t>100μg/mL </w:t>
      </w:r>
      <w:r>
        <w:rPr>
          <w:spacing w:val="-3"/>
        </w:rPr>
        <w:t>氟尼缩松、</w:t>
      </w:r>
      <w:r>
        <w:rPr>
          <w:rFonts w:ascii="Times New Roman" w:hAnsi="Times New Roman" w:eastAsia="Times New Roman"/>
          <w:spacing w:val="-3"/>
        </w:rPr>
        <w:t>100μg/mL </w:t>
      </w:r>
      <w:r>
        <w:rPr>
          <w:spacing w:val="-3"/>
        </w:rPr>
        <w:t>莫米松、</w:t>
      </w:r>
      <w:r>
        <w:rPr>
          <w:rFonts w:ascii="Times New Roman" w:hAnsi="Times New Roman" w:eastAsia="Times New Roman"/>
          <w:spacing w:val="-3"/>
        </w:rPr>
        <w:t>200μg/mL </w:t>
      </w:r>
      <w:r>
        <w:rPr>
          <w:spacing w:val="-3"/>
        </w:rPr>
        <w:t>氟替卡松、</w:t>
      </w:r>
      <w:r>
        <w:rPr>
          <w:rFonts w:ascii="Times New Roman" w:hAnsi="Times New Roman" w:eastAsia="Times New Roman"/>
          <w:spacing w:val="-3"/>
        </w:rPr>
        <w:t>200μg/mL </w:t>
      </w:r>
      <w:r>
        <w:rPr>
          <w:spacing w:val="-3"/>
        </w:rPr>
        <w:t>盐酸组胺、</w:t>
      </w:r>
      <w:r>
        <w:rPr>
          <w:rFonts w:ascii="Times New Roman" w:hAnsi="Times New Roman" w:eastAsia="Times New Roman"/>
          <w:spacing w:val="-3"/>
        </w:rPr>
        <w:t>100μg/mL </w:t>
      </w:r>
      <w:r>
        <w:rPr>
          <w:spacing w:val="-3"/>
        </w:rPr>
        <w:t>帕拉米韦、</w:t>
      </w:r>
      <w:r>
        <w:rPr>
          <w:rFonts w:ascii="Times New Roman" w:hAnsi="Times New Roman" w:eastAsia="Times New Roman"/>
          <w:spacing w:val="-3"/>
        </w:rPr>
        <w:t>100μg/mL </w:t>
      </w:r>
      <w:r>
        <w:rPr>
          <w:spacing w:val="-2"/>
        </w:rPr>
        <w:t>洛匹那韦、</w:t>
      </w:r>
      <w:r>
        <w:rPr>
          <w:rFonts w:ascii="Times New Roman" w:hAnsi="Times New Roman" w:eastAsia="Times New Roman"/>
          <w:spacing w:val="-3"/>
        </w:rPr>
        <w:t>100μg/mL </w:t>
      </w:r>
      <w:r>
        <w:rPr>
          <w:spacing w:val="-3"/>
        </w:rPr>
        <w:t>莫匹罗星、</w:t>
      </w:r>
      <w:r>
        <w:rPr>
          <w:rFonts w:ascii="Times New Roman" w:hAnsi="Times New Roman" w:eastAsia="Times New Roman"/>
          <w:spacing w:val="-3"/>
        </w:rPr>
        <w:t>100μg/mL </w:t>
      </w:r>
      <w:r>
        <w:rPr>
          <w:spacing w:val="-3"/>
        </w:rPr>
        <w:t>曲安奈德、</w:t>
      </w:r>
      <w:r>
        <w:rPr>
          <w:rFonts w:ascii="Times New Roman" w:hAnsi="Times New Roman" w:eastAsia="Times New Roman"/>
          <w:spacing w:val="-3"/>
        </w:rPr>
        <w:t>100μg/mL </w:t>
      </w:r>
      <w:r>
        <w:rPr>
          <w:spacing w:val="-3"/>
        </w:rPr>
        <w:t>利托那韦、</w:t>
      </w:r>
      <w:r>
        <w:rPr>
          <w:rFonts w:ascii="Times New Roman" w:hAnsi="Times New Roman" w:eastAsia="Times New Roman"/>
          <w:spacing w:val="-3"/>
        </w:rPr>
        <w:t>100μg/mL </w:t>
      </w:r>
      <w:r>
        <w:rPr>
          <w:spacing w:val="-3"/>
        </w:rPr>
        <w:t>阿比多尔、</w:t>
      </w:r>
      <w:r>
        <w:rPr>
          <w:rFonts w:ascii="Times New Roman" w:hAnsi="Times New Roman" w:eastAsia="Times New Roman"/>
          <w:spacing w:val="-3"/>
        </w:rPr>
        <w:t>60μg/mL </w:t>
      </w:r>
      <w:r>
        <w:rPr>
          <w:spacing w:val="-3"/>
        </w:rPr>
        <w:t>氯化钠、</w:t>
      </w:r>
      <w:r>
        <w:rPr>
          <w:rFonts w:ascii="Times New Roman" w:hAnsi="Times New Roman" w:eastAsia="Times New Roman"/>
          <w:spacing w:val="-3"/>
        </w:rPr>
        <w:t>100μg/mL </w:t>
      </w:r>
      <w:r>
        <w:rPr>
          <w:spacing w:val="-3"/>
        </w:rPr>
        <w:t>尿素、</w:t>
      </w:r>
      <w:r>
        <w:rPr>
          <w:rFonts w:ascii="Times New Roman" w:hAnsi="Times New Roman" w:eastAsia="Times New Roman"/>
          <w:spacing w:val="-3"/>
        </w:rPr>
        <w:t>10μg/mL </w:t>
      </w:r>
      <w:r>
        <w:rPr>
          <w:spacing w:val="-3"/>
        </w:rPr>
        <w:t>血红素、</w:t>
      </w:r>
      <w:r>
        <w:rPr>
          <w:rFonts w:ascii="Times New Roman" w:hAnsi="Times New Roman" w:eastAsia="Times New Roman"/>
          <w:spacing w:val="-3"/>
        </w:rPr>
        <w:t>20μg/mL </w:t>
      </w:r>
      <w:r>
        <w:rPr>
          <w:spacing w:val="-3"/>
        </w:rPr>
        <w:t>纯化粘蛋白、</w:t>
      </w:r>
      <w:r>
        <w:rPr>
          <w:rFonts w:ascii="Times New Roman" w:hAnsi="Times New Roman" w:eastAsia="Times New Roman"/>
          <w:spacing w:val="-3"/>
        </w:rPr>
        <w:t>20%(v/v)</w:t>
      </w:r>
      <w:r>
        <w:rPr>
          <w:spacing w:val="-3"/>
        </w:rPr>
        <w:t>无水乙醇、</w:t>
      </w:r>
      <w:r>
        <w:rPr>
          <w:rFonts w:ascii="Times New Roman" w:hAnsi="Times New Roman" w:eastAsia="Times New Roman"/>
          <w:spacing w:val="-3"/>
        </w:rPr>
        <w:t>20%(v/v)</w:t>
      </w:r>
      <w:r>
        <w:rPr>
          <w:spacing w:val="-3"/>
        </w:rPr>
        <w:t>人全血对试剂盒的检测结果无明显干扰。</w:t>
      </w:r>
    </w:p>
    <w:p>
      <w:pPr>
        <w:pStyle w:val="BodyText"/>
        <w:spacing w:line="302" w:lineRule="auto" w:before="4"/>
        <w:ind w:right="198"/>
      </w:pPr>
      <w:r>
        <w:rPr>
          <w:rFonts w:ascii="Times New Roman" w:eastAsia="Times New Roman"/>
        </w:rPr>
        <w:t>5.</w:t>
      </w:r>
      <w:r>
        <w:rPr>
          <w:spacing w:val="-3"/>
        </w:rPr>
        <w:t>临床评价以《新型冠状病毒肺炎实验室检测技术指南》、《新型冠状病毒肺炎防控方案》和《新型冠状病毒肺炎诊疗方案》推荐方法得到的确诊</w:t>
      </w:r>
      <w:r>
        <w:rPr>
          <w:rFonts w:ascii="Times New Roman" w:eastAsia="Times New Roman"/>
        </w:rPr>
        <w:t>/</w:t>
      </w:r>
      <w:r>
        <w:rPr>
          <w:spacing w:val="-5"/>
        </w:rPr>
        <w:t>排除结果为对比，在湖南省疾病预防控制中心、军事科学院军事医学研究院、湖南省人民医院等 </w:t>
      </w:r>
      <w:r>
        <w:rPr>
          <w:rFonts w:ascii="Times New Roman" w:eastAsia="Times New Roman"/>
          <w:spacing w:val="-3"/>
        </w:rPr>
        <w:t>11 </w:t>
      </w:r>
      <w:r>
        <w:rPr>
          <w:spacing w:val="-3"/>
        </w:rPr>
        <w:t>家机构收集临床实际使用数据进行统计分析，经综合评价，确认产品临床性能能够满足疫情应急需要。临床评价的样本类型涵盖了咽拭子和肺泡灌洗液。在上市后将进一步收集临床数据对产品临床性能进行确认。</w:t>
      </w:r>
    </w:p>
    <w:p>
      <w:pPr>
        <w:pStyle w:val="Heading1"/>
        <w:spacing w:line="227" w:lineRule="exact" w:before="0"/>
      </w:pPr>
      <w:r>
        <w:rPr/>
        <w:t>【注意事项】</w:t>
      </w:r>
    </w:p>
    <w:p>
      <w:pPr>
        <w:pStyle w:val="ListParagraph"/>
        <w:numPr>
          <w:ilvl w:val="0"/>
          <w:numId w:val="9"/>
        </w:numPr>
        <w:tabs>
          <w:tab w:pos="254" w:val="left" w:leader="none"/>
        </w:tabs>
        <w:spacing w:line="240" w:lineRule="auto" w:before="60" w:after="0"/>
        <w:ind w:left="253" w:right="0" w:hanging="135"/>
        <w:jc w:val="left"/>
        <w:rPr>
          <w:rFonts w:ascii="Times New Roman" w:eastAsia="Times New Roman"/>
          <w:sz w:val="16"/>
        </w:rPr>
      </w:pPr>
      <w:r>
        <w:rPr>
          <w:spacing w:val="-3"/>
          <w:sz w:val="18"/>
        </w:rPr>
        <w:t>本品仅用于体外检测，使用前请仔细阅读本说明书。</w:t>
      </w:r>
    </w:p>
    <w:p>
      <w:pPr>
        <w:pStyle w:val="ListParagraph"/>
        <w:numPr>
          <w:ilvl w:val="0"/>
          <w:numId w:val="9"/>
        </w:numPr>
        <w:tabs>
          <w:tab w:pos="254" w:val="left" w:leader="none"/>
        </w:tabs>
        <w:spacing w:line="240" w:lineRule="auto" w:before="60" w:after="0"/>
        <w:ind w:left="253" w:right="0" w:hanging="135"/>
        <w:jc w:val="left"/>
        <w:rPr>
          <w:rFonts w:ascii="Times New Roman" w:eastAsia="Times New Roman"/>
          <w:sz w:val="16"/>
        </w:rPr>
      </w:pPr>
      <w:r>
        <w:rPr>
          <w:spacing w:val="-3"/>
          <w:sz w:val="18"/>
        </w:rPr>
        <w:t>实验前请熟悉和掌握需使用的各种仪器的操作方法和注意事项，对每次实验进行质量控制。</w:t>
      </w:r>
    </w:p>
    <w:p>
      <w:pPr>
        <w:pStyle w:val="ListParagraph"/>
        <w:numPr>
          <w:ilvl w:val="0"/>
          <w:numId w:val="9"/>
        </w:numPr>
        <w:tabs>
          <w:tab w:pos="254" w:val="left" w:leader="none"/>
        </w:tabs>
        <w:spacing w:line="302" w:lineRule="auto" w:before="60" w:after="0"/>
        <w:ind w:left="119" w:right="306" w:firstLine="0"/>
        <w:jc w:val="left"/>
        <w:rPr>
          <w:rFonts w:ascii="Times New Roman" w:eastAsia="Times New Roman"/>
          <w:sz w:val="16"/>
        </w:rPr>
      </w:pPr>
      <w:r>
        <w:rPr>
          <w:spacing w:val="1"/>
          <w:sz w:val="18"/>
        </w:rPr>
        <w:t>实验室管理应严格按照</w:t>
      </w:r>
      <w:r>
        <w:rPr>
          <w:rFonts w:ascii="Times New Roman" w:eastAsia="Times New Roman"/>
          <w:sz w:val="18"/>
        </w:rPr>
        <w:t>PCR</w:t>
      </w:r>
      <w:r>
        <w:rPr>
          <w:rFonts w:ascii="Times New Roman" w:eastAsia="Times New Roman"/>
          <w:spacing w:val="-16"/>
          <w:sz w:val="18"/>
        </w:rPr>
        <w:t> </w:t>
      </w:r>
      <w:r>
        <w:rPr>
          <w:spacing w:val="-3"/>
          <w:sz w:val="18"/>
        </w:rPr>
        <w:t>基因扩增实验室的管理规范，实验人员必须进行专业培训，实验过程严格分区进行，所用消耗品应灭菌后一次性使用，实验操作的每个阶段使用专用的仪器和设备，各区各阶段用品不能交叉使用。</w:t>
      </w:r>
    </w:p>
    <w:p>
      <w:pPr>
        <w:pStyle w:val="ListParagraph"/>
        <w:numPr>
          <w:ilvl w:val="0"/>
          <w:numId w:val="9"/>
        </w:numPr>
        <w:tabs>
          <w:tab w:pos="254" w:val="left" w:leader="none"/>
        </w:tabs>
        <w:spacing w:line="300" w:lineRule="auto" w:before="0" w:after="0"/>
        <w:ind w:left="119" w:right="186" w:firstLine="0"/>
        <w:jc w:val="left"/>
        <w:rPr>
          <w:rFonts w:ascii="Times New Roman" w:eastAsia="Times New Roman"/>
          <w:sz w:val="16"/>
        </w:rPr>
      </w:pPr>
      <w:r>
        <w:rPr>
          <w:spacing w:val="-3"/>
          <w:sz w:val="18"/>
        </w:rPr>
        <w:t>所有检测样品应视为具有传染性物质，实验过程中穿工作服，戴一次性手套并经常替换手套以避免样品间的交叉污染；样本操作、废弃物处理均需符合相关法规要求：卫生部《微生物生物医学实验室生物安全通用准则》和《医疗废物管理条例》。</w:t>
      </w:r>
    </w:p>
    <w:p>
      <w:pPr>
        <w:pStyle w:val="Heading1"/>
        <w:numPr>
          <w:ilvl w:val="0"/>
          <w:numId w:val="9"/>
        </w:numPr>
        <w:tabs>
          <w:tab w:pos="254" w:val="left" w:leader="none"/>
        </w:tabs>
        <w:spacing w:line="302" w:lineRule="auto" w:before="1" w:after="0"/>
        <w:ind w:left="119" w:right="324" w:firstLine="0"/>
        <w:jc w:val="left"/>
        <w:rPr>
          <w:rFonts w:ascii="Times New Roman" w:eastAsia="Times New Roman"/>
          <w:sz w:val="16"/>
        </w:rPr>
      </w:pPr>
      <w:r>
        <w:rPr>
          <w:rFonts w:ascii="黑体" w:eastAsia="黑体" w:hint="eastAsia"/>
          <w:spacing w:val="-3"/>
          <w:w w:val="95"/>
        </w:rPr>
        <w:t>提示：试剂保存、运输及使用过程中操作不当均可能影响其检测结果，如保存、运输不当，样本采集、样本处理及检测过程操作不    </w:t>
      </w:r>
      <w:r>
        <w:rPr>
          <w:rFonts w:ascii="黑体" w:eastAsia="黑体" w:hint="eastAsia"/>
          <w:spacing w:val="-3"/>
        </w:rPr>
        <w:t>规范等，请严格按照说明书规定操作。</w:t>
      </w:r>
    </w:p>
    <w:p>
      <w:pPr>
        <w:spacing w:line="302" w:lineRule="auto" w:before="0"/>
        <w:ind w:left="119" w:right="277" w:firstLine="0"/>
        <w:jc w:val="left"/>
        <w:rPr>
          <w:rFonts w:ascii="黑体" w:eastAsia="黑体" w:hint="eastAsia"/>
          <w:b/>
          <w:sz w:val="18"/>
        </w:rPr>
      </w:pPr>
      <w:r>
        <w:rPr>
          <w:rFonts w:ascii="黑体" w:eastAsia="黑体" w:hint="eastAsia"/>
          <w:b/>
          <w:spacing w:val="-3"/>
          <w:w w:val="95"/>
          <w:sz w:val="18"/>
        </w:rPr>
        <w:t>因拭子等样本采集过程及病毒感染过程本身的特点，可能存在采集到的样本量不足等原因带来的假阴性结果，应结合临床其他诊疗信    </w:t>
      </w:r>
      <w:r>
        <w:rPr>
          <w:rFonts w:ascii="黑体" w:eastAsia="黑体" w:hint="eastAsia"/>
          <w:b/>
          <w:spacing w:val="-3"/>
          <w:sz w:val="18"/>
        </w:rPr>
        <w:t>息综合判断，必要时复测。</w:t>
      </w:r>
    </w:p>
    <w:p>
      <w:pPr>
        <w:pStyle w:val="BodyText"/>
        <w:spacing w:before="5"/>
        <w:ind w:left="0"/>
        <w:rPr>
          <w:rFonts w:ascii="黑体"/>
          <w:b/>
          <w:sz w:val="22"/>
        </w:rPr>
      </w:pPr>
    </w:p>
    <w:p>
      <w:pPr>
        <w:spacing w:before="0"/>
        <w:ind w:left="119" w:right="0" w:firstLine="0"/>
        <w:jc w:val="left"/>
        <w:rPr>
          <w:b/>
          <w:sz w:val="18"/>
        </w:rPr>
      </w:pPr>
      <w:r>
        <w:rPr>
          <w:b/>
          <w:sz w:val="18"/>
        </w:rPr>
        <w:t>【参考文献】</w:t>
      </w:r>
    </w:p>
    <w:p>
      <w:pPr>
        <w:pStyle w:val="ListParagraph"/>
        <w:numPr>
          <w:ilvl w:val="1"/>
          <w:numId w:val="9"/>
        </w:numPr>
        <w:tabs>
          <w:tab w:pos="418" w:val="left" w:leader="none"/>
        </w:tabs>
        <w:spacing w:line="240" w:lineRule="auto" w:before="60" w:after="0"/>
        <w:ind w:left="417" w:right="0" w:hanging="210"/>
        <w:jc w:val="both"/>
        <w:rPr>
          <w:rFonts w:ascii="Times New Roman" w:eastAsia="Times New Roman"/>
          <w:sz w:val="18"/>
        </w:rPr>
      </w:pPr>
      <w:r>
        <w:rPr>
          <w:spacing w:val="-3"/>
          <w:sz w:val="18"/>
        </w:rPr>
        <w:t>何佩</w:t>
      </w:r>
      <w:r>
        <w:rPr>
          <w:rFonts w:ascii="Times New Roman" w:eastAsia="Times New Roman"/>
          <w:spacing w:val="-2"/>
          <w:sz w:val="18"/>
        </w:rPr>
        <w:t>, </w:t>
      </w:r>
      <w:r>
        <w:rPr>
          <w:spacing w:val="-2"/>
          <w:sz w:val="18"/>
        </w:rPr>
        <w:t>崔爱利</w:t>
      </w:r>
      <w:r>
        <w:rPr>
          <w:rFonts w:ascii="Times New Roman" w:eastAsia="Times New Roman"/>
          <w:spacing w:val="-2"/>
          <w:sz w:val="18"/>
        </w:rPr>
        <w:t>, </w:t>
      </w:r>
      <w:r>
        <w:rPr>
          <w:spacing w:val="-3"/>
          <w:sz w:val="18"/>
        </w:rPr>
        <w:t>徐瑾</w:t>
      </w:r>
      <w:r>
        <w:rPr>
          <w:rFonts w:ascii="Times New Roman" w:eastAsia="Times New Roman"/>
          <w:spacing w:val="-2"/>
          <w:sz w:val="18"/>
        </w:rPr>
        <w:t>, </w:t>
      </w:r>
      <w:r>
        <w:rPr>
          <w:rFonts w:ascii="Times New Roman" w:eastAsia="Times New Roman"/>
          <w:sz w:val="18"/>
        </w:rPr>
        <w:t>et</w:t>
      </w:r>
      <w:r>
        <w:rPr>
          <w:rFonts w:ascii="Times New Roman" w:eastAsia="Times New Roman"/>
          <w:spacing w:val="-7"/>
          <w:sz w:val="18"/>
        </w:rPr>
        <w:t> </w:t>
      </w:r>
      <w:r>
        <w:rPr>
          <w:rFonts w:ascii="Times New Roman" w:eastAsia="Times New Roman"/>
          <w:sz w:val="18"/>
        </w:rPr>
        <w:t>al</w:t>
      </w:r>
      <w:r>
        <w:rPr>
          <w:rFonts w:ascii="Times New Roman" w:eastAsia="Times New Roman"/>
          <w:spacing w:val="-2"/>
          <w:sz w:val="18"/>
        </w:rPr>
        <w:t>. </w:t>
      </w:r>
      <w:r>
        <w:rPr>
          <w:spacing w:val="3"/>
          <w:sz w:val="18"/>
        </w:rPr>
        <w:t>五株人冠状病毒</w:t>
      </w:r>
      <w:r>
        <w:rPr>
          <w:rFonts w:ascii="Times New Roman" w:eastAsia="Times New Roman"/>
          <w:sz w:val="18"/>
        </w:rPr>
        <w:t>NL63</w:t>
      </w:r>
      <w:r>
        <w:rPr>
          <w:rFonts w:ascii="Times New Roman" w:eastAsia="Times New Roman"/>
          <w:spacing w:val="-16"/>
          <w:sz w:val="18"/>
        </w:rPr>
        <w:t> </w:t>
      </w:r>
      <w:r>
        <w:rPr>
          <w:spacing w:val="3"/>
          <w:sz w:val="18"/>
        </w:rPr>
        <w:t>的基因型鉴定及</w:t>
      </w:r>
      <w:r>
        <w:rPr>
          <w:rFonts w:ascii="Times New Roman" w:eastAsia="Times New Roman"/>
          <w:spacing w:val="-3"/>
          <w:sz w:val="18"/>
        </w:rPr>
        <w:t>S1domain</w:t>
      </w:r>
      <w:r>
        <w:rPr>
          <w:rFonts w:ascii="Times New Roman" w:eastAsia="Times New Roman"/>
          <w:spacing w:val="-13"/>
          <w:sz w:val="18"/>
        </w:rPr>
        <w:t> </w:t>
      </w:r>
      <w:r>
        <w:rPr>
          <w:spacing w:val="-3"/>
          <w:sz w:val="18"/>
        </w:rPr>
        <w:t>基因特征分析</w:t>
      </w:r>
      <w:r>
        <w:rPr>
          <w:rFonts w:ascii="Times New Roman" w:eastAsia="Times New Roman"/>
          <w:sz w:val="18"/>
        </w:rPr>
        <w:t>[J</w:t>
      </w:r>
      <w:r>
        <w:rPr>
          <w:rFonts w:ascii="Times New Roman" w:eastAsia="Times New Roman"/>
          <w:spacing w:val="-3"/>
          <w:sz w:val="18"/>
        </w:rPr>
        <w:t>]. </w:t>
      </w:r>
      <w:r>
        <w:rPr>
          <w:spacing w:val="-3"/>
          <w:sz w:val="18"/>
        </w:rPr>
        <w:t>病毒学报</w:t>
      </w:r>
      <w:r>
        <w:rPr>
          <w:rFonts w:ascii="Times New Roman" w:eastAsia="Times New Roman"/>
          <w:spacing w:val="-2"/>
          <w:sz w:val="18"/>
        </w:rPr>
        <w:t>, </w:t>
      </w:r>
      <w:r>
        <w:rPr>
          <w:rFonts w:ascii="Times New Roman" w:eastAsia="Times New Roman"/>
          <w:spacing w:val="-3"/>
          <w:sz w:val="18"/>
        </w:rPr>
        <w:t>2019(2):202-210.</w:t>
      </w:r>
    </w:p>
    <w:p>
      <w:pPr>
        <w:pStyle w:val="ListParagraph"/>
        <w:numPr>
          <w:ilvl w:val="1"/>
          <w:numId w:val="9"/>
        </w:numPr>
        <w:tabs>
          <w:tab w:pos="418" w:val="left" w:leader="none"/>
        </w:tabs>
        <w:spacing w:line="324" w:lineRule="auto" w:before="60" w:after="0"/>
        <w:ind w:left="119" w:right="726" w:firstLine="88"/>
        <w:jc w:val="both"/>
        <w:rPr>
          <w:rFonts w:ascii="Times New Roman" w:hAnsi="Times New Roman" w:eastAsia="Times New Roman"/>
          <w:sz w:val="18"/>
        </w:rPr>
      </w:pPr>
      <w:r>
        <w:rPr>
          <w:spacing w:val="-2"/>
          <w:sz w:val="18"/>
        </w:rPr>
        <w:t>修文琼</w:t>
      </w:r>
      <w:r>
        <w:rPr>
          <w:rFonts w:ascii="Times New Roman" w:hAnsi="Times New Roman" w:eastAsia="Times New Roman"/>
          <w:spacing w:val="-4"/>
          <w:sz w:val="18"/>
        </w:rPr>
        <w:t>, </w:t>
      </w:r>
      <w:r>
        <w:rPr>
          <w:spacing w:val="-2"/>
          <w:sz w:val="18"/>
        </w:rPr>
        <w:t>郑奎城</w:t>
      </w:r>
      <w:r>
        <w:rPr>
          <w:rFonts w:ascii="Times New Roman" w:hAnsi="Times New Roman" w:eastAsia="Times New Roman"/>
          <w:spacing w:val="-3"/>
          <w:sz w:val="18"/>
        </w:rPr>
        <w:t>, </w:t>
      </w:r>
      <w:r>
        <w:rPr>
          <w:spacing w:val="-3"/>
          <w:sz w:val="18"/>
        </w:rPr>
        <w:t>吴冰珊</w:t>
      </w:r>
      <w:r>
        <w:rPr>
          <w:rFonts w:ascii="Times New Roman" w:hAnsi="Times New Roman" w:eastAsia="Times New Roman"/>
          <w:spacing w:val="-3"/>
          <w:sz w:val="18"/>
        </w:rPr>
        <w:t>, </w:t>
      </w:r>
      <w:r>
        <w:rPr>
          <w:rFonts w:ascii="Times New Roman" w:hAnsi="Times New Roman" w:eastAsia="Times New Roman"/>
          <w:sz w:val="18"/>
        </w:rPr>
        <w:t>et</w:t>
      </w:r>
      <w:r>
        <w:rPr>
          <w:rFonts w:ascii="Times New Roman" w:hAnsi="Times New Roman" w:eastAsia="Times New Roman"/>
          <w:spacing w:val="-5"/>
          <w:sz w:val="18"/>
        </w:rPr>
        <w:t> </w:t>
      </w:r>
      <w:r>
        <w:rPr>
          <w:rFonts w:ascii="Times New Roman" w:hAnsi="Times New Roman" w:eastAsia="Times New Roman"/>
          <w:sz w:val="18"/>
        </w:rPr>
        <w:t>al</w:t>
      </w:r>
      <w:r>
        <w:rPr>
          <w:rFonts w:ascii="Times New Roman" w:hAnsi="Times New Roman" w:eastAsia="Times New Roman"/>
          <w:spacing w:val="-4"/>
          <w:sz w:val="18"/>
        </w:rPr>
        <w:t>. </w:t>
      </w:r>
      <w:r>
        <w:rPr>
          <w:spacing w:val="5"/>
          <w:sz w:val="18"/>
        </w:rPr>
        <w:t>人冠状病毒</w:t>
      </w:r>
      <w:r>
        <w:rPr>
          <w:rFonts w:ascii="Times New Roman" w:hAnsi="Times New Roman" w:eastAsia="Times New Roman"/>
          <w:sz w:val="18"/>
        </w:rPr>
        <w:t>HKU1</w:t>
      </w:r>
      <w:r>
        <w:rPr>
          <w:rFonts w:ascii="Times New Roman" w:hAnsi="Times New Roman" w:eastAsia="Times New Roman"/>
          <w:spacing w:val="-4"/>
          <w:sz w:val="18"/>
        </w:rPr>
        <w:t> </w:t>
      </w:r>
      <w:r>
        <w:rPr>
          <w:rFonts w:ascii="Times New Roman" w:hAnsi="Times New Roman" w:eastAsia="Times New Roman"/>
          <w:sz w:val="18"/>
        </w:rPr>
        <w:t>N</w:t>
      </w:r>
      <w:r>
        <w:rPr>
          <w:rFonts w:ascii="Times New Roman" w:hAnsi="Times New Roman" w:eastAsia="Times New Roman"/>
          <w:spacing w:val="-13"/>
          <w:sz w:val="18"/>
        </w:rPr>
        <w:t> </w:t>
      </w:r>
      <w:r>
        <w:rPr>
          <w:spacing w:val="40"/>
          <w:sz w:val="18"/>
        </w:rPr>
        <w:t>和</w:t>
      </w:r>
      <w:r>
        <w:rPr>
          <w:rFonts w:ascii="Times New Roman" w:hAnsi="Times New Roman" w:eastAsia="Times New Roman"/>
          <w:sz w:val="18"/>
        </w:rPr>
        <w:t>S</w:t>
      </w:r>
      <w:r>
        <w:rPr>
          <w:rFonts w:ascii="Times New Roman" w:hAnsi="Times New Roman" w:eastAsia="Times New Roman"/>
          <w:spacing w:val="-15"/>
          <w:sz w:val="18"/>
        </w:rPr>
        <w:t> </w:t>
      </w:r>
      <w:r>
        <w:rPr>
          <w:spacing w:val="-3"/>
          <w:sz w:val="18"/>
        </w:rPr>
        <w:t>蛋白基因序列及进化分析</w:t>
      </w:r>
      <w:r>
        <w:rPr>
          <w:rFonts w:ascii="Times New Roman" w:hAnsi="Times New Roman" w:eastAsia="Times New Roman"/>
          <w:sz w:val="18"/>
        </w:rPr>
        <w:t>[J</w:t>
      </w:r>
      <w:r>
        <w:rPr>
          <w:rFonts w:ascii="Times New Roman" w:hAnsi="Times New Roman" w:eastAsia="Times New Roman"/>
          <w:spacing w:val="-3"/>
          <w:sz w:val="18"/>
        </w:rPr>
        <w:t>]. </w:t>
      </w:r>
      <w:r>
        <w:rPr>
          <w:spacing w:val="-3"/>
          <w:sz w:val="18"/>
        </w:rPr>
        <w:t>中国人兽共患病学报</w:t>
      </w:r>
      <w:r>
        <w:rPr>
          <w:rFonts w:ascii="Times New Roman" w:hAnsi="Times New Roman" w:eastAsia="Times New Roman"/>
          <w:spacing w:val="-3"/>
          <w:sz w:val="18"/>
        </w:rPr>
        <w:t>, </w:t>
      </w:r>
      <w:r>
        <w:rPr>
          <w:rFonts w:ascii="Times New Roman" w:hAnsi="Times New Roman" w:eastAsia="Times New Roman"/>
          <w:sz w:val="18"/>
        </w:rPr>
        <w:t>2018</w:t>
      </w:r>
      <w:r>
        <w:rPr>
          <w:rFonts w:ascii="Times New Roman" w:hAnsi="Times New Roman" w:eastAsia="Times New Roman"/>
          <w:spacing w:val="-4"/>
          <w:sz w:val="18"/>
        </w:rPr>
        <w:t>, </w:t>
      </w:r>
      <w:r>
        <w:rPr>
          <w:rFonts w:ascii="Times New Roman" w:hAnsi="Times New Roman" w:eastAsia="Times New Roman"/>
          <w:spacing w:val="-3"/>
          <w:sz w:val="18"/>
        </w:rPr>
        <w:t>34(6):527-531. [3]Aslak Widerøe Kristoffersen, </w:t>
      </w:r>
      <w:r>
        <w:rPr>
          <w:rFonts w:ascii="Times New Roman" w:hAnsi="Times New Roman" w:eastAsia="Times New Roman"/>
          <w:sz w:val="18"/>
        </w:rPr>
        <w:t>Svein Arne </w:t>
      </w:r>
      <w:r>
        <w:rPr>
          <w:rFonts w:ascii="Times New Roman" w:hAnsi="Times New Roman" w:eastAsia="Times New Roman"/>
          <w:spacing w:val="-3"/>
          <w:sz w:val="18"/>
        </w:rPr>
        <w:t>Nordbø, Rognlien </w:t>
      </w:r>
      <w:r>
        <w:rPr>
          <w:rFonts w:ascii="Times New Roman" w:hAnsi="Times New Roman" w:eastAsia="Times New Roman"/>
          <w:sz w:val="18"/>
        </w:rPr>
        <w:t>A G W , et al. </w:t>
      </w:r>
      <w:r>
        <w:rPr>
          <w:rFonts w:ascii="Times New Roman" w:hAnsi="Times New Roman" w:eastAsia="Times New Roman"/>
          <w:spacing w:val="-3"/>
          <w:sz w:val="18"/>
        </w:rPr>
        <w:t>Coronavirus Causes </w:t>
      </w:r>
      <w:r>
        <w:rPr>
          <w:rFonts w:ascii="Times New Roman" w:hAnsi="Times New Roman" w:eastAsia="Times New Roman"/>
          <w:sz w:val="18"/>
        </w:rPr>
        <w:t>Lower Respiratory Tract Infections Less Frequently</w:t>
      </w:r>
      <w:r>
        <w:rPr>
          <w:rFonts w:ascii="Times New Roman" w:hAnsi="Times New Roman" w:eastAsia="Times New Roman"/>
          <w:spacing w:val="-9"/>
          <w:sz w:val="18"/>
        </w:rPr>
        <w:t> </w:t>
      </w:r>
      <w:r>
        <w:rPr>
          <w:rFonts w:ascii="Times New Roman" w:hAnsi="Times New Roman" w:eastAsia="Times New Roman"/>
          <w:sz w:val="18"/>
        </w:rPr>
        <w:t>Than</w:t>
      </w:r>
      <w:r>
        <w:rPr>
          <w:rFonts w:ascii="Times New Roman" w:hAnsi="Times New Roman" w:eastAsia="Times New Roman"/>
          <w:spacing w:val="-7"/>
          <w:sz w:val="18"/>
        </w:rPr>
        <w:t> </w:t>
      </w:r>
      <w:r>
        <w:rPr>
          <w:rFonts w:ascii="Times New Roman" w:hAnsi="Times New Roman" w:eastAsia="Times New Roman"/>
          <w:sz w:val="18"/>
        </w:rPr>
        <w:t>RSV</w:t>
      </w:r>
      <w:r>
        <w:rPr>
          <w:rFonts w:ascii="Times New Roman" w:hAnsi="Times New Roman" w:eastAsia="Times New Roman"/>
          <w:spacing w:val="-7"/>
          <w:sz w:val="18"/>
        </w:rPr>
        <w:t> </w:t>
      </w:r>
      <w:r>
        <w:rPr>
          <w:rFonts w:ascii="Times New Roman" w:hAnsi="Times New Roman" w:eastAsia="Times New Roman"/>
          <w:sz w:val="18"/>
        </w:rPr>
        <w:t>in</w:t>
      </w:r>
      <w:r>
        <w:rPr>
          <w:rFonts w:ascii="Times New Roman" w:hAnsi="Times New Roman" w:eastAsia="Times New Roman"/>
          <w:spacing w:val="-7"/>
          <w:sz w:val="18"/>
        </w:rPr>
        <w:t> </w:t>
      </w:r>
      <w:r>
        <w:rPr>
          <w:rFonts w:ascii="Times New Roman" w:hAnsi="Times New Roman" w:eastAsia="Times New Roman"/>
          <w:spacing w:val="-3"/>
          <w:sz w:val="18"/>
        </w:rPr>
        <w:t>Hospitalized</w:t>
      </w:r>
      <w:r>
        <w:rPr>
          <w:rFonts w:ascii="Times New Roman" w:hAnsi="Times New Roman" w:eastAsia="Times New Roman"/>
          <w:spacing w:val="-7"/>
          <w:sz w:val="18"/>
        </w:rPr>
        <w:t> </w:t>
      </w:r>
      <w:r>
        <w:rPr>
          <w:rFonts w:ascii="Times New Roman" w:hAnsi="Times New Roman" w:eastAsia="Times New Roman"/>
          <w:spacing w:val="-3"/>
          <w:sz w:val="18"/>
        </w:rPr>
        <w:t>Norwegian</w:t>
      </w:r>
      <w:r>
        <w:rPr>
          <w:rFonts w:ascii="Times New Roman" w:hAnsi="Times New Roman" w:eastAsia="Times New Roman"/>
          <w:spacing w:val="-6"/>
          <w:sz w:val="18"/>
        </w:rPr>
        <w:t> </w:t>
      </w:r>
      <w:r>
        <w:rPr>
          <w:rFonts w:ascii="Times New Roman" w:hAnsi="Times New Roman" w:eastAsia="Times New Roman"/>
          <w:sz w:val="18"/>
        </w:rPr>
        <w:t>Children[J</w:t>
      </w:r>
      <w:r>
        <w:rPr>
          <w:rFonts w:ascii="Times New Roman" w:hAnsi="Times New Roman" w:eastAsia="Times New Roman"/>
          <w:spacing w:val="-3"/>
          <w:sz w:val="18"/>
        </w:rPr>
        <w:t>]. </w:t>
      </w:r>
      <w:r>
        <w:rPr>
          <w:rFonts w:ascii="Times New Roman" w:hAnsi="Times New Roman" w:eastAsia="Times New Roman"/>
          <w:sz w:val="18"/>
        </w:rPr>
        <w:t>The</w:t>
      </w:r>
      <w:r>
        <w:rPr>
          <w:rFonts w:ascii="Times New Roman" w:hAnsi="Times New Roman" w:eastAsia="Times New Roman"/>
          <w:spacing w:val="-6"/>
          <w:sz w:val="18"/>
        </w:rPr>
        <w:t> </w:t>
      </w:r>
      <w:r>
        <w:rPr>
          <w:rFonts w:ascii="Times New Roman" w:hAnsi="Times New Roman" w:eastAsia="Times New Roman"/>
          <w:spacing w:val="-3"/>
          <w:sz w:val="18"/>
        </w:rPr>
        <w:t>Pediatric</w:t>
      </w:r>
      <w:r>
        <w:rPr>
          <w:rFonts w:ascii="Times New Roman" w:hAnsi="Times New Roman" w:eastAsia="Times New Roman"/>
          <w:spacing w:val="-5"/>
          <w:sz w:val="18"/>
        </w:rPr>
        <w:t> </w:t>
      </w:r>
      <w:r>
        <w:rPr>
          <w:rFonts w:ascii="Times New Roman" w:hAnsi="Times New Roman" w:eastAsia="Times New Roman"/>
          <w:spacing w:val="-3"/>
          <w:sz w:val="18"/>
        </w:rPr>
        <w:t>Infectious</w:t>
      </w:r>
      <w:r>
        <w:rPr>
          <w:rFonts w:ascii="Times New Roman" w:hAnsi="Times New Roman" w:eastAsia="Times New Roman"/>
          <w:spacing w:val="-9"/>
          <w:sz w:val="18"/>
        </w:rPr>
        <w:t> </w:t>
      </w:r>
      <w:r>
        <w:rPr>
          <w:rFonts w:ascii="Times New Roman" w:hAnsi="Times New Roman" w:eastAsia="Times New Roman"/>
          <w:sz w:val="18"/>
        </w:rPr>
        <w:t>Disease</w:t>
      </w:r>
      <w:r>
        <w:rPr>
          <w:rFonts w:ascii="Times New Roman" w:hAnsi="Times New Roman" w:eastAsia="Times New Roman"/>
          <w:spacing w:val="-3"/>
          <w:sz w:val="18"/>
        </w:rPr>
        <w:t> Journal</w:t>
      </w:r>
      <w:r>
        <w:rPr>
          <w:rFonts w:ascii="Times New Roman" w:hAnsi="Times New Roman" w:eastAsia="Times New Roman"/>
          <w:spacing w:val="-5"/>
          <w:sz w:val="18"/>
        </w:rPr>
        <w:t>, </w:t>
      </w:r>
      <w:r>
        <w:rPr>
          <w:rFonts w:ascii="Times New Roman" w:hAnsi="Times New Roman" w:eastAsia="Times New Roman"/>
          <w:sz w:val="18"/>
        </w:rPr>
        <w:t>2010</w:t>
      </w:r>
      <w:r>
        <w:rPr>
          <w:rFonts w:ascii="Times New Roman" w:hAnsi="Times New Roman" w:eastAsia="Times New Roman"/>
          <w:spacing w:val="-4"/>
          <w:sz w:val="18"/>
        </w:rPr>
        <w:t>, </w:t>
      </w:r>
      <w:r>
        <w:rPr>
          <w:rFonts w:ascii="Times New Roman" w:hAnsi="Times New Roman" w:eastAsia="Times New Roman"/>
          <w:spacing w:val="-3"/>
          <w:sz w:val="18"/>
        </w:rPr>
        <w:t>30(4):279-283.</w:t>
      </w:r>
    </w:p>
    <w:p>
      <w:pPr>
        <w:pStyle w:val="BodyText"/>
        <w:spacing w:line="336" w:lineRule="auto" w:before="11"/>
        <w:ind w:right="672" w:firstLine="88"/>
        <w:jc w:val="both"/>
        <w:rPr>
          <w:rFonts w:ascii="Times New Roman" w:hAnsi="Times New Roman"/>
        </w:rPr>
      </w:pPr>
      <w:r>
        <w:rPr>
          <w:rFonts w:ascii="Times New Roman" w:hAnsi="Times New Roman"/>
        </w:rPr>
        <w:t>[4]E.</w:t>
      </w:r>
      <w:r>
        <w:rPr>
          <w:rFonts w:ascii="Times New Roman" w:hAnsi="Times New Roman"/>
          <w:spacing w:val="-13"/>
        </w:rPr>
        <w:t> </w:t>
      </w:r>
      <w:r>
        <w:rPr>
          <w:rFonts w:ascii="Times New Roman" w:hAnsi="Times New Roman"/>
        </w:rPr>
        <w:t>Moës,</w:t>
      </w:r>
      <w:r>
        <w:rPr>
          <w:rFonts w:ascii="Times New Roman" w:hAnsi="Times New Roman"/>
          <w:spacing w:val="-11"/>
        </w:rPr>
        <w:t> </w:t>
      </w:r>
      <w:r>
        <w:rPr>
          <w:rFonts w:ascii="Times New Roman" w:hAnsi="Times New Roman"/>
        </w:rPr>
        <w:t>Vijgen</w:t>
      </w:r>
      <w:r>
        <w:rPr>
          <w:rFonts w:ascii="Times New Roman" w:hAnsi="Times New Roman"/>
          <w:spacing w:val="-10"/>
        </w:rPr>
        <w:t> </w:t>
      </w:r>
      <w:r>
        <w:rPr>
          <w:rFonts w:ascii="Times New Roman" w:hAnsi="Times New Roman"/>
        </w:rPr>
        <w:t>L</w:t>
      </w:r>
      <w:r>
        <w:rPr>
          <w:rFonts w:ascii="Times New Roman" w:hAnsi="Times New Roman"/>
          <w:spacing w:val="-8"/>
        </w:rPr>
        <w:t> </w:t>
      </w:r>
      <w:r>
        <w:rPr>
          <w:rFonts w:ascii="Times New Roman" w:hAnsi="Times New Roman"/>
        </w:rPr>
        <w:t>,</w:t>
      </w:r>
      <w:r>
        <w:rPr>
          <w:rFonts w:ascii="Times New Roman" w:hAnsi="Times New Roman"/>
          <w:spacing w:val="-9"/>
        </w:rPr>
        <w:t> </w:t>
      </w:r>
      <w:r>
        <w:rPr>
          <w:rFonts w:ascii="Times New Roman" w:hAnsi="Times New Roman"/>
        </w:rPr>
        <w:t>Keyaerts</w:t>
      </w:r>
      <w:r>
        <w:rPr>
          <w:rFonts w:ascii="Times New Roman" w:hAnsi="Times New Roman"/>
          <w:spacing w:val="-9"/>
        </w:rPr>
        <w:t> </w:t>
      </w:r>
      <w:r>
        <w:rPr>
          <w:rFonts w:ascii="Times New Roman" w:hAnsi="Times New Roman"/>
        </w:rPr>
        <w:t>E</w:t>
      </w:r>
      <w:r>
        <w:rPr>
          <w:rFonts w:ascii="Times New Roman" w:hAnsi="Times New Roman"/>
          <w:spacing w:val="-9"/>
        </w:rPr>
        <w:t> </w:t>
      </w:r>
      <w:r>
        <w:rPr>
          <w:rFonts w:ascii="Times New Roman" w:hAnsi="Times New Roman"/>
        </w:rPr>
        <w:t>,</w:t>
      </w:r>
      <w:r>
        <w:rPr>
          <w:rFonts w:ascii="Times New Roman" w:hAnsi="Times New Roman"/>
          <w:spacing w:val="-8"/>
        </w:rPr>
        <w:t> </w:t>
      </w:r>
      <w:r>
        <w:rPr>
          <w:rFonts w:ascii="Times New Roman" w:hAnsi="Times New Roman"/>
        </w:rPr>
        <w:t>et</w:t>
      </w:r>
      <w:r>
        <w:rPr>
          <w:rFonts w:ascii="Times New Roman" w:hAnsi="Times New Roman"/>
          <w:spacing w:val="-11"/>
        </w:rPr>
        <w:t> </w:t>
      </w:r>
      <w:r>
        <w:rPr>
          <w:rFonts w:ascii="Times New Roman" w:hAnsi="Times New Roman"/>
        </w:rPr>
        <w:t>al.</w:t>
      </w:r>
      <w:r>
        <w:rPr>
          <w:rFonts w:ascii="Times New Roman" w:hAnsi="Times New Roman"/>
          <w:spacing w:val="-11"/>
        </w:rPr>
        <w:t> </w:t>
      </w:r>
      <w:r>
        <w:rPr>
          <w:rFonts w:ascii="Times New Roman" w:hAnsi="Times New Roman"/>
        </w:rPr>
        <w:t>A</w:t>
      </w:r>
      <w:r>
        <w:rPr>
          <w:rFonts w:ascii="Times New Roman" w:hAnsi="Times New Roman"/>
          <w:spacing w:val="-7"/>
        </w:rPr>
        <w:t> </w:t>
      </w:r>
      <w:r>
        <w:rPr>
          <w:rFonts w:ascii="Times New Roman" w:hAnsi="Times New Roman"/>
        </w:rPr>
        <w:t>novel</w:t>
      </w:r>
      <w:r>
        <w:rPr>
          <w:rFonts w:ascii="Times New Roman" w:hAnsi="Times New Roman"/>
          <w:spacing w:val="-11"/>
        </w:rPr>
        <w:t> </w:t>
      </w:r>
      <w:r>
        <w:rPr>
          <w:rFonts w:ascii="Times New Roman" w:hAnsi="Times New Roman"/>
          <w:spacing w:val="-3"/>
        </w:rPr>
        <w:t>pancoronavirus</w:t>
      </w:r>
      <w:r>
        <w:rPr>
          <w:rFonts w:ascii="Times New Roman" w:hAnsi="Times New Roman"/>
          <w:spacing w:val="-12"/>
        </w:rPr>
        <w:t> </w:t>
      </w:r>
      <w:r>
        <w:rPr>
          <w:rFonts w:ascii="Times New Roman" w:hAnsi="Times New Roman"/>
        </w:rPr>
        <w:t>RT-PCR</w:t>
      </w:r>
      <w:r>
        <w:rPr>
          <w:rFonts w:ascii="Times New Roman" w:hAnsi="Times New Roman"/>
          <w:spacing w:val="-11"/>
        </w:rPr>
        <w:t> </w:t>
      </w:r>
      <w:r>
        <w:rPr>
          <w:rFonts w:ascii="Times New Roman" w:hAnsi="Times New Roman"/>
        </w:rPr>
        <w:t>assay:</w:t>
      </w:r>
      <w:r>
        <w:rPr>
          <w:rFonts w:ascii="Times New Roman" w:hAnsi="Times New Roman"/>
          <w:spacing w:val="-8"/>
        </w:rPr>
        <w:t> </w:t>
      </w:r>
      <w:r>
        <w:rPr>
          <w:rFonts w:ascii="Times New Roman" w:hAnsi="Times New Roman"/>
          <w:spacing w:val="-3"/>
        </w:rPr>
        <w:t>frequent</w:t>
      </w:r>
      <w:r>
        <w:rPr>
          <w:rFonts w:ascii="Times New Roman" w:hAnsi="Times New Roman"/>
          <w:spacing w:val="-11"/>
        </w:rPr>
        <w:t> </w:t>
      </w:r>
      <w:r>
        <w:rPr>
          <w:rFonts w:ascii="Times New Roman" w:hAnsi="Times New Roman"/>
        </w:rPr>
        <w:t>detection</w:t>
      </w:r>
      <w:r>
        <w:rPr>
          <w:rFonts w:ascii="Times New Roman" w:hAnsi="Times New Roman"/>
          <w:spacing w:val="-11"/>
        </w:rPr>
        <w:t> </w:t>
      </w:r>
      <w:r>
        <w:rPr>
          <w:rFonts w:ascii="Times New Roman" w:hAnsi="Times New Roman"/>
        </w:rPr>
        <w:t>of</w:t>
      </w:r>
      <w:r>
        <w:rPr>
          <w:rFonts w:ascii="Times New Roman" w:hAnsi="Times New Roman"/>
          <w:spacing w:val="-11"/>
        </w:rPr>
        <w:t> </w:t>
      </w:r>
      <w:r>
        <w:rPr>
          <w:rFonts w:ascii="Times New Roman" w:hAnsi="Times New Roman"/>
        </w:rPr>
        <w:t>human</w:t>
      </w:r>
      <w:r>
        <w:rPr>
          <w:rFonts w:ascii="Times New Roman" w:hAnsi="Times New Roman"/>
          <w:spacing w:val="-10"/>
        </w:rPr>
        <w:t> </w:t>
      </w:r>
      <w:r>
        <w:rPr>
          <w:rFonts w:ascii="Times New Roman" w:hAnsi="Times New Roman"/>
          <w:spacing w:val="-3"/>
        </w:rPr>
        <w:t>coronavirus</w:t>
      </w:r>
      <w:r>
        <w:rPr>
          <w:rFonts w:ascii="Times New Roman" w:hAnsi="Times New Roman"/>
          <w:spacing w:val="-10"/>
        </w:rPr>
        <w:t> </w:t>
      </w:r>
      <w:r>
        <w:rPr>
          <w:rFonts w:ascii="Times New Roman" w:hAnsi="Times New Roman"/>
        </w:rPr>
        <w:t>NL63</w:t>
      </w:r>
      <w:r>
        <w:rPr>
          <w:rFonts w:ascii="Times New Roman" w:hAnsi="Times New Roman"/>
          <w:spacing w:val="-12"/>
        </w:rPr>
        <w:t> </w:t>
      </w:r>
      <w:r>
        <w:rPr>
          <w:rFonts w:ascii="Times New Roman" w:hAnsi="Times New Roman"/>
        </w:rPr>
        <w:t>in</w:t>
      </w:r>
      <w:r>
        <w:rPr>
          <w:rFonts w:ascii="Times New Roman" w:hAnsi="Times New Roman"/>
          <w:spacing w:val="-10"/>
        </w:rPr>
        <w:t> </w:t>
      </w:r>
      <w:r>
        <w:rPr>
          <w:rFonts w:ascii="Times New Roman" w:hAnsi="Times New Roman"/>
        </w:rPr>
        <w:t>children </w:t>
      </w:r>
      <w:r>
        <w:rPr>
          <w:rFonts w:ascii="Times New Roman" w:hAnsi="Times New Roman"/>
          <w:spacing w:val="-3"/>
        </w:rPr>
        <w:t>hospitalized</w:t>
      </w:r>
      <w:r>
        <w:rPr>
          <w:rFonts w:ascii="Times New Roman" w:hAnsi="Times New Roman"/>
          <w:spacing w:val="-7"/>
        </w:rPr>
        <w:t> </w:t>
      </w:r>
      <w:r>
        <w:rPr>
          <w:rFonts w:ascii="Times New Roman" w:hAnsi="Times New Roman"/>
        </w:rPr>
        <w:t>with</w:t>
      </w:r>
      <w:r>
        <w:rPr>
          <w:rFonts w:ascii="Times New Roman" w:hAnsi="Times New Roman"/>
          <w:spacing w:val="-7"/>
        </w:rPr>
        <w:t> </w:t>
      </w:r>
      <w:r>
        <w:rPr>
          <w:rFonts w:ascii="Times New Roman" w:hAnsi="Times New Roman"/>
        </w:rPr>
        <w:t>respiratory</w:t>
      </w:r>
      <w:r>
        <w:rPr>
          <w:rFonts w:ascii="Times New Roman" w:hAnsi="Times New Roman"/>
          <w:spacing w:val="-7"/>
        </w:rPr>
        <w:t> </w:t>
      </w:r>
      <w:r>
        <w:rPr>
          <w:rFonts w:ascii="Times New Roman" w:hAnsi="Times New Roman"/>
        </w:rPr>
        <w:t>tract</w:t>
      </w:r>
      <w:r>
        <w:rPr>
          <w:rFonts w:ascii="Times New Roman" w:hAnsi="Times New Roman"/>
          <w:spacing w:val="-4"/>
        </w:rPr>
        <w:t> </w:t>
      </w:r>
      <w:r>
        <w:rPr>
          <w:rFonts w:ascii="Times New Roman" w:hAnsi="Times New Roman"/>
        </w:rPr>
        <w:t>infections</w:t>
      </w:r>
      <w:r>
        <w:rPr>
          <w:rFonts w:ascii="Times New Roman" w:hAnsi="Times New Roman"/>
          <w:spacing w:val="-9"/>
        </w:rPr>
        <w:t> </w:t>
      </w:r>
      <w:r>
        <w:rPr>
          <w:rFonts w:ascii="Times New Roman" w:hAnsi="Times New Roman"/>
        </w:rPr>
        <w:t>in</w:t>
      </w:r>
      <w:r>
        <w:rPr>
          <w:rFonts w:ascii="Times New Roman" w:hAnsi="Times New Roman"/>
          <w:spacing w:val="-7"/>
        </w:rPr>
        <w:t> </w:t>
      </w:r>
      <w:r>
        <w:rPr>
          <w:rFonts w:ascii="Times New Roman" w:hAnsi="Times New Roman"/>
        </w:rPr>
        <w:t>Belgium[J].</w:t>
      </w:r>
      <w:r>
        <w:rPr>
          <w:rFonts w:ascii="Times New Roman" w:hAnsi="Times New Roman"/>
          <w:spacing w:val="-10"/>
        </w:rPr>
        <w:t> </w:t>
      </w:r>
      <w:r>
        <w:rPr>
          <w:rFonts w:ascii="Times New Roman" w:hAnsi="Times New Roman"/>
        </w:rPr>
        <w:t>BMC</w:t>
      </w:r>
      <w:r>
        <w:rPr>
          <w:rFonts w:ascii="Times New Roman" w:hAnsi="Times New Roman"/>
          <w:spacing w:val="-5"/>
        </w:rPr>
        <w:t> </w:t>
      </w:r>
      <w:r>
        <w:rPr>
          <w:rFonts w:ascii="Times New Roman" w:hAnsi="Times New Roman"/>
          <w:spacing w:val="-3"/>
        </w:rPr>
        <w:t>Infectious</w:t>
      </w:r>
      <w:r>
        <w:rPr>
          <w:rFonts w:ascii="Times New Roman" w:hAnsi="Times New Roman"/>
          <w:spacing w:val="-9"/>
        </w:rPr>
        <w:t> </w:t>
      </w:r>
      <w:r>
        <w:rPr>
          <w:rFonts w:ascii="Times New Roman" w:hAnsi="Times New Roman"/>
          <w:spacing w:val="-2"/>
        </w:rPr>
        <w:t>Diseases,</w:t>
      </w:r>
      <w:r>
        <w:rPr>
          <w:rFonts w:ascii="Times New Roman" w:hAnsi="Times New Roman"/>
          <w:spacing w:val="-5"/>
        </w:rPr>
        <w:t> </w:t>
      </w:r>
      <w:r>
        <w:rPr>
          <w:rFonts w:ascii="Times New Roman" w:hAnsi="Times New Roman"/>
        </w:rPr>
        <w:t>2005,</w:t>
      </w:r>
      <w:r>
        <w:rPr>
          <w:rFonts w:ascii="Times New Roman" w:hAnsi="Times New Roman"/>
          <w:spacing w:val="-10"/>
        </w:rPr>
        <w:t> </w:t>
      </w:r>
      <w:r>
        <w:rPr>
          <w:rFonts w:ascii="Times New Roman" w:hAnsi="Times New Roman"/>
        </w:rPr>
        <w:t>5.</w:t>
      </w:r>
    </w:p>
    <w:p>
      <w:pPr>
        <w:pStyle w:val="Heading1"/>
        <w:spacing w:line="220" w:lineRule="exact" w:before="0"/>
      </w:pPr>
      <w:r>
        <w:rPr/>
        <w:t>【基本信息】</w:t>
      </w:r>
    </w:p>
    <w:p>
      <w:pPr>
        <w:pStyle w:val="BodyText"/>
        <w:spacing w:line="302" w:lineRule="auto" w:before="59"/>
        <w:ind w:left="208" w:right="6527"/>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spacing w:line="230" w:lineRule="exact" w:before="0"/>
        <w:ind w:left="208"/>
        <w:jc w:val="both"/>
        <w:rPr>
          <w:rFonts w:ascii="Times New Roman" w:eastAsia="Times New Roman"/>
        </w:rPr>
      </w:pPr>
      <w:r>
        <w:rPr/>
        <w:t>联系方式：</w:t>
      </w:r>
      <w:r>
        <w:rPr>
          <w:rFonts w:ascii="Times New Roman" w:eastAsia="Times New Roman"/>
        </w:rPr>
        <w:t>0731-88883176 </w:t>
      </w:r>
      <w:r>
        <w:rPr/>
        <w:t>传真号码：</w:t>
      </w:r>
      <w:r>
        <w:rPr>
          <w:rFonts w:ascii="Times New Roman" w:eastAsia="Times New Roman"/>
        </w:rPr>
        <w:t>0731-88884876</w:t>
      </w:r>
    </w:p>
    <w:p>
      <w:pPr>
        <w:pStyle w:val="BodyText"/>
        <w:ind w:left="208"/>
      </w:pPr>
      <w:r>
        <w:rPr/>
        <w:t>售后服务单位名称：圣湘生物科技股份有限公司</w:t>
      </w:r>
    </w:p>
    <w:p>
      <w:pPr>
        <w:pStyle w:val="BodyText"/>
        <w:spacing w:before="58"/>
        <w:ind w:left="208"/>
        <w:jc w:val="both"/>
        <w:rPr>
          <w:rFonts w:ascii="Times New Roman" w:eastAsia="Times New Roman"/>
        </w:rPr>
      </w:pPr>
      <w:r>
        <w:rPr/>
        <w:t>联系方式：</w:t>
      </w:r>
      <w:r>
        <w:rPr>
          <w:rFonts w:ascii="Times New Roman" w:eastAsia="Times New Roman"/>
        </w:rPr>
        <w:t>0731-88883176 </w:t>
      </w:r>
      <w:r>
        <w:rPr/>
        <w:t>传真号码：</w:t>
      </w:r>
      <w:r>
        <w:rPr>
          <w:rFonts w:ascii="Times New Roman" w:eastAsia="Times New Roman"/>
        </w:rPr>
        <w:t>0731-88884876</w:t>
      </w:r>
    </w:p>
    <w:p>
      <w:pPr>
        <w:pStyle w:val="BodyText"/>
        <w:spacing w:before="59"/>
        <w:ind w:left="208"/>
      </w:pPr>
      <w:r>
        <w:rPr/>
        <w:t>医疗器械生产许可证编号：湘食药监械生产许 </w:t>
      </w:r>
      <w:r>
        <w:rPr>
          <w:rFonts w:ascii="Times New Roman" w:eastAsia="Times New Roman"/>
        </w:rPr>
        <w:t>20150036 </w:t>
      </w:r>
      <w:r>
        <w:rPr/>
        <w:t>号</w:t>
      </w:r>
    </w:p>
    <w:p>
      <w:pPr>
        <w:pStyle w:val="BodyText"/>
        <w:ind w:left="208"/>
      </w:pPr>
      <w:r>
        <w:rPr/>
        <w:t>生产地址：长沙高新技术产业开发区麓松路 </w:t>
      </w:r>
      <w:r>
        <w:rPr>
          <w:rFonts w:ascii="Times New Roman" w:eastAsia="Times New Roman"/>
        </w:rPr>
        <w:t>680 </w:t>
      </w:r>
      <w:r>
        <w:rPr/>
        <w:t>号</w:t>
      </w:r>
    </w:p>
    <w:p>
      <w:pPr>
        <w:pStyle w:val="Heading1"/>
        <w:spacing w:before="9"/>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20203400064</w:t>
      </w:r>
    </w:p>
    <w:p>
      <w:pPr>
        <w:spacing w:before="53"/>
        <w:ind w:left="119" w:right="0" w:firstLine="0"/>
        <w:jc w:val="left"/>
        <w:rPr>
          <w:b/>
          <w:sz w:val="18"/>
        </w:rPr>
      </w:pPr>
      <w:r>
        <w:rPr>
          <w:b/>
          <w:sz w:val="18"/>
        </w:rPr>
        <w:t>【说明书核准日期及修改日期】</w:t>
      </w:r>
      <w:r>
        <w:rPr>
          <w:rFonts w:ascii="Times New Roman" w:eastAsia="Times New Roman"/>
          <w:b/>
          <w:sz w:val="18"/>
        </w:rPr>
        <w:t>2020 </w:t>
      </w:r>
      <w:r>
        <w:rPr>
          <w:b/>
          <w:sz w:val="18"/>
        </w:rPr>
        <w:t>年 </w:t>
      </w:r>
      <w:r>
        <w:rPr>
          <w:rFonts w:ascii="Times New Roman" w:eastAsia="Times New Roman"/>
          <w:b/>
          <w:sz w:val="18"/>
        </w:rPr>
        <w:t>04 </w:t>
      </w:r>
      <w:r>
        <w:rPr>
          <w:b/>
          <w:sz w:val="18"/>
        </w:rPr>
        <w:t>月 </w:t>
      </w:r>
      <w:r>
        <w:rPr>
          <w:rFonts w:ascii="Times New Roman" w:eastAsia="Times New Roman"/>
          <w:b/>
          <w:sz w:val="18"/>
        </w:rPr>
        <w:t>27 </w:t>
      </w:r>
      <w:r>
        <w:rPr>
          <w:b/>
          <w:sz w:val="18"/>
        </w:rPr>
        <w:t>日</w:t>
      </w:r>
    </w:p>
    <w:sectPr>
      <w:pgSz w:w="23760" w:h="16790" w:orient="landscape"/>
      <w:pgMar w:header="881" w:footer="940" w:top="1320" w:bottom="1120" w:left="860" w:right="880"/>
      <w:cols w:num="2" w:equalWidth="0">
        <w:col w:w="11183" w:space="73"/>
        <w:col w:w="1076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黑体">
    <w:altName w:val="黑体"/>
    <w:charset w:val="86"/>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16"/>
      </w:rPr>
    </w:pPr>
    <w:r>
      <w:rPr/>
      <w:pict>
        <v:shape style="position:absolute;margin-left:485.720001pt;margin-top:779.851196pt;width:215.75pt;height:10.25pt;mso-position-horizontal-relative:page;mso-position-vertical-relative:page;z-index:-252128256" type="#_x0000_t202" filled="false" stroked="false">
          <v:textbox inset="0,0,0,0">
            <w:txbxContent>
              <w:p>
                <w:pPr>
                  <w:spacing w:before="2"/>
                  <w:ind w:left="20" w:right="0" w:firstLine="0"/>
                  <w:jc w:val="left"/>
                  <w:rPr>
                    <w:sz w:val="15"/>
                  </w:rPr>
                </w:pPr>
                <w:r>
                  <w:rPr>
                    <w:spacing w:val="-9"/>
                    <w:sz w:val="15"/>
                  </w:rPr>
                  <w:t>新型冠状病毒 </w:t>
                </w:r>
                <w:r>
                  <w:rPr>
                    <w:rFonts w:ascii="Times New Roman" w:eastAsia="Times New Roman"/>
                    <w:sz w:val="15"/>
                  </w:rPr>
                  <w:t>2019-nCoV </w:t>
                </w:r>
                <w:r>
                  <w:rPr>
                    <w:sz w:val="15"/>
                  </w:rPr>
                  <w:t>核酸检测试剂盒（</w:t>
                </w:r>
                <w:r>
                  <w:rPr>
                    <w:spacing w:val="-16"/>
                    <w:sz w:val="15"/>
                  </w:rPr>
                  <w:t>荧光 </w:t>
                </w:r>
                <w:r>
                  <w:rPr>
                    <w:rFonts w:ascii="Times New Roman" w:eastAsia="Times New Roman"/>
                    <w:sz w:val="15"/>
                  </w:rPr>
                  <w:t>PCR </w:t>
                </w:r>
                <w:r>
                  <w:rPr>
                    <w:sz w:val="15"/>
                  </w:rPr>
                  <w:t>法）说明书</w:t>
                </w:r>
              </w:p>
            </w:txbxContent>
          </v:textbox>
          <w10:wrap type="none"/>
        </v:shape>
      </w:pict>
    </w:r>
    <w:r>
      <w:rPr/>
      <w:pict>
        <v:shape style="position:absolute;margin-left:1127.31897pt;margin-top:779.715637pt;width:8.5pt;height:11pt;mso-position-horizontal-relative:page;mso-position-vertical-relative:page;z-index:-252127232" type="#_x0000_t202" filled="false" stroked="false">
          <v:textbox inset="0,0,0,0">
            <w:txbxContent>
              <w:p>
                <w:pPr>
                  <w:pStyle w:val="BodyText"/>
                  <w:spacing w:line="220" w:lineRule="exact" w:before="0"/>
                  <w:ind w:left="40"/>
                </w:pPr>
                <w:r>
                  <w:rPr/>
                  <w:fldChar w:fldCharType="begin"/>
                </w:r>
                <w:r>
                  <w:rPr/>
                  <w:instrText> PAGE </w:instrText>
                </w:r>
                <w:r>
                  <w:rPr/>
                  <w:fldChar w:fldCharType="separate"/>
                </w:r>
                <w:r>
                  <w:rPr/>
                  <w:t>2</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ind w:left="0"/>
      <w:rPr>
        <w:sz w:val="20"/>
      </w:rPr>
    </w:pPr>
    <w:r>
      <w:rPr/>
      <w:pict>
        <v:line style="position:absolute;mso-position-horizontal-relative:page;mso-position-vertical-relative:page;z-index:-252130304" from="54pt,55.549999pt" to="1132.850pt,55.549999pt" stroked="true" strokeweight=".72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1023.799988pt;margin-top:43.035625pt;width:110pt;height:11pt;mso-position-horizontal-relative:page;mso-position-vertical-relative:page;z-index:-252129280" type="#_x0000_t202" filled="false" stroked="false">
          <v:textbox inset="0,0,0,0">
            <w:txbxContent>
              <w:p>
                <w:pPr>
                  <w:pStyle w:val="BodyText"/>
                  <w:spacing w:line="220" w:lineRule="exact" w:before="0"/>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253" w:hanging="135"/>
        <w:jc w:val="left"/>
      </w:pPr>
      <w:rPr>
        <w:rFonts w:hint="default"/>
        <w:spacing w:val="-2"/>
        <w:w w:val="100"/>
        <w:lang w:val="zh-CN" w:eastAsia="zh-CN" w:bidi="zh-CN"/>
      </w:rPr>
    </w:lvl>
    <w:lvl w:ilvl="1">
      <w:start w:val="1"/>
      <w:numFmt w:val="decimal"/>
      <w:lvlText w:val="[%2]"/>
      <w:lvlJc w:val="left"/>
      <w:pPr>
        <w:ind w:left="417" w:hanging="210"/>
        <w:jc w:val="left"/>
      </w:pPr>
      <w:rPr>
        <w:rFonts w:hint="default" w:ascii="Times New Roman" w:hAnsi="Times New Roman" w:eastAsia="Times New Roman" w:cs="Times New Roman"/>
        <w:spacing w:val="-8"/>
        <w:w w:val="100"/>
        <w:sz w:val="16"/>
        <w:szCs w:val="16"/>
        <w:lang w:val="zh-CN" w:eastAsia="zh-CN" w:bidi="zh-CN"/>
      </w:rPr>
    </w:lvl>
    <w:lvl w:ilvl="2">
      <w:start w:val="0"/>
      <w:numFmt w:val="bullet"/>
      <w:lvlText w:val="•"/>
      <w:lvlJc w:val="left"/>
      <w:pPr>
        <w:ind w:left="1569" w:hanging="210"/>
      </w:pPr>
      <w:rPr>
        <w:rFonts w:hint="default"/>
        <w:lang w:val="zh-CN" w:eastAsia="zh-CN" w:bidi="zh-CN"/>
      </w:rPr>
    </w:lvl>
    <w:lvl w:ilvl="3">
      <w:start w:val="0"/>
      <w:numFmt w:val="bullet"/>
      <w:lvlText w:val="•"/>
      <w:lvlJc w:val="left"/>
      <w:pPr>
        <w:ind w:left="2718" w:hanging="210"/>
      </w:pPr>
      <w:rPr>
        <w:rFonts w:hint="default"/>
        <w:lang w:val="zh-CN" w:eastAsia="zh-CN" w:bidi="zh-CN"/>
      </w:rPr>
    </w:lvl>
    <w:lvl w:ilvl="4">
      <w:start w:val="0"/>
      <w:numFmt w:val="bullet"/>
      <w:lvlText w:val="•"/>
      <w:lvlJc w:val="left"/>
      <w:pPr>
        <w:ind w:left="3868" w:hanging="210"/>
      </w:pPr>
      <w:rPr>
        <w:rFonts w:hint="default"/>
        <w:lang w:val="zh-CN" w:eastAsia="zh-CN" w:bidi="zh-CN"/>
      </w:rPr>
    </w:lvl>
    <w:lvl w:ilvl="5">
      <w:start w:val="0"/>
      <w:numFmt w:val="bullet"/>
      <w:lvlText w:val="•"/>
      <w:lvlJc w:val="left"/>
      <w:pPr>
        <w:ind w:left="5017" w:hanging="210"/>
      </w:pPr>
      <w:rPr>
        <w:rFonts w:hint="default"/>
        <w:lang w:val="zh-CN" w:eastAsia="zh-CN" w:bidi="zh-CN"/>
      </w:rPr>
    </w:lvl>
    <w:lvl w:ilvl="6">
      <w:start w:val="0"/>
      <w:numFmt w:val="bullet"/>
      <w:lvlText w:val="•"/>
      <w:lvlJc w:val="left"/>
      <w:pPr>
        <w:ind w:left="6166" w:hanging="210"/>
      </w:pPr>
      <w:rPr>
        <w:rFonts w:hint="default"/>
        <w:lang w:val="zh-CN" w:eastAsia="zh-CN" w:bidi="zh-CN"/>
      </w:rPr>
    </w:lvl>
    <w:lvl w:ilvl="7">
      <w:start w:val="0"/>
      <w:numFmt w:val="bullet"/>
      <w:lvlText w:val="•"/>
      <w:lvlJc w:val="left"/>
      <w:pPr>
        <w:ind w:left="7316" w:hanging="210"/>
      </w:pPr>
      <w:rPr>
        <w:rFonts w:hint="default"/>
        <w:lang w:val="zh-CN" w:eastAsia="zh-CN" w:bidi="zh-CN"/>
      </w:rPr>
    </w:lvl>
    <w:lvl w:ilvl="8">
      <w:start w:val="0"/>
      <w:numFmt w:val="bullet"/>
      <w:lvlText w:val="•"/>
      <w:lvlJc w:val="left"/>
      <w:pPr>
        <w:ind w:left="8465" w:hanging="210"/>
      </w:pPr>
      <w:rPr>
        <w:rFonts w:hint="default"/>
        <w:lang w:val="zh-CN" w:eastAsia="zh-CN" w:bidi="zh-CN"/>
      </w:rPr>
    </w:lvl>
  </w:abstractNum>
  <w:abstractNum w:abstractNumId="7">
    <w:multiLevelType w:val="hybridMultilevel"/>
    <w:lvl w:ilvl="0">
      <w:start w:val="1"/>
      <w:numFmt w:val="decimal"/>
      <w:lvlText w:val="%1."/>
      <w:lvlJc w:val="left"/>
      <w:pPr>
        <w:ind w:left="253" w:hanging="135"/>
        <w:jc w:val="left"/>
      </w:pPr>
      <w:rPr>
        <w:rFonts w:hint="default" w:ascii="Times New Roman" w:hAnsi="Times New Roman" w:eastAsia="Times New Roman" w:cs="Times New Roman"/>
        <w:spacing w:val="-2"/>
        <w:w w:val="100"/>
        <w:sz w:val="16"/>
        <w:szCs w:val="16"/>
        <w:lang w:val="zh-CN" w:eastAsia="zh-CN" w:bidi="zh-CN"/>
      </w:rPr>
    </w:lvl>
    <w:lvl w:ilvl="1">
      <w:start w:val="0"/>
      <w:numFmt w:val="bullet"/>
      <w:lvlText w:val="•"/>
      <w:lvlJc w:val="left"/>
      <w:pPr>
        <w:ind w:left="1352" w:hanging="135"/>
      </w:pPr>
      <w:rPr>
        <w:rFonts w:hint="default"/>
        <w:lang w:val="zh-CN" w:eastAsia="zh-CN" w:bidi="zh-CN"/>
      </w:rPr>
    </w:lvl>
    <w:lvl w:ilvl="2">
      <w:start w:val="0"/>
      <w:numFmt w:val="bullet"/>
      <w:lvlText w:val="•"/>
      <w:lvlJc w:val="left"/>
      <w:pPr>
        <w:ind w:left="2444" w:hanging="135"/>
      </w:pPr>
      <w:rPr>
        <w:rFonts w:hint="default"/>
        <w:lang w:val="zh-CN" w:eastAsia="zh-CN" w:bidi="zh-CN"/>
      </w:rPr>
    </w:lvl>
    <w:lvl w:ilvl="3">
      <w:start w:val="0"/>
      <w:numFmt w:val="bullet"/>
      <w:lvlText w:val="•"/>
      <w:lvlJc w:val="left"/>
      <w:pPr>
        <w:ind w:left="3536" w:hanging="135"/>
      </w:pPr>
      <w:rPr>
        <w:rFonts w:hint="default"/>
        <w:lang w:val="zh-CN" w:eastAsia="zh-CN" w:bidi="zh-CN"/>
      </w:rPr>
    </w:lvl>
    <w:lvl w:ilvl="4">
      <w:start w:val="0"/>
      <w:numFmt w:val="bullet"/>
      <w:lvlText w:val="•"/>
      <w:lvlJc w:val="left"/>
      <w:pPr>
        <w:ind w:left="4629" w:hanging="135"/>
      </w:pPr>
      <w:rPr>
        <w:rFonts w:hint="default"/>
        <w:lang w:val="zh-CN" w:eastAsia="zh-CN" w:bidi="zh-CN"/>
      </w:rPr>
    </w:lvl>
    <w:lvl w:ilvl="5">
      <w:start w:val="0"/>
      <w:numFmt w:val="bullet"/>
      <w:lvlText w:val="•"/>
      <w:lvlJc w:val="left"/>
      <w:pPr>
        <w:ind w:left="5721" w:hanging="135"/>
      </w:pPr>
      <w:rPr>
        <w:rFonts w:hint="default"/>
        <w:lang w:val="zh-CN" w:eastAsia="zh-CN" w:bidi="zh-CN"/>
      </w:rPr>
    </w:lvl>
    <w:lvl w:ilvl="6">
      <w:start w:val="0"/>
      <w:numFmt w:val="bullet"/>
      <w:lvlText w:val="•"/>
      <w:lvlJc w:val="left"/>
      <w:pPr>
        <w:ind w:left="6813" w:hanging="135"/>
      </w:pPr>
      <w:rPr>
        <w:rFonts w:hint="default"/>
        <w:lang w:val="zh-CN" w:eastAsia="zh-CN" w:bidi="zh-CN"/>
      </w:rPr>
    </w:lvl>
    <w:lvl w:ilvl="7">
      <w:start w:val="0"/>
      <w:numFmt w:val="bullet"/>
      <w:lvlText w:val="•"/>
      <w:lvlJc w:val="left"/>
      <w:pPr>
        <w:ind w:left="7906" w:hanging="135"/>
      </w:pPr>
      <w:rPr>
        <w:rFonts w:hint="default"/>
        <w:lang w:val="zh-CN" w:eastAsia="zh-CN" w:bidi="zh-CN"/>
      </w:rPr>
    </w:lvl>
    <w:lvl w:ilvl="8">
      <w:start w:val="0"/>
      <w:numFmt w:val="bullet"/>
      <w:lvlText w:val="•"/>
      <w:lvlJc w:val="left"/>
      <w:pPr>
        <w:ind w:left="8998" w:hanging="135"/>
      </w:pPr>
      <w:rPr>
        <w:rFonts w:hint="default"/>
        <w:lang w:val="zh-CN" w:eastAsia="zh-CN" w:bidi="zh-CN"/>
      </w:rPr>
    </w:lvl>
  </w:abstractNum>
  <w:abstractNum w:abstractNumId="6">
    <w:multiLevelType w:val="hybridMultilevel"/>
    <w:lvl w:ilvl="0">
      <w:start w:val="1"/>
      <w:numFmt w:val="decimal"/>
      <w:lvlText w:val="%1."/>
      <w:lvlJc w:val="left"/>
      <w:pPr>
        <w:ind w:left="253" w:hanging="135"/>
        <w:jc w:val="left"/>
      </w:pPr>
      <w:rPr>
        <w:rFonts w:hint="default" w:ascii="Times New Roman" w:hAnsi="Times New Roman" w:eastAsia="Times New Roman" w:cs="Times New Roman"/>
        <w:spacing w:val="-2"/>
        <w:w w:val="100"/>
        <w:sz w:val="16"/>
        <w:szCs w:val="16"/>
        <w:lang w:val="zh-CN" w:eastAsia="zh-CN" w:bidi="zh-CN"/>
      </w:rPr>
    </w:lvl>
    <w:lvl w:ilvl="1">
      <w:start w:val="1"/>
      <w:numFmt w:val="decimal"/>
      <w:lvlText w:val="%1.%2"/>
      <w:lvlJc w:val="left"/>
      <w:pPr>
        <w:ind w:left="373" w:hanging="255"/>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1580" w:hanging="255"/>
      </w:pPr>
      <w:rPr>
        <w:rFonts w:hint="default"/>
        <w:lang w:val="zh-CN" w:eastAsia="zh-CN" w:bidi="zh-CN"/>
      </w:rPr>
    </w:lvl>
    <w:lvl w:ilvl="3">
      <w:start w:val="0"/>
      <w:numFmt w:val="bullet"/>
      <w:lvlText w:val="•"/>
      <w:lvlJc w:val="left"/>
      <w:pPr>
        <w:ind w:left="2780" w:hanging="255"/>
      </w:pPr>
      <w:rPr>
        <w:rFonts w:hint="default"/>
        <w:lang w:val="zh-CN" w:eastAsia="zh-CN" w:bidi="zh-CN"/>
      </w:rPr>
    </w:lvl>
    <w:lvl w:ilvl="4">
      <w:start w:val="0"/>
      <w:numFmt w:val="bullet"/>
      <w:lvlText w:val="•"/>
      <w:lvlJc w:val="left"/>
      <w:pPr>
        <w:ind w:left="3980" w:hanging="255"/>
      </w:pPr>
      <w:rPr>
        <w:rFonts w:hint="default"/>
        <w:lang w:val="zh-CN" w:eastAsia="zh-CN" w:bidi="zh-CN"/>
      </w:rPr>
    </w:lvl>
    <w:lvl w:ilvl="5">
      <w:start w:val="0"/>
      <w:numFmt w:val="bullet"/>
      <w:lvlText w:val="•"/>
      <w:lvlJc w:val="left"/>
      <w:pPr>
        <w:ind w:left="5181" w:hanging="255"/>
      </w:pPr>
      <w:rPr>
        <w:rFonts w:hint="default"/>
        <w:lang w:val="zh-CN" w:eastAsia="zh-CN" w:bidi="zh-CN"/>
      </w:rPr>
    </w:lvl>
    <w:lvl w:ilvl="6">
      <w:start w:val="0"/>
      <w:numFmt w:val="bullet"/>
      <w:lvlText w:val="•"/>
      <w:lvlJc w:val="left"/>
      <w:pPr>
        <w:ind w:left="6381" w:hanging="255"/>
      </w:pPr>
      <w:rPr>
        <w:rFonts w:hint="default"/>
        <w:lang w:val="zh-CN" w:eastAsia="zh-CN" w:bidi="zh-CN"/>
      </w:rPr>
    </w:lvl>
    <w:lvl w:ilvl="7">
      <w:start w:val="0"/>
      <w:numFmt w:val="bullet"/>
      <w:lvlText w:val="•"/>
      <w:lvlJc w:val="left"/>
      <w:pPr>
        <w:ind w:left="7581" w:hanging="255"/>
      </w:pPr>
      <w:rPr>
        <w:rFonts w:hint="default"/>
        <w:lang w:val="zh-CN" w:eastAsia="zh-CN" w:bidi="zh-CN"/>
      </w:rPr>
    </w:lvl>
    <w:lvl w:ilvl="8">
      <w:start w:val="0"/>
      <w:numFmt w:val="bullet"/>
      <w:lvlText w:val="•"/>
      <w:lvlJc w:val="left"/>
      <w:pPr>
        <w:ind w:left="8782" w:hanging="255"/>
      </w:pPr>
      <w:rPr>
        <w:rFonts w:hint="default"/>
        <w:lang w:val="zh-CN" w:eastAsia="zh-CN" w:bidi="zh-CN"/>
      </w:rPr>
    </w:lvl>
  </w:abstractNum>
  <w:abstractNum w:abstractNumId="5">
    <w:multiLevelType w:val="hybridMultilevel"/>
    <w:lvl w:ilvl="0">
      <w:start w:val="1"/>
      <w:numFmt w:val="decimal"/>
      <w:lvlText w:val="%1."/>
      <w:lvlJc w:val="left"/>
      <w:pPr>
        <w:ind w:left="294" w:hanging="176"/>
        <w:jc w:val="left"/>
      </w:pPr>
      <w:rPr>
        <w:rFonts w:hint="default" w:ascii="Times New Roman" w:hAnsi="Times New Roman" w:eastAsia="Times New Roman" w:cs="Times New Roman"/>
        <w:spacing w:val="-2"/>
        <w:w w:val="100"/>
        <w:sz w:val="18"/>
        <w:szCs w:val="18"/>
        <w:lang w:val="zh-CN" w:eastAsia="zh-CN" w:bidi="zh-CN"/>
      </w:rPr>
    </w:lvl>
    <w:lvl w:ilvl="1">
      <w:start w:val="0"/>
      <w:numFmt w:val="bullet"/>
      <w:lvlText w:val="•"/>
      <w:lvlJc w:val="left"/>
      <w:pPr>
        <w:ind w:left="1388" w:hanging="176"/>
      </w:pPr>
      <w:rPr>
        <w:rFonts w:hint="default"/>
        <w:lang w:val="zh-CN" w:eastAsia="zh-CN" w:bidi="zh-CN"/>
      </w:rPr>
    </w:lvl>
    <w:lvl w:ilvl="2">
      <w:start w:val="0"/>
      <w:numFmt w:val="bullet"/>
      <w:lvlText w:val="•"/>
      <w:lvlJc w:val="left"/>
      <w:pPr>
        <w:ind w:left="2476" w:hanging="176"/>
      </w:pPr>
      <w:rPr>
        <w:rFonts w:hint="default"/>
        <w:lang w:val="zh-CN" w:eastAsia="zh-CN" w:bidi="zh-CN"/>
      </w:rPr>
    </w:lvl>
    <w:lvl w:ilvl="3">
      <w:start w:val="0"/>
      <w:numFmt w:val="bullet"/>
      <w:lvlText w:val="•"/>
      <w:lvlJc w:val="left"/>
      <w:pPr>
        <w:ind w:left="3564" w:hanging="176"/>
      </w:pPr>
      <w:rPr>
        <w:rFonts w:hint="default"/>
        <w:lang w:val="zh-CN" w:eastAsia="zh-CN" w:bidi="zh-CN"/>
      </w:rPr>
    </w:lvl>
    <w:lvl w:ilvl="4">
      <w:start w:val="0"/>
      <w:numFmt w:val="bullet"/>
      <w:lvlText w:val="•"/>
      <w:lvlJc w:val="left"/>
      <w:pPr>
        <w:ind w:left="4653" w:hanging="176"/>
      </w:pPr>
      <w:rPr>
        <w:rFonts w:hint="default"/>
        <w:lang w:val="zh-CN" w:eastAsia="zh-CN" w:bidi="zh-CN"/>
      </w:rPr>
    </w:lvl>
    <w:lvl w:ilvl="5">
      <w:start w:val="0"/>
      <w:numFmt w:val="bullet"/>
      <w:lvlText w:val="•"/>
      <w:lvlJc w:val="left"/>
      <w:pPr>
        <w:ind w:left="5741" w:hanging="176"/>
      </w:pPr>
      <w:rPr>
        <w:rFonts w:hint="default"/>
        <w:lang w:val="zh-CN" w:eastAsia="zh-CN" w:bidi="zh-CN"/>
      </w:rPr>
    </w:lvl>
    <w:lvl w:ilvl="6">
      <w:start w:val="0"/>
      <w:numFmt w:val="bullet"/>
      <w:lvlText w:val="•"/>
      <w:lvlJc w:val="left"/>
      <w:pPr>
        <w:ind w:left="6829" w:hanging="176"/>
      </w:pPr>
      <w:rPr>
        <w:rFonts w:hint="default"/>
        <w:lang w:val="zh-CN" w:eastAsia="zh-CN" w:bidi="zh-CN"/>
      </w:rPr>
    </w:lvl>
    <w:lvl w:ilvl="7">
      <w:start w:val="0"/>
      <w:numFmt w:val="bullet"/>
      <w:lvlText w:val="•"/>
      <w:lvlJc w:val="left"/>
      <w:pPr>
        <w:ind w:left="7918" w:hanging="176"/>
      </w:pPr>
      <w:rPr>
        <w:rFonts w:hint="default"/>
        <w:lang w:val="zh-CN" w:eastAsia="zh-CN" w:bidi="zh-CN"/>
      </w:rPr>
    </w:lvl>
    <w:lvl w:ilvl="8">
      <w:start w:val="0"/>
      <w:numFmt w:val="bullet"/>
      <w:lvlText w:val="•"/>
      <w:lvlJc w:val="left"/>
      <w:pPr>
        <w:ind w:left="9006" w:hanging="176"/>
      </w:pPr>
      <w:rPr>
        <w:rFonts w:hint="default"/>
        <w:lang w:val="zh-CN" w:eastAsia="zh-CN" w:bidi="zh-CN"/>
      </w:rPr>
    </w:lvl>
  </w:abstractNum>
  <w:abstractNum w:abstractNumId="4">
    <w:multiLevelType w:val="hybridMultilevel"/>
    <w:lvl w:ilvl="0">
      <w:start w:val="1"/>
      <w:numFmt w:val="decimal"/>
      <w:lvlText w:val="%1）"/>
      <w:lvlJc w:val="left"/>
      <w:pPr>
        <w:ind w:left="391" w:hanging="273"/>
        <w:jc w:val="left"/>
      </w:pPr>
      <w:rPr>
        <w:rFonts w:hint="default" w:ascii="Times New Roman" w:hAnsi="Times New Roman" w:eastAsia="Times New Roman" w:cs="Times New Roman"/>
        <w:spacing w:val="-2"/>
        <w:w w:val="100"/>
        <w:sz w:val="16"/>
        <w:szCs w:val="16"/>
        <w:lang w:val="zh-CN" w:eastAsia="zh-CN" w:bidi="zh-CN"/>
      </w:rPr>
    </w:lvl>
    <w:lvl w:ilvl="1">
      <w:start w:val="0"/>
      <w:numFmt w:val="bullet"/>
      <w:lvlText w:val="•"/>
      <w:lvlJc w:val="left"/>
      <w:pPr>
        <w:ind w:left="1436" w:hanging="273"/>
      </w:pPr>
      <w:rPr>
        <w:rFonts w:hint="default"/>
        <w:lang w:val="zh-CN" w:eastAsia="zh-CN" w:bidi="zh-CN"/>
      </w:rPr>
    </w:lvl>
    <w:lvl w:ilvl="2">
      <w:start w:val="0"/>
      <w:numFmt w:val="bullet"/>
      <w:lvlText w:val="•"/>
      <w:lvlJc w:val="left"/>
      <w:pPr>
        <w:ind w:left="2472" w:hanging="273"/>
      </w:pPr>
      <w:rPr>
        <w:rFonts w:hint="default"/>
        <w:lang w:val="zh-CN" w:eastAsia="zh-CN" w:bidi="zh-CN"/>
      </w:rPr>
    </w:lvl>
    <w:lvl w:ilvl="3">
      <w:start w:val="0"/>
      <w:numFmt w:val="bullet"/>
      <w:lvlText w:val="•"/>
      <w:lvlJc w:val="left"/>
      <w:pPr>
        <w:ind w:left="3509" w:hanging="273"/>
      </w:pPr>
      <w:rPr>
        <w:rFonts w:hint="default"/>
        <w:lang w:val="zh-CN" w:eastAsia="zh-CN" w:bidi="zh-CN"/>
      </w:rPr>
    </w:lvl>
    <w:lvl w:ilvl="4">
      <w:start w:val="0"/>
      <w:numFmt w:val="bullet"/>
      <w:lvlText w:val="•"/>
      <w:lvlJc w:val="left"/>
      <w:pPr>
        <w:ind w:left="4545" w:hanging="273"/>
      </w:pPr>
      <w:rPr>
        <w:rFonts w:hint="default"/>
        <w:lang w:val="zh-CN" w:eastAsia="zh-CN" w:bidi="zh-CN"/>
      </w:rPr>
    </w:lvl>
    <w:lvl w:ilvl="5">
      <w:start w:val="0"/>
      <w:numFmt w:val="bullet"/>
      <w:lvlText w:val="•"/>
      <w:lvlJc w:val="left"/>
      <w:pPr>
        <w:ind w:left="5582" w:hanging="273"/>
      </w:pPr>
      <w:rPr>
        <w:rFonts w:hint="default"/>
        <w:lang w:val="zh-CN" w:eastAsia="zh-CN" w:bidi="zh-CN"/>
      </w:rPr>
    </w:lvl>
    <w:lvl w:ilvl="6">
      <w:start w:val="0"/>
      <w:numFmt w:val="bullet"/>
      <w:lvlText w:val="•"/>
      <w:lvlJc w:val="left"/>
      <w:pPr>
        <w:ind w:left="6618" w:hanging="273"/>
      </w:pPr>
      <w:rPr>
        <w:rFonts w:hint="default"/>
        <w:lang w:val="zh-CN" w:eastAsia="zh-CN" w:bidi="zh-CN"/>
      </w:rPr>
    </w:lvl>
    <w:lvl w:ilvl="7">
      <w:start w:val="0"/>
      <w:numFmt w:val="bullet"/>
      <w:lvlText w:val="•"/>
      <w:lvlJc w:val="left"/>
      <w:pPr>
        <w:ind w:left="7654" w:hanging="273"/>
      </w:pPr>
      <w:rPr>
        <w:rFonts w:hint="default"/>
        <w:lang w:val="zh-CN" w:eastAsia="zh-CN" w:bidi="zh-CN"/>
      </w:rPr>
    </w:lvl>
    <w:lvl w:ilvl="8">
      <w:start w:val="0"/>
      <w:numFmt w:val="bullet"/>
      <w:lvlText w:val="•"/>
      <w:lvlJc w:val="left"/>
      <w:pPr>
        <w:ind w:left="8691" w:hanging="273"/>
      </w:pPr>
      <w:rPr>
        <w:rFonts w:hint="default"/>
        <w:lang w:val="zh-CN" w:eastAsia="zh-CN" w:bidi="zh-CN"/>
      </w:rPr>
    </w:lvl>
  </w:abstractNum>
  <w:abstractNum w:abstractNumId="3">
    <w:multiLevelType w:val="hybridMultilevel"/>
    <w:lvl w:ilvl="0">
      <w:start w:val="1"/>
      <w:numFmt w:val="decimal"/>
      <w:lvlText w:val="%1"/>
      <w:lvlJc w:val="left"/>
      <w:pPr>
        <w:ind w:left="256" w:hanging="137"/>
        <w:jc w:val="left"/>
      </w:pPr>
      <w:rPr>
        <w:rFonts w:hint="default" w:ascii="Times New Roman" w:hAnsi="Times New Roman" w:eastAsia="Times New Roman" w:cs="Times New Roman"/>
        <w:w w:val="100"/>
        <w:sz w:val="18"/>
        <w:szCs w:val="18"/>
        <w:lang w:val="zh-CN" w:eastAsia="zh-CN" w:bidi="zh-CN"/>
      </w:rPr>
    </w:lvl>
    <w:lvl w:ilvl="1">
      <w:start w:val="0"/>
      <w:numFmt w:val="bullet"/>
      <w:lvlText w:val="•"/>
      <w:lvlJc w:val="left"/>
      <w:pPr>
        <w:ind w:left="4500" w:hanging="137"/>
      </w:pPr>
      <w:rPr>
        <w:rFonts w:hint="default"/>
        <w:lang w:val="zh-CN" w:eastAsia="zh-CN" w:bidi="zh-CN"/>
      </w:rPr>
    </w:lvl>
    <w:lvl w:ilvl="2">
      <w:start w:val="0"/>
      <w:numFmt w:val="bullet"/>
      <w:lvlText w:val="•"/>
      <w:lvlJc w:val="left"/>
      <w:pPr>
        <w:ind w:left="3976" w:hanging="137"/>
      </w:pPr>
      <w:rPr>
        <w:rFonts w:hint="default"/>
        <w:lang w:val="zh-CN" w:eastAsia="zh-CN" w:bidi="zh-CN"/>
      </w:rPr>
    </w:lvl>
    <w:lvl w:ilvl="3">
      <w:start w:val="0"/>
      <w:numFmt w:val="bullet"/>
      <w:lvlText w:val="•"/>
      <w:lvlJc w:val="left"/>
      <w:pPr>
        <w:ind w:left="3453" w:hanging="137"/>
      </w:pPr>
      <w:rPr>
        <w:rFonts w:hint="default"/>
        <w:lang w:val="zh-CN" w:eastAsia="zh-CN" w:bidi="zh-CN"/>
      </w:rPr>
    </w:lvl>
    <w:lvl w:ilvl="4">
      <w:start w:val="0"/>
      <w:numFmt w:val="bullet"/>
      <w:lvlText w:val="•"/>
      <w:lvlJc w:val="left"/>
      <w:pPr>
        <w:ind w:left="2930" w:hanging="137"/>
      </w:pPr>
      <w:rPr>
        <w:rFonts w:hint="default"/>
        <w:lang w:val="zh-CN" w:eastAsia="zh-CN" w:bidi="zh-CN"/>
      </w:rPr>
    </w:lvl>
    <w:lvl w:ilvl="5">
      <w:start w:val="0"/>
      <w:numFmt w:val="bullet"/>
      <w:lvlText w:val="•"/>
      <w:lvlJc w:val="left"/>
      <w:pPr>
        <w:ind w:left="2407" w:hanging="137"/>
      </w:pPr>
      <w:rPr>
        <w:rFonts w:hint="default"/>
        <w:lang w:val="zh-CN" w:eastAsia="zh-CN" w:bidi="zh-CN"/>
      </w:rPr>
    </w:lvl>
    <w:lvl w:ilvl="6">
      <w:start w:val="0"/>
      <w:numFmt w:val="bullet"/>
      <w:lvlText w:val="•"/>
      <w:lvlJc w:val="left"/>
      <w:pPr>
        <w:ind w:left="1884" w:hanging="137"/>
      </w:pPr>
      <w:rPr>
        <w:rFonts w:hint="default"/>
        <w:lang w:val="zh-CN" w:eastAsia="zh-CN" w:bidi="zh-CN"/>
      </w:rPr>
    </w:lvl>
    <w:lvl w:ilvl="7">
      <w:start w:val="0"/>
      <w:numFmt w:val="bullet"/>
      <w:lvlText w:val="•"/>
      <w:lvlJc w:val="left"/>
      <w:pPr>
        <w:ind w:left="1361" w:hanging="137"/>
      </w:pPr>
      <w:rPr>
        <w:rFonts w:hint="default"/>
        <w:lang w:val="zh-CN" w:eastAsia="zh-CN" w:bidi="zh-CN"/>
      </w:rPr>
    </w:lvl>
    <w:lvl w:ilvl="8">
      <w:start w:val="0"/>
      <w:numFmt w:val="bullet"/>
      <w:lvlText w:val="•"/>
      <w:lvlJc w:val="left"/>
      <w:pPr>
        <w:ind w:left="838" w:hanging="137"/>
      </w:pPr>
      <w:rPr>
        <w:rFonts w:hint="default"/>
        <w:lang w:val="zh-CN" w:eastAsia="zh-CN" w:bidi="zh-CN"/>
      </w:rPr>
    </w:lvl>
  </w:abstractNum>
  <w:abstractNum w:abstractNumId="2">
    <w:multiLevelType w:val="hybridMultilevel"/>
    <w:lvl w:ilvl="0">
      <w:start w:val="1"/>
      <w:numFmt w:val="decimal"/>
      <w:lvlText w:val="%1）"/>
      <w:lvlJc w:val="left"/>
      <w:pPr>
        <w:ind w:left="391" w:hanging="273"/>
        <w:jc w:val="left"/>
      </w:pPr>
      <w:rPr>
        <w:rFonts w:hint="default" w:ascii="Times New Roman" w:hAnsi="Times New Roman" w:eastAsia="Times New Roman" w:cs="Times New Roman"/>
        <w:spacing w:val="-45"/>
        <w:w w:val="100"/>
        <w:sz w:val="16"/>
        <w:szCs w:val="16"/>
        <w:lang w:val="zh-CN" w:eastAsia="zh-CN" w:bidi="zh-CN"/>
      </w:rPr>
    </w:lvl>
    <w:lvl w:ilvl="1">
      <w:start w:val="0"/>
      <w:numFmt w:val="bullet"/>
      <w:lvlText w:val="•"/>
      <w:lvlJc w:val="left"/>
      <w:pPr>
        <w:ind w:left="1436" w:hanging="273"/>
      </w:pPr>
      <w:rPr>
        <w:rFonts w:hint="default"/>
        <w:lang w:val="zh-CN" w:eastAsia="zh-CN" w:bidi="zh-CN"/>
      </w:rPr>
    </w:lvl>
    <w:lvl w:ilvl="2">
      <w:start w:val="0"/>
      <w:numFmt w:val="bullet"/>
      <w:lvlText w:val="•"/>
      <w:lvlJc w:val="left"/>
      <w:pPr>
        <w:ind w:left="2472" w:hanging="273"/>
      </w:pPr>
      <w:rPr>
        <w:rFonts w:hint="default"/>
        <w:lang w:val="zh-CN" w:eastAsia="zh-CN" w:bidi="zh-CN"/>
      </w:rPr>
    </w:lvl>
    <w:lvl w:ilvl="3">
      <w:start w:val="0"/>
      <w:numFmt w:val="bullet"/>
      <w:lvlText w:val="•"/>
      <w:lvlJc w:val="left"/>
      <w:pPr>
        <w:ind w:left="3509" w:hanging="273"/>
      </w:pPr>
      <w:rPr>
        <w:rFonts w:hint="default"/>
        <w:lang w:val="zh-CN" w:eastAsia="zh-CN" w:bidi="zh-CN"/>
      </w:rPr>
    </w:lvl>
    <w:lvl w:ilvl="4">
      <w:start w:val="0"/>
      <w:numFmt w:val="bullet"/>
      <w:lvlText w:val="•"/>
      <w:lvlJc w:val="left"/>
      <w:pPr>
        <w:ind w:left="4545" w:hanging="273"/>
      </w:pPr>
      <w:rPr>
        <w:rFonts w:hint="default"/>
        <w:lang w:val="zh-CN" w:eastAsia="zh-CN" w:bidi="zh-CN"/>
      </w:rPr>
    </w:lvl>
    <w:lvl w:ilvl="5">
      <w:start w:val="0"/>
      <w:numFmt w:val="bullet"/>
      <w:lvlText w:val="•"/>
      <w:lvlJc w:val="left"/>
      <w:pPr>
        <w:ind w:left="5582" w:hanging="273"/>
      </w:pPr>
      <w:rPr>
        <w:rFonts w:hint="default"/>
        <w:lang w:val="zh-CN" w:eastAsia="zh-CN" w:bidi="zh-CN"/>
      </w:rPr>
    </w:lvl>
    <w:lvl w:ilvl="6">
      <w:start w:val="0"/>
      <w:numFmt w:val="bullet"/>
      <w:lvlText w:val="•"/>
      <w:lvlJc w:val="left"/>
      <w:pPr>
        <w:ind w:left="6618" w:hanging="273"/>
      </w:pPr>
      <w:rPr>
        <w:rFonts w:hint="default"/>
        <w:lang w:val="zh-CN" w:eastAsia="zh-CN" w:bidi="zh-CN"/>
      </w:rPr>
    </w:lvl>
    <w:lvl w:ilvl="7">
      <w:start w:val="0"/>
      <w:numFmt w:val="bullet"/>
      <w:lvlText w:val="•"/>
      <w:lvlJc w:val="left"/>
      <w:pPr>
        <w:ind w:left="7654" w:hanging="273"/>
      </w:pPr>
      <w:rPr>
        <w:rFonts w:hint="default"/>
        <w:lang w:val="zh-CN" w:eastAsia="zh-CN" w:bidi="zh-CN"/>
      </w:rPr>
    </w:lvl>
    <w:lvl w:ilvl="8">
      <w:start w:val="0"/>
      <w:numFmt w:val="bullet"/>
      <w:lvlText w:val="•"/>
      <w:lvlJc w:val="left"/>
      <w:pPr>
        <w:ind w:left="8691" w:hanging="273"/>
      </w:pPr>
      <w:rPr>
        <w:rFonts w:hint="default"/>
        <w:lang w:val="zh-CN" w:eastAsia="zh-CN" w:bidi="zh-CN"/>
      </w:rPr>
    </w:lvl>
  </w:abstractNum>
  <w:abstractNum w:abstractNumId="1">
    <w:multiLevelType w:val="hybridMultilevel"/>
    <w:lvl w:ilvl="0">
      <w:start w:val="1"/>
      <w:numFmt w:val="decimal"/>
      <w:lvlText w:val="%1."/>
      <w:lvlJc w:val="left"/>
      <w:pPr>
        <w:ind w:left="119" w:hanging="180"/>
        <w:jc w:val="left"/>
      </w:pPr>
      <w:rPr>
        <w:rFonts w:hint="default" w:ascii="Times New Roman" w:hAnsi="Times New Roman" w:eastAsia="Times New Roman" w:cs="Times New Roman"/>
        <w:b/>
        <w:bCs/>
        <w:spacing w:val="0"/>
        <w:w w:val="100"/>
        <w:sz w:val="18"/>
        <w:szCs w:val="18"/>
        <w:lang w:val="zh-CN" w:eastAsia="zh-CN" w:bidi="zh-CN"/>
      </w:rPr>
    </w:lvl>
    <w:lvl w:ilvl="1">
      <w:start w:val="1"/>
      <w:numFmt w:val="decimal"/>
      <w:lvlText w:val="%1.%2"/>
      <w:lvlJc w:val="left"/>
      <w:pPr>
        <w:ind w:left="380" w:hanging="262"/>
        <w:jc w:val="left"/>
      </w:pPr>
      <w:rPr>
        <w:rFonts w:hint="default"/>
        <w:spacing w:val="-2"/>
        <w:w w:val="100"/>
        <w:lang w:val="zh-CN" w:eastAsia="zh-CN" w:bidi="zh-CN"/>
      </w:rPr>
    </w:lvl>
    <w:lvl w:ilvl="2">
      <w:start w:val="1"/>
      <w:numFmt w:val="decimal"/>
      <w:lvlText w:val="%1.%2.%3"/>
      <w:lvlJc w:val="left"/>
      <w:pPr>
        <w:ind w:left="515" w:hanging="262"/>
        <w:jc w:val="left"/>
      </w:pPr>
      <w:rPr>
        <w:rFonts w:hint="default" w:ascii="Times New Roman" w:hAnsi="Times New Roman" w:eastAsia="Times New Roman" w:cs="Times New Roman"/>
        <w:spacing w:val="-2"/>
        <w:w w:val="100"/>
        <w:sz w:val="18"/>
        <w:szCs w:val="18"/>
        <w:lang w:val="zh-CN" w:eastAsia="zh-CN" w:bidi="zh-CN"/>
      </w:rPr>
    </w:lvl>
    <w:lvl w:ilvl="3">
      <w:start w:val="0"/>
      <w:numFmt w:val="bullet"/>
      <w:lvlText w:val="•"/>
      <w:lvlJc w:val="left"/>
      <w:pPr>
        <w:ind w:left="400" w:hanging="262"/>
      </w:pPr>
      <w:rPr>
        <w:rFonts w:hint="default"/>
        <w:lang w:val="zh-CN" w:eastAsia="zh-CN" w:bidi="zh-CN"/>
      </w:rPr>
    </w:lvl>
    <w:lvl w:ilvl="4">
      <w:start w:val="0"/>
      <w:numFmt w:val="bullet"/>
      <w:lvlText w:val="•"/>
      <w:lvlJc w:val="left"/>
      <w:pPr>
        <w:ind w:left="480" w:hanging="262"/>
      </w:pPr>
      <w:rPr>
        <w:rFonts w:hint="default"/>
        <w:lang w:val="zh-CN" w:eastAsia="zh-CN" w:bidi="zh-CN"/>
      </w:rPr>
    </w:lvl>
    <w:lvl w:ilvl="5">
      <w:start w:val="0"/>
      <w:numFmt w:val="bullet"/>
      <w:lvlText w:val="•"/>
      <w:lvlJc w:val="left"/>
      <w:pPr>
        <w:ind w:left="520" w:hanging="262"/>
      </w:pPr>
      <w:rPr>
        <w:rFonts w:hint="default"/>
        <w:lang w:val="zh-CN" w:eastAsia="zh-CN" w:bidi="zh-CN"/>
      </w:rPr>
    </w:lvl>
    <w:lvl w:ilvl="6">
      <w:start w:val="0"/>
      <w:numFmt w:val="bullet"/>
      <w:lvlText w:val="•"/>
      <w:lvlJc w:val="left"/>
      <w:pPr>
        <w:ind w:left="401" w:hanging="262"/>
      </w:pPr>
      <w:rPr>
        <w:rFonts w:hint="default"/>
        <w:lang w:val="zh-CN" w:eastAsia="zh-CN" w:bidi="zh-CN"/>
      </w:rPr>
    </w:lvl>
    <w:lvl w:ilvl="7">
      <w:start w:val="0"/>
      <w:numFmt w:val="bullet"/>
      <w:lvlText w:val="•"/>
      <w:lvlJc w:val="left"/>
      <w:pPr>
        <w:ind w:left="282" w:hanging="262"/>
      </w:pPr>
      <w:rPr>
        <w:rFonts w:hint="default"/>
        <w:lang w:val="zh-CN" w:eastAsia="zh-CN" w:bidi="zh-CN"/>
      </w:rPr>
    </w:lvl>
    <w:lvl w:ilvl="8">
      <w:start w:val="0"/>
      <w:numFmt w:val="bullet"/>
      <w:lvlText w:val="•"/>
      <w:lvlJc w:val="left"/>
      <w:pPr>
        <w:ind w:left="164" w:hanging="262"/>
      </w:pPr>
      <w:rPr>
        <w:rFonts w:hint="default"/>
        <w:lang w:val="zh-CN" w:eastAsia="zh-CN" w:bidi="zh-CN"/>
      </w:rPr>
    </w:lvl>
  </w:abstractNum>
  <w:abstractNum w:abstractNumId="0">
    <w:multiLevelType w:val="hybridMultilevel"/>
    <w:lvl w:ilvl="0">
      <w:start w:val="1"/>
      <w:numFmt w:val="decimal"/>
      <w:lvlText w:val="%1."/>
      <w:lvlJc w:val="left"/>
      <w:pPr>
        <w:ind w:left="431" w:hanging="312"/>
        <w:jc w:val="left"/>
      </w:pPr>
      <w:rPr>
        <w:rFonts w:hint="default" w:ascii="Times New Roman" w:hAnsi="Times New Roman" w:eastAsia="Times New Roman" w:cs="Times New Roman"/>
        <w:spacing w:val="-47"/>
        <w:w w:val="100"/>
        <w:sz w:val="18"/>
        <w:szCs w:val="18"/>
        <w:lang w:val="zh-CN" w:eastAsia="zh-CN" w:bidi="zh-CN"/>
      </w:rPr>
    </w:lvl>
    <w:lvl w:ilvl="1">
      <w:start w:val="0"/>
      <w:numFmt w:val="bullet"/>
      <w:lvlText w:val="•"/>
      <w:lvlJc w:val="left"/>
      <w:pPr>
        <w:ind w:left="1502" w:hanging="312"/>
      </w:pPr>
      <w:rPr>
        <w:rFonts w:hint="default"/>
        <w:lang w:val="zh-CN" w:eastAsia="zh-CN" w:bidi="zh-CN"/>
      </w:rPr>
    </w:lvl>
    <w:lvl w:ilvl="2">
      <w:start w:val="0"/>
      <w:numFmt w:val="bullet"/>
      <w:lvlText w:val="•"/>
      <w:lvlJc w:val="left"/>
      <w:pPr>
        <w:ind w:left="2565" w:hanging="312"/>
      </w:pPr>
      <w:rPr>
        <w:rFonts w:hint="default"/>
        <w:lang w:val="zh-CN" w:eastAsia="zh-CN" w:bidi="zh-CN"/>
      </w:rPr>
    </w:lvl>
    <w:lvl w:ilvl="3">
      <w:start w:val="0"/>
      <w:numFmt w:val="bullet"/>
      <w:lvlText w:val="•"/>
      <w:lvlJc w:val="left"/>
      <w:pPr>
        <w:ind w:left="3628" w:hanging="312"/>
      </w:pPr>
      <w:rPr>
        <w:rFonts w:hint="default"/>
        <w:lang w:val="zh-CN" w:eastAsia="zh-CN" w:bidi="zh-CN"/>
      </w:rPr>
    </w:lvl>
    <w:lvl w:ilvl="4">
      <w:start w:val="0"/>
      <w:numFmt w:val="bullet"/>
      <w:lvlText w:val="•"/>
      <w:lvlJc w:val="left"/>
      <w:pPr>
        <w:ind w:left="4691" w:hanging="312"/>
      </w:pPr>
      <w:rPr>
        <w:rFonts w:hint="default"/>
        <w:lang w:val="zh-CN" w:eastAsia="zh-CN" w:bidi="zh-CN"/>
      </w:rPr>
    </w:lvl>
    <w:lvl w:ilvl="5">
      <w:start w:val="0"/>
      <w:numFmt w:val="bullet"/>
      <w:lvlText w:val="•"/>
      <w:lvlJc w:val="left"/>
      <w:pPr>
        <w:ind w:left="5754" w:hanging="312"/>
      </w:pPr>
      <w:rPr>
        <w:rFonts w:hint="default"/>
        <w:lang w:val="zh-CN" w:eastAsia="zh-CN" w:bidi="zh-CN"/>
      </w:rPr>
    </w:lvl>
    <w:lvl w:ilvl="6">
      <w:start w:val="0"/>
      <w:numFmt w:val="bullet"/>
      <w:lvlText w:val="•"/>
      <w:lvlJc w:val="left"/>
      <w:pPr>
        <w:ind w:left="6817" w:hanging="312"/>
      </w:pPr>
      <w:rPr>
        <w:rFonts w:hint="default"/>
        <w:lang w:val="zh-CN" w:eastAsia="zh-CN" w:bidi="zh-CN"/>
      </w:rPr>
    </w:lvl>
    <w:lvl w:ilvl="7">
      <w:start w:val="0"/>
      <w:numFmt w:val="bullet"/>
      <w:lvlText w:val="•"/>
      <w:lvlJc w:val="left"/>
      <w:pPr>
        <w:ind w:left="7880" w:hanging="312"/>
      </w:pPr>
      <w:rPr>
        <w:rFonts w:hint="default"/>
        <w:lang w:val="zh-CN" w:eastAsia="zh-CN" w:bidi="zh-CN"/>
      </w:rPr>
    </w:lvl>
    <w:lvl w:ilvl="8">
      <w:start w:val="0"/>
      <w:numFmt w:val="bullet"/>
      <w:lvlText w:val="•"/>
      <w:lvlJc w:val="left"/>
      <w:pPr>
        <w:ind w:left="8943" w:hanging="312"/>
      </w:pPr>
      <w:rPr>
        <w:rFonts w:hint="default"/>
        <w:lang w:val="zh-CN" w:eastAsia="zh-CN" w:bidi="zh-CN"/>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before="60"/>
      <w:ind w:left="119"/>
    </w:pPr>
    <w:rPr>
      <w:rFonts w:ascii="宋体" w:hAnsi="宋体" w:eastAsia="宋体" w:cs="宋体"/>
      <w:sz w:val="18"/>
      <w:szCs w:val="18"/>
      <w:lang w:val="zh-CN" w:eastAsia="zh-CN" w:bidi="zh-CN"/>
    </w:rPr>
  </w:style>
  <w:style w:styleId="Heading1" w:type="paragraph">
    <w:name w:val="Heading 1"/>
    <w:basedOn w:val="Normal"/>
    <w:uiPriority w:val="1"/>
    <w:qFormat/>
    <w:pPr>
      <w:spacing w:before="60"/>
      <w:ind w:left="119"/>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before="60"/>
      <w:ind w:left="119"/>
    </w:pPr>
    <w:rPr>
      <w:rFonts w:ascii="宋体" w:hAnsi="宋体" w:eastAsia="宋体" w:cs="宋体"/>
      <w:lang w:val="zh-CN" w:eastAsia="zh-CN" w:bidi="zh-CN"/>
    </w:rPr>
  </w:style>
  <w:style w:styleId="TableParagraph" w:type="paragraph">
    <w:name w:val="Table Paragraph"/>
    <w:basedOn w:val="Normal"/>
    <w:uiPriority w:val="1"/>
    <w:qFormat/>
    <w:pPr>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2021-04-21T13:46:27Z</dcterms:created>
  <dcterms:modified xsi:type="dcterms:W3CDTF">2021-04-21T13:46:27Z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WPS 文字</vt:lpwstr>
  </property>
  <property fmtid="{D5CDD505-2E9C-101B-9397-08002B2CF9AE}" pid="4" name="LastSaved">
    <vt:filetime>2021-04-21T00:00:00Z</vt:filetime>
  </property>
</Properties>
</file>