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3"/>
        <w:ind w:left="0"/>
        <w:rPr>
          <w:rFonts w:ascii="Times New Roman"/>
          <w:sz w:val="20"/>
        </w:rPr>
      </w:pPr>
    </w:p>
    <w:p>
      <w:pPr>
        <w:pStyle w:val="Heading1"/>
        <w:spacing w:line="219" w:lineRule="exact"/>
      </w:pPr>
      <w:r>
        <w:rPr/>
        <w:t>【产品名称】</w:t>
      </w:r>
    </w:p>
    <w:p>
      <w:pPr>
        <w:spacing w:before="140"/>
        <w:ind w:left="107" w:right="0" w:firstLine="0"/>
        <w:jc w:val="left"/>
        <w:rPr>
          <w:b/>
          <w:sz w:val="18"/>
        </w:rPr>
      </w:pPr>
      <w:r>
        <w:rPr/>
        <w:br w:type="column"/>
      </w:r>
      <w:r>
        <w:rPr>
          <w:b/>
          <w:sz w:val="18"/>
        </w:rPr>
        <w:t>甲型流感病毒通用型核酸检测试剂盒（</w:t>
      </w:r>
      <w:r>
        <w:rPr>
          <w:rFonts w:ascii="Times New Roman" w:eastAsia="Times New Roman"/>
          <w:b/>
          <w:sz w:val="18"/>
        </w:rPr>
        <w:t>PCR-</w:t>
      </w:r>
      <w:r>
        <w:rPr>
          <w:b/>
          <w:sz w:val="18"/>
        </w:rPr>
        <w:t>荧光探针法）说明书</w:t>
      </w:r>
    </w:p>
    <w:p>
      <w:pPr>
        <w:spacing w:after="0"/>
        <w:jc w:val="left"/>
        <w:rPr>
          <w:sz w:val="18"/>
        </w:rPr>
        <w:sectPr>
          <w:headerReference w:type="default" r:id="rId5"/>
          <w:footerReference w:type="default" r:id="rId6"/>
          <w:type w:val="continuous"/>
          <w:pgSz w:w="11910" w:h="16840"/>
          <w:pgMar w:header="462" w:footer="460" w:top="660" w:bottom="640" w:left="800" w:right="700"/>
          <w:pgNumType w:start="1"/>
          <w:cols w:num="2" w:equalWidth="0">
            <w:col w:w="1211" w:space="1283"/>
            <w:col w:w="7916"/>
          </w:cols>
        </w:sectPr>
      </w:pPr>
    </w:p>
    <w:p>
      <w:pPr>
        <w:pStyle w:val="BodyText"/>
        <w:spacing w:line="197" w:lineRule="exact"/>
        <w:ind w:left="195"/>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通用名：甲型流感病毒通用型核酸检测试剂盒（</w:t>
      </w:r>
      <w:r>
        <w:rPr>
          <w:rFonts w:ascii="Times New Roman" w:eastAsia="Times New Roman"/>
        </w:rPr>
        <w:t>PCR-</w:t>
      </w:r>
      <w:r>
        <w:rPr/>
        <w:t>荧光探针法）</w:t>
      </w:r>
    </w:p>
    <w:p>
      <w:pPr>
        <w:spacing w:line="200" w:lineRule="exact" w:before="0"/>
        <w:ind w:left="107" w:right="0" w:firstLine="0"/>
        <w:jc w:val="left"/>
        <w:rPr>
          <w:sz w:val="18"/>
        </w:rPr>
      </w:pPr>
      <w:r>
        <w:rPr>
          <w:b/>
          <w:sz w:val="18"/>
        </w:rPr>
        <w:t>【包装规格】</w:t>
      </w:r>
      <w:r>
        <w:rPr>
          <w:rFonts w:ascii="Times New Roman" w:eastAsia="Times New Roman"/>
          <w:sz w:val="18"/>
        </w:rPr>
        <w:t>24 </w:t>
      </w:r>
      <w:r>
        <w:rPr>
          <w:sz w:val="18"/>
        </w:rPr>
        <w:t>人份</w:t>
      </w:r>
      <w:r>
        <w:rPr>
          <w:rFonts w:ascii="Times New Roman" w:eastAsia="Times New Roman"/>
          <w:sz w:val="18"/>
        </w:rPr>
        <w:t>/</w:t>
      </w:r>
      <w:r>
        <w:rPr>
          <w:sz w:val="18"/>
        </w:rPr>
        <w:t>盒</w:t>
      </w:r>
    </w:p>
    <w:p>
      <w:pPr>
        <w:pStyle w:val="Heading1"/>
        <w:spacing w:line="199" w:lineRule="exact"/>
      </w:pPr>
      <w:r>
        <w:rPr/>
        <w:t>【预期用途】</w:t>
      </w:r>
    </w:p>
    <w:p>
      <w:pPr>
        <w:pStyle w:val="BodyText"/>
      </w:pPr>
      <w:r>
        <w:rPr/>
        <w:t>本试剂盒用于定性检测人口咽拭子样本中的甲型流感病毒核酸。</w:t>
      </w:r>
    </w:p>
    <w:p>
      <w:pPr>
        <w:pStyle w:val="BodyText"/>
        <w:spacing w:line="208" w:lineRule="auto" w:before="9"/>
        <w:ind w:left="107" w:right="189" w:firstLine="352"/>
        <w:jc w:val="both"/>
      </w:pPr>
      <w:r>
        <w:rPr>
          <w:spacing w:val="-6"/>
        </w:rPr>
        <w:t>流行性感冒病毒</w:t>
      </w:r>
      <w:r>
        <w:rPr>
          <w:rFonts w:ascii="Times New Roman" w:eastAsia="Times New Roman"/>
        </w:rPr>
        <w:t>(influenza </w:t>
      </w:r>
      <w:r>
        <w:rPr>
          <w:rFonts w:ascii="Times New Roman" w:eastAsia="Times New Roman"/>
          <w:spacing w:val="-5"/>
        </w:rPr>
        <w:t>virus)</w:t>
      </w:r>
      <w:r>
        <w:rPr>
          <w:spacing w:val="-6"/>
        </w:rPr>
        <w:t>，简称流感病毒，是一种造成人类及动物患流行性感冒的</w:t>
      </w:r>
      <w:r>
        <w:rPr>
          <w:rFonts w:ascii="Times New Roman" w:eastAsia="Times New Roman"/>
        </w:rPr>
        <w:t>RNA </w:t>
      </w:r>
      <w:r>
        <w:rPr>
          <w:spacing w:val="-7"/>
        </w:rPr>
        <w:t>病毒，人流感病毒分为甲</w:t>
      </w:r>
      <w:r>
        <w:rPr>
          <w:rFonts w:ascii="Times New Roman" w:eastAsia="Times New Roman"/>
          <w:spacing w:val="-3"/>
        </w:rPr>
        <w:t>(A)</w:t>
      </w:r>
      <w:r>
        <w:rPr>
          <w:spacing w:val="-8"/>
        </w:rPr>
        <w:t>、乙</w:t>
      </w:r>
      <w:r>
        <w:rPr>
          <w:rFonts w:ascii="Times New Roman" w:eastAsia="Times New Roman"/>
          <w:spacing w:val="-3"/>
        </w:rPr>
        <w:t>(B)</w:t>
      </w:r>
      <w:r>
        <w:rPr>
          <w:spacing w:val="-7"/>
        </w:rPr>
        <w:t>、丙</w:t>
      </w:r>
      <w:r>
        <w:rPr>
          <w:rFonts w:ascii="Times New Roman" w:eastAsia="Times New Roman"/>
          <w:spacing w:val="-3"/>
        </w:rPr>
        <w:t>(C)</w:t>
      </w:r>
      <w:r>
        <w:rPr>
          <w:spacing w:val="-7"/>
        </w:rPr>
        <w:t>三型，是流行性感冒</w:t>
      </w:r>
      <w:r>
        <w:rPr>
          <w:spacing w:val="-5"/>
        </w:rPr>
        <w:t>（</w:t>
      </w:r>
      <w:r>
        <w:rPr>
          <w:spacing w:val="-4"/>
        </w:rPr>
        <w:t>流感</w:t>
      </w:r>
      <w:r>
        <w:rPr>
          <w:spacing w:val="-10"/>
        </w:rPr>
        <w:t>）的病原体，其中乙型、丙型致病性弱，不易发生变异，而甲型流感的危害最大；甲型流感病</w:t>
      </w:r>
      <w:r>
        <w:rPr>
          <w:spacing w:val="-1"/>
        </w:rPr>
        <w:t>毒又分许多亚型，至今</w:t>
      </w:r>
      <w:r>
        <w:rPr>
          <w:rFonts w:ascii="Times New Roman" w:eastAsia="Times New Roman"/>
        </w:rPr>
        <w:t>HA </w:t>
      </w:r>
      <w:r>
        <w:rPr>
          <w:spacing w:val="-25"/>
        </w:rPr>
        <w:t>有 </w:t>
      </w:r>
      <w:r>
        <w:rPr>
          <w:rFonts w:ascii="Times New Roman" w:eastAsia="Times New Roman"/>
        </w:rPr>
        <w:t>16 </w:t>
      </w:r>
      <w:r>
        <w:rPr>
          <w:spacing w:val="-3"/>
        </w:rPr>
        <w:t>个亚型，</w:t>
      </w:r>
      <w:r>
        <w:rPr>
          <w:rFonts w:ascii="Times New Roman" w:eastAsia="Times New Roman"/>
        </w:rPr>
        <w:t>NA </w:t>
      </w:r>
      <w:r>
        <w:rPr>
          <w:spacing w:val="-25"/>
        </w:rPr>
        <w:t>有 </w:t>
      </w:r>
      <w:r>
        <w:rPr>
          <w:rFonts w:ascii="Times New Roman" w:eastAsia="Times New Roman"/>
        </w:rPr>
        <w:t>9 </w:t>
      </w:r>
      <w:r>
        <w:rPr>
          <w:spacing w:val="-5"/>
        </w:rPr>
        <w:t>个亚型。在分类学上，流感病毒属于正黏液病毒科</w:t>
      </w:r>
      <w:r>
        <w:rPr>
          <w:rFonts w:ascii="Times New Roman" w:eastAsia="Times New Roman"/>
          <w:spacing w:val="-3"/>
        </w:rPr>
        <w:t>(Orthomyxoviridae)</w:t>
      </w:r>
      <w:r>
        <w:rPr>
          <w:spacing w:val="-4"/>
        </w:rPr>
        <w:t>，流行性感</w:t>
      </w:r>
      <w:r>
        <w:rPr>
          <w:spacing w:val="-5"/>
        </w:rPr>
        <w:t>冒病毒属</w:t>
      </w:r>
      <w:r>
        <w:rPr>
          <w:rFonts w:ascii="Times New Roman" w:eastAsia="Times New Roman"/>
          <w:spacing w:val="-3"/>
        </w:rPr>
        <w:t>(Influenza </w:t>
      </w:r>
      <w:r>
        <w:rPr>
          <w:rFonts w:ascii="Times New Roman" w:eastAsia="Times New Roman"/>
          <w:spacing w:val="-5"/>
        </w:rPr>
        <w:t>virus)</w:t>
      </w:r>
      <w:r>
        <w:rPr>
          <w:spacing w:val="-9"/>
        </w:rPr>
        <w:t>，它会造成急性上呼吸道感染，并借由空气迅速的传播，在世界各地常会有周期性的大流行。目前实验室检</w:t>
      </w:r>
      <w:r>
        <w:rPr>
          <w:spacing w:val="-5"/>
        </w:rPr>
        <w:t>测甲型流感病毒的主要方法包括</w:t>
      </w:r>
      <w:r>
        <w:rPr>
          <w:rFonts w:ascii="Times New Roman" w:eastAsia="Times New Roman"/>
          <w:spacing w:val="5"/>
        </w:rPr>
        <w:t>: </w:t>
      </w:r>
      <w:r>
        <w:rPr>
          <w:spacing w:val="-5"/>
        </w:rPr>
        <w:t>病毒分离和鉴定、</w:t>
      </w:r>
      <w:r>
        <w:rPr>
          <w:rFonts w:ascii="Times New Roman" w:eastAsia="Times New Roman"/>
          <w:spacing w:val="-7"/>
        </w:rPr>
        <w:t>RT-PCR</w:t>
      </w:r>
      <w:r>
        <w:rPr>
          <w:spacing w:val="-5"/>
        </w:rPr>
        <w:t>、胶体金等。</w:t>
      </w:r>
    </w:p>
    <w:p>
      <w:pPr>
        <w:pStyle w:val="BodyText"/>
        <w:spacing w:line="188" w:lineRule="exact"/>
      </w:pPr>
      <w:r>
        <w:rPr/>
        <w:t>本试剂盒检测结果仅供临床参考，不得作为临床诊断的唯一标准。</w:t>
      </w:r>
    </w:p>
    <w:p>
      <w:pPr>
        <w:pStyle w:val="Heading1"/>
      </w:pPr>
      <w:r>
        <w:rPr/>
        <w:t>【检验原理】</w:t>
      </w:r>
    </w:p>
    <w:p>
      <w:pPr>
        <w:pStyle w:val="BodyText"/>
        <w:spacing w:line="208" w:lineRule="auto" w:before="7"/>
        <w:ind w:left="107" w:right="197" w:firstLine="352"/>
        <w:jc w:val="both"/>
      </w:pPr>
      <w:r>
        <w:rPr>
          <w:spacing w:val="-5"/>
        </w:rPr>
        <w:t>本试剂盒采用磁珠法提取口咽拭子样本中甲型流感病毒</w:t>
      </w:r>
      <w:r>
        <w:rPr>
          <w:rFonts w:ascii="Times New Roman" w:eastAsia="Times New Roman"/>
          <w:spacing w:val="-12"/>
        </w:rPr>
        <w:t>RNA</w:t>
      </w:r>
      <w:r>
        <w:rPr>
          <w:spacing w:val="-12"/>
        </w:rPr>
        <w:t>，以甲型流感病毒 </w:t>
      </w:r>
      <w:r>
        <w:rPr>
          <w:rFonts w:ascii="Times New Roman" w:eastAsia="Times New Roman"/>
        </w:rPr>
        <w:t>M</w:t>
      </w:r>
      <w:r>
        <w:rPr>
          <w:rFonts w:ascii="Times New Roman" w:eastAsia="Times New Roman"/>
          <w:spacing w:val="-4"/>
        </w:rPr>
        <w:t> </w:t>
      </w:r>
      <w:r>
        <w:rPr>
          <w:spacing w:val="-8"/>
        </w:rPr>
        <w:t>基因的高度保守序列为靶区域，设计特异性引</w:t>
      </w:r>
      <w:r>
        <w:rPr>
          <w:spacing w:val="-18"/>
        </w:rPr>
        <w:t>物和探针，配以 </w:t>
      </w:r>
      <w:r>
        <w:rPr>
          <w:rFonts w:ascii="Times New Roman" w:eastAsia="Times New Roman"/>
        </w:rPr>
        <w:t>PCR</w:t>
      </w:r>
      <w:r>
        <w:rPr>
          <w:rFonts w:ascii="Times New Roman" w:eastAsia="Times New Roman"/>
          <w:spacing w:val="-7"/>
        </w:rPr>
        <w:t> </w:t>
      </w:r>
      <w:r>
        <w:rPr>
          <w:spacing w:val="-17"/>
        </w:rPr>
        <w:t>反应液，在荧光定量 </w:t>
      </w:r>
      <w:r>
        <w:rPr>
          <w:rFonts w:ascii="Times New Roman" w:eastAsia="Times New Roman"/>
        </w:rPr>
        <w:t>PCR</w:t>
      </w:r>
      <w:r>
        <w:rPr>
          <w:rFonts w:ascii="Times New Roman" w:eastAsia="Times New Roman"/>
          <w:spacing w:val="-6"/>
        </w:rPr>
        <w:t> </w:t>
      </w:r>
      <w:r>
        <w:rPr>
          <w:spacing w:val="-15"/>
        </w:rPr>
        <w:t>仪上，应用实时荧光定量 </w:t>
      </w:r>
      <w:r>
        <w:rPr>
          <w:rFonts w:ascii="Times New Roman" w:eastAsia="Times New Roman"/>
        </w:rPr>
        <w:t>PCR</w:t>
      </w:r>
      <w:r>
        <w:rPr>
          <w:rFonts w:ascii="Times New Roman" w:eastAsia="Times New Roman"/>
          <w:spacing w:val="-9"/>
        </w:rPr>
        <w:t> </w:t>
      </w:r>
      <w:r>
        <w:rPr>
          <w:spacing w:val="-14"/>
        </w:rPr>
        <w:t>检测技术，通过荧光信号的变化实现甲型流感病毒 </w:t>
      </w:r>
      <w:r>
        <w:rPr>
          <w:rFonts w:ascii="Times New Roman" w:eastAsia="Times New Roman"/>
        </w:rPr>
        <w:t>RNA </w:t>
      </w:r>
      <w:r>
        <w:rPr>
          <w:spacing w:val="-4"/>
        </w:rPr>
        <w:t>的检测。</w:t>
      </w:r>
    </w:p>
    <w:p>
      <w:pPr>
        <w:pStyle w:val="BodyText"/>
        <w:spacing w:line="190" w:lineRule="exact"/>
        <w:jc w:val="both"/>
        <w:rPr>
          <w:rFonts w:ascii="Times New Roman" w:eastAsia="Times New Roman"/>
        </w:rPr>
      </w:pPr>
      <w:r>
        <w:rPr>
          <w:rFonts w:ascii="Times New Roman" w:eastAsia="Times New Roman"/>
        </w:rPr>
        <w:t>PCR </w:t>
      </w:r>
      <w:r>
        <w:rPr>
          <w:spacing w:val="-10"/>
        </w:rPr>
        <w:t>检测体系含有阳性内对照</w:t>
      </w:r>
      <w:r>
        <w:rPr>
          <w:spacing w:val="-5"/>
        </w:rPr>
        <w:t>（甲型流感病毒内标</w:t>
      </w:r>
      <w:r>
        <w:rPr>
          <w:spacing w:val="-74"/>
        </w:rPr>
        <w:t>）</w:t>
      </w:r>
      <w:r>
        <w:rPr>
          <w:spacing w:val="-15"/>
        </w:rPr>
        <w:t>，通过检测内标是否正常来监测待测样本中是否具有 </w:t>
      </w:r>
      <w:r>
        <w:rPr>
          <w:rFonts w:ascii="Times New Roman" w:eastAsia="Times New Roman"/>
        </w:rPr>
        <w:t>PCR </w:t>
      </w:r>
      <w:r>
        <w:rPr>
          <w:spacing w:val="-19"/>
        </w:rPr>
        <w:t>抑制物，避免 </w:t>
      </w:r>
      <w:r>
        <w:rPr>
          <w:rFonts w:ascii="Times New Roman" w:eastAsia="Times New Roman"/>
        </w:rPr>
        <w:t>PCR</w:t>
      </w:r>
    </w:p>
    <w:p>
      <w:pPr>
        <w:pStyle w:val="BodyText"/>
        <w:ind w:left="107"/>
      </w:pPr>
      <w:r>
        <w:rPr/>
        <w:t>假阴性。</w:t>
      </w:r>
    </w:p>
    <w:p>
      <w:pPr>
        <w:pStyle w:val="BodyText"/>
      </w:pPr>
      <w:r>
        <w:rPr>
          <w:rFonts w:ascii="Times New Roman" w:eastAsia="Times New Roman"/>
        </w:rPr>
        <w:t>PCR </w:t>
      </w:r>
      <w:r>
        <w:rPr/>
        <w:t>检测体系含有内参比荧光</w:t>
      </w:r>
      <w:r>
        <w:rPr>
          <w:rFonts w:ascii="Times New Roman" w:eastAsia="Times New Roman"/>
        </w:rPr>
        <w:t>ROX</w:t>
      </w:r>
      <w:r>
        <w:rPr/>
        <w:t>，用于校正加样误差和管间差异，便于仪器自动分析报告荧光与内参比荧光</w:t>
      </w:r>
      <w:r>
        <w:rPr>
          <w:rFonts w:ascii="Times New Roman" w:eastAsia="Times New Roman"/>
        </w:rPr>
        <w:t>ROX </w:t>
      </w:r>
      <w:r>
        <w:rPr/>
        <w:t>的比值。</w:t>
      </w:r>
    </w:p>
    <w:p>
      <w:pPr>
        <w:pStyle w:val="Heading1"/>
        <w:spacing w:line="199" w:lineRule="exact"/>
      </w:pPr>
      <w:r>
        <w:rPr/>
        <w:t>【主要组成成分】</w:t>
      </w:r>
    </w:p>
    <w:p>
      <w:pPr>
        <w:pStyle w:val="BodyText"/>
        <w:spacing w:line="215" w:lineRule="exact"/>
        <w:ind w:left="541"/>
      </w:pPr>
      <w:r>
        <w:rPr/>
        <w:t>本试剂盒包括磁珠法核酸提取试剂和扩增反应试剂，由以下两个包装盒组成：</w:t>
      </w:r>
    </w:p>
    <w:tbl>
      <w:tblPr>
        <w:tblW w:w="0" w:type="auto"/>
        <w:jc w:val="left"/>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49"/>
        <w:gridCol w:w="709"/>
        <w:gridCol w:w="2268"/>
        <w:gridCol w:w="1418"/>
        <w:gridCol w:w="4377"/>
      </w:tblGrid>
      <w:tr>
        <w:trPr>
          <w:trHeight w:val="311" w:hRule="atLeast"/>
        </w:trPr>
        <w:tc>
          <w:tcPr>
            <w:tcW w:w="949" w:type="dxa"/>
            <w:tcBorders>
              <w:bottom w:val="single" w:sz="6" w:space="0" w:color="000000"/>
              <w:right w:val="single" w:sz="6" w:space="0" w:color="000000"/>
            </w:tcBorders>
          </w:tcPr>
          <w:p>
            <w:pPr>
              <w:pStyle w:val="TableParagraph"/>
              <w:jc w:val="left"/>
              <w:rPr>
                <w:sz w:val="16"/>
              </w:rPr>
            </w:pPr>
          </w:p>
        </w:tc>
        <w:tc>
          <w:tcPr>
            <w:tcW w:w="709" w:type="dxa"/>
            <w:tcBorders>
              <w:left w:val="single" w:sz="6" w:space="0" w:color="000000"/>
              <w:bottom w:val="single" w:sz="6" w:space="0" w:color="000000"/>
              <w:right w:val="single" w:sz="6" w:space="0" w:color="000000"/>
            </w:tcBorders>
          </w:tcPr>
          <w:p>
            <w:pPr>
              <w:pStyle w:val="TableParagraph"/>
              <w:spacing w:before="31"/>
              <w:ind w:left="153" w:right="140"/>
              <w:rPr>
                <w:rFonts w:ascii="宋体" w:eastAsia="宋体" w:hint="eastAsia"/>
                <w:sz w:val="18"/>
              </w:rPr>
            </w:pPr>
            <w:r>
              <w:rPr>
                <w:rFonts w:ascii="宋体" w:eastAsia="宋体" w:hint="eastAsia"/>
                <w:sz w:val="18"/>
              </w:rPr>
              <w:t>序号</w:t>
            </w:r>
          </w:p>
        </w:tc>
        <w:tc>
          <w:tcPr>
            <w:tcW w:w="2268" w:type="dxa"/>
            <w:tcBorders>
              <w:left w:val="single" w:sz="6" w:space="0" w:color="000000"/>
              <w:bottom w:val="single" w:sz="6" w:space="0" w:color="000000"/>
              <w:right w:val="single" w:sz="6" w:space="0" w:color="000000"/>
            </w:tcBorders>
          </w:tcPr>
          <w:p>
            <w:pPr>
              <w:pStyle w:val="TableParagraph"/>
              <w:spacing w:before="31"/>
              <w:ind w:left="88" w:right="73"/>
              <w:rPr>
                <w:rFonts w:ascii="宋体" w:eastAsia="宋体" w:hint="eastAsia"/>
                <w:sz w:val="18"/>
              </w:rPr>
            </w:pPr>
            <w:r>
              <w:rPr>
                <w:rFonts w:ascii="宋体" w:eastAsia="宋体" w:hint="eastAsia"/>
                <w:sz w:val="18"/>
              </w:rPr>
              <w:t>试剂名称</w:t>
            </w:r>
          </w:p>
        </w:tc>
        <w:tc>
          <w:tcPr>
            <w:tcW w:w="1418" w:type="dxa"/>
            <w:tcBorders>
              <w:left w:val="single" w:sz="6" w:space="0" w:color="000000"/>
              <w:bottom w:val="single" w:sz="6" w:space="0" w:color="000000"/>
            </w:tcBorders>
          </w:tcPr>
          <w:p>
            <w:pPr>
              <w:pStyle w:val="TableParagraph"/>
              <w:spacing w:before="31"/>
              <w:ind w:right="253"/>
              <w:jc w:val="right"/>
              <w:rPr>
                <w:rFonts w:ascii="宋体" w:eastAsia="宋体" w:hint="eastAsia"/>
                <w:sz w:val="18"/>
              </w:rPr>
            </w:pPr>
            <w:r>
              <w:rPr>
                <w:rFonts w:ascii="宋体" w:eastAsia="宋体" w:hint="eastAsia"/>
                <w:sz w:val="18"/>
              </w:rPr>
              <w:t>规格与装量</w:t>
            </w:r>
          </w:p>
        </w:tc>
        <w:tc>
          <w:tcPr>
            <w:tcW w:w="4377" w:type="dxa"/>
            <w:tcBorders>
              <w:bottom w:val="single" w:sz="6" w:space="0" w:color="000000"/>
            </w:tcBorders>
          </w:tcPr>
          <w:p>
            <w:pPr>
              <w:pStyle w:val="TableParagraph"/>
              <w:spacing w:before="31"/>
              <w:ind w:left="50" w:right="36"/>
              <w:rPr>
                <w:rFonts w:ascii="宋体" w:eastAsia="宋体" w:hint="eastAsia"/>
                <w:sz w:val="18"/>
              </w:rPr>
            </w:pPr>
            <w:r>
              <w:rPr>
                <w:rFonts w:ascii="宋体" w:eastAsia="宋体" w:hint="eastAsia"/>
                <w:sz w:val="18"/>
              </w:rPr>
              <w:t>主要成分及浓度</w:t>
            </w:r>
          </w:p>
        </w:tc>
      </w:tr>
      <w:tr>
        <w:trPr>
          <w:trHeight w:val="623" w:hRule="atLeast"/>
        </w:trPr>
        <w:tc>
          <w:tcPr>
            <w:tcW w:w="949" w:type="dxa"/>
            <w:vMerge w:val="restart"/>
            <w:tcBorders>
              <w:top w:val="single" w:sz="6" w:space="0" w:color="000000"/>
              <w:bottom w:val="single" w:sz="6" w:space="0" w:color="000000"/>
              <w:right w:val="single" w:sz="6" w:space="0" w:color="000000"/>
            </w:tcBorders>
          </w:tcPr>
          <w:p>
            <w:pPr>
              <w:pStyle w:val="TableParagraph"/>
              <w:jc w:val="left"/>
              <w:rPr>
                <w:rFonts w:ascii="宋体"/>
                <w:sz w:val="18"/>
              </w:rPr>
            </w:pPr>
          </w:p>
          <w:p>
            <w:pPr>
              <w:pStyle w:val="TableParagraph"/>
              <w:spacing w:line="324" w:lineRule="auto" w:before="134"/>
              <w:ind w:left="122" w:right="104" w:hanging="3"/>
              <w:rPr>
                <w:rFonts w:ascii="宋体" w:eastAsia="宋体" w:hint="eastAsia"/>
                <w:sz w:val="18"/>
              </w:rPr>
            </w:pPr>
            <w:r>
              <w:rPr>
                <w:rFonts w:ascii="宋体" w:eastAsia="宋体" w:hint="eastAsia"/>
                <w:spacing w:val="-3"/>
                <w:sz w:val="18"/>
              </w:rPr>
              <w:t>磁珠法 </w:t>
            </w:r>
            <w:r>
              <w:rPr>
                <w:rFonts w:ascii="宋体" w:eastAsia="宋体" w:hint="eastAsia"/>
                <w:spacing w:val="-8"/>
                <w:sz w:val="18"/>
              </w:rPr>
              <w:t>核酸提取</w:t>
            </w:r>
            <w:r>
              <w:rPr>
                <w:rFonts w:ascii="宋体" w:eastAsia="宋体" w:hint="eastAsia"/>
                <w:spacing w:val="-3"/>
                <w:sz w:val="18"/>
              </w:rPr>
              <w:t>试剂</w:t>
            </w: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6"/>
              <w:jc w:val="left"/>
              <w:rPr>
                <w:rFonts w:ascii="宋体"/>
                <w:sz w:val="15"/>
              </w:rPr>
            </w:pPr>
          </w:p>
          <w:p>
            <w:pPr>
              <w:pStyle w:val="TableParagraph"/>
              <w:ind w:left="12"/>
              <w:rPr>
                <w:sz w:val="18"/>
              </w:rPr>
            </w:pPr>
            <w:r>
              <w:rPr>
                <w:sz w:val="18"/>
              </w:rPr>
              <w:t>1</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7"/>
              <w:jc w:val="left"/>
              <w:rPr>
                <w:rFonts w:ascii="宋体"/>
                <w:sz w:val="14"/>
              </w:rPr>
            </w:pPr>
          </w:p>
          <w:p>
            <w:pPr>
              <w:pStyle w:val="TableParagraph"/>
              <w:ind w:left="87" w:right="73"/>
              <w:rPr>
                <w:sz w:val="18"/>
              </w:rPr>
            </w:pPr>
            <w:r>
              <w:rPr>
                <w:sz w:val="18"/>
              </w:rPr>
              <w:t>RNA</w:t>
            </w:r>
            <w:r>
              <w:rPr>
                <w:rFonts w:ascii="宋体" w:eastAsia="宋体" w:hint="eastAsia"/>
                <w:sz w:val="18"/>
              </w:rPr>
              <w:t>提取溶液</w:t>
            </w:r>
            <w:r>
              <w:rPr>
                <w:sz w:val="18"/>
              </w:rPr>
              <w:t>1</w:t>
            </w:r>
          </w:p>
        </w:tc>
        <w:tc>
          <w:tcPr>
            <w:tcW w:w="1418" w:type="dxa"/>
            <w:tcBorders>
              <w:top w:val="single" w:sz="6" w:space="0" w:color="000000"/>
              <w:left w:val="single" w:sz="6" w:space="0" w:color="000000"/>
              <w:bottom w:val="single" w:sz="6" w:space="0" w:color="000000"/>
            </w:tcBorders>
          </w:tcPr>
          <w:p>
            <w:pPr>
              <w:pStyle w:val="TableParagraph"/>
              <w:spacing w:before="7"/>
              <w:jc w:val="left"/>
              <w:rPr>
                <w:rFonts w:ascii="宋体"/>
                <w:sz w:val="14"/>
              </w:rPr>
            </w:pPr>
          </w:p>
          <w:p>
            <w:pPr>
              <w:pStyle w:val="TableParagraph"/>
              <w:ind w:right="196"/>
              <w:jc w:val="right"/>
              <w:rPr>
                <w:rFonts w:ascii="宋体" w:hAnsi="宋体" w:eastAsia="宋体" w:hint="eastAsia"/>
                <w:sz w:val="18"/>
              </w:rPr>
            </w:pPr>
            <w:r>
              <w:rPr>
                <w:sz w:val="18"/>
              </w:rPr>
              <w:t>15 ml/</w:t>
            </w:r>
            <w:r>
              <w:rPr>
                <w:rFonts w:ascii="宋体" w:hAnsi="宋体" w:eastAsia="宋体" w:hint="eastAsia"/>
                <w:sz w:val="18"/>
              </w:rPr>
              <w:t>瓶</w:t>
            </w:r>
            <w:r>
              <w:rPr>
                <w:sz w:val="18"/>
              </w:rPr>
              <w:t>×1</w:t>
            </w:r>
            <w:r>
              <w:rPr>
                <w:rFonts w:ascii="宋体" w:hAnsi="宋体" w:eastAsia="宋体" w:hint="eastAsia"/>
                <w:sz w:val="18"/>
              </w:rPr>
              <w:t>瓶</w:t>
            </w:r>
          </w:p>
        </w:tc>
        <w:tc>
          <w:tcPr>
            <w:tcW w:w="4377" w:type="dxa"/>
            <w:tcBorders>
              <w:top w:val="single" w:sz="6" w:space="0" w:color="000000"/>
              <w:bottom w:val="single" w:sz="6" w:space="0" w:color="000000"/>
            </w:tcBorders>
          </w:tcPr>
          <w:p>
            <w:pPr>
              <w:pStyle w:val="TableParagraph"/>
              <w:spacing w:before="31"/>
              <w:ind w:left="50" w:right="24"/>
              <w:rPr>
                <w:rFonts w:ascii="宋体" w:eastAsia="宋体" w:hint="eastAsia"/>
                <w:sz w:val="18"/>
              </w:rPr>
            </w:pPr>
            <w:r>
              <w:rPr>
                <w:spacing w:val="-2"/>
                <w:sz w:val="18"/>
              </w:rPr>
              <w:t>S</w:t>
            </w:r>
            <w:r>
              <w:rPr>
                <w:spacing w:val="-3"/>
                <w:sz w:val="18"/>
              </w:rPr>
              <w:t>D</w:t>
            </w:r>
            <w:r>
              <w:rPr>
                <w:sz w:val="18"/>
              </w:rPr>
              <w:t>S</w:t>
            </w:r>
            <w:r>
              <w:rPr>
                <w:spacing w:val="-4"/>
                <w:sz w:val="18"/>
              </w:rPr>
              <w:t> </w:t>
            </w:r>
            <w:r>
              <w:rPr>
                <w:spacing w:val="-2"/>
                <w:sz w:val="18"/>
              </w:rPr>
              <w:t>0.5</w:t>
            </w:r>
            <w:r>
              <w:rPr>
                <w:spacing w:val="-6"/>
                <w:sz w:val="18"/>
              </w:rPr>
              <w:t>%</w:t>
            </w:r>
            <w:r>
              <w:rPr>
                <w:rFonts w:ascii="宋体" w:eastAsia="宋体" w:hint="eastAsia"/>
                <w:spacing w:val="-3"/>
                <w:sz w:val="18"/>
              </w:rPr>
              <w:t>（</w:t>
            </w:r>
            <w:r>
              <w:rPr>
                <w:spacing w:val="-2"/>
                <w:sz w:val="18"/>
              </w:rPr>
              <w:t>W/</w:t>
            </w:r>
            <w:r>
              <w:rPr>
                <w:spacing w:val="-3"/>
                <w:sz w:val="18"/>
              </w:rPr>
              <w:t>V</w:t>
            </w:r>
            <w:r>
              <w:rPr>
                <w:rFonts w:ascii="宋体" w:eastAsia="宋体" w:hint="eastAsia"/>
                <w:spacing w:val="-92"/>
                <w:sz w:val="18"/>
              </w:rPr>
              <w:t>）</w:t>
            </w:r>
            <w:r>
              <w:rPr>
                <w:rFonts w:ascii="宋体" w:eastAsia="宋体" w:hint="eastAsia"/>
                <w:spacing w:val="-5"/>
                <w:sz w:val="18"/>
              </w:rPr>
              <w:t>、</w:t>
            </w:r>
            <w:r>
              <w:rPr>
                <w:spacing w:val="-5"/>
                <w:sz w:val="18"/>
              </w:rPr>
              <w:t>T</w:t>
            </w:r>
            <w:r>
              <w:rPr>
                <w:spacing w:val="-3"/>
                <w:sz w:val="18"/>
              </w:rPr>
              <w:t>r</w:t>
            </w:r>
            <w:r>
              <w:rPr>
                <w:spacing w:val="-2"/>
                <w:sz w:val="18"/>
              </w:rPr>
              <w:t>ito</w:t>
            </w:r>
            <w:r>
              <w:rPr>
                <w:sz w:val="18"/>
              </w:rPr>
              <w:t>n</w:t>
            </w:r>
            <w:r>
              <w:rPr>
                <w:spacing w:val="-8"/>
                <w:sz w:val="18"/>
              </w:rPr>
              <w:t> </w:t>
            </w:r>
            <w:r>
              <w:rPr>
                <w:spacing w:val="-1"/>
                <w:sz w:val="18"/>
              </w:rPr>
              <w:t>X</w:t>
            </w:r>
            <w:r>
              <w:rPr>
                <w:spacing w:val="-3"/>
                <w:sz w:val="18"/>
              </w:rPr>
              <w:t>-</w:t>
            </w:r>
            <w:r>
              <w:rPr>
                <w:spacing w:val="-2"/>
                <w:sz w:val="18"/>
              </w:rPr>
              <w:t>10</w:t>
            </w:r>
            <w:r>
              <w:rPr>
                <w:sz w:val="18"/>
              </w:rPr>
              <w:t>0</w:t>
            </w:r>
            <w:r>
              <w:rPr>
                <w:spacing w:val="-8"/>
                <w:sz w:val="18"/>
              </w:rPr>
              <w:t> </w:t>
            </w:r>
            <w:r>
              <w:rPr>
                <w:spacing w:val="-2"/>
                <w:sz w:val="18"/>
              </w:rPr>
              <w:t>2%</w:t>
            </w:r>
            <w:r>
              <w:rPr>
                <w:spacing w:val="-3"/>
                <w:sz w:val="18"/>
              </w:rPr>
              <w:t>(</w:t>
            </w:r>
            <w:r>
              <w:rPr>
                <w:spacing w:val="-1"/>
                <w:sz w:val="18"/>
              </w:rPr>
              <w:t>V</w:t>
            </w:r>
            <w:r>
              <w:rPr>
                <w:spacing w:val="-2"/>
                <w:sz w:val="18"/>
              </w:rPr>
              <w:t>/</w:t>
            </w:r>
            <w:r>
              <w:rPr>
                <w:spacing w:val="-1"/>
                <w:sz w:val="18"/>
              </w:rPr>
              <w:t>V</w:t>
            </w:r>
            <w:r>
              <w:rPr>
                <w:spacing w:val="-8"/>
                <w:sz w:val="18"/>
              </w:rPr>
              <w:t>)</w:t>
            </w:r>
            <w:r>
              <w:rPr>
                <w:rFonts w:ascii="宋体" w:eastAsia="宋体" w:hint="eastAsia"/>
                <w:spacing w:val="-3"/>
                <w:sz w:val="18"/>
              </w:rPr>
              <w:t>、磁珠</w:t>
            </w:r>
          </w:p>
          <w:p>
            <w:pPr>
              <w:pStyle w:val="TableParagraph"/>
              <w:spacing w:before="93"/>
              <w:ind w:left="45" w:right="36"/>
              <w:rPr>
                <w:sz w:val="18"/>
              </w:rPr>
            </w:pPr>
            <w:r>
              <w:rPr>
                <w:sz w:val="18"/>
              </w:rPr>
              <w:t>200µg/ml</w:t>
            </w:r>
          </w:p>
        </w:tc>
      </w:tr>
      <w:tr>
        <w:trPr>
          <w:trHeight w:val="312"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42"/>
              <w:ind w:left="12"/>
              <w:rPr>
                <w:sz w:val="18"/>
              </w:rPr>
            </w:pPr>
            <w:r>
              <w:rPr>
                <w:sz w:val="18"/>
              </w:rPr>
              <w:t>2</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30"/>
              <w:ind w:left="87" w:right="73"/>
              <w:rPr>
                <w:sz w:val="18"/>
              </w:rPr>
            </w:pPr>
            <w:r>
              <w:rPr>
                <w:sz w:val="18"/>
              </w:rPr>
              <w:t>RNA</w:t>
            </w:r>
            <w:r>
              <w:rPr>
                <w:rFonts w:ascii="宋体" w:eastAsia="宋体" w:hint="eastAsia"/>
                <w:sz w:val="18"/>
              </w:rPr>
              <w:t>提取溶液</w:t>
            </w:r>
            <w:r>
              <w:rPr>
                <w:sz w:val="18"/>
              </w:rPr>
              <w:t>2</w:t>
            </w:r>
          </w:p>
        </w:tc>
        <w:tc>
          <w:tcPr>
            <w:tcW w:w="1418" w:type="dxa"/>
            <w:tcBorders>
              <w:top w:val="single" w:sz="6" w:space="0" w:color="000000"/>
              <w:left w:val="single" w:sz="6" w:space="0" w:color="000000"/>
              <w:bottom w:val="single" w:sz="6" w:space="0" w:color="000000"/>
            </w:tcBorders>
          </w:tcPr>
          <w:p>
            <w:pPr>
              <w:pStyle w:val="TableParagraph"/>
              <w:spacing w:before="30"/>
              <w:ind w:right="196"/>
              <w:jc w:val="right"/>
              <w:rPr>
                <w:rFonts w:ascii="宋体" w:hAnsi="宋体" w:eastAsia="宋体" w:hint="eastAsia"/>
                <w:sz w:val="18"/>
              </w:rPr>
            </w:pPr>
            <w:r>
              <w:rPr>
                <w:sz w:val="18"/>
              </w:rPr>
              <w:t>2.5ml/</w:t>
            </w:r>
            <w:r>
              <w:rPr>
                <w:rFonts w:ascii="宋体" w:hAnsi="宋体" w:eastAsia="宋体" w:hint="eastAsia"/>
                <w:sz w:val="18"/>
              </w:rPr>
              <w:t>管</w:t>
            </w:r>
            <w:r>
              <w:rPr>
                <w:sz w:val="18"/>
              </w:rPr>
              <w:t>×1</w:t>
            </w:r>
            <w:r>
              <w:rPr>
                <w:rFonts w:ascii="宋体" w:hAnsi="宋体" w:eastAsia="宋体" w:hint="eastAsia"/>
                <w:sz w:val="18"/>
              </w:rPr>
              <w:t>管</w:t>
            </w:r>
          </w:p>
        </w:tc>
        <w:tc>
          <w:tcPr>
            <w:tcW w:w="4377" w:type="dxa"/>
            <w:tcBorders>
              <w:top w:val="single" w:sz="6" w:space="0" w:color="000000"/>
              <w:bottom w:val="single" w:sz="6" w:space="0" w:color="000000"/>
            </w:tcBorders>
          </w:tcPr>
          <w:p>
            <w:pPr>
              <w:pStyle w:val="TableParagraph"/>
              <w:spacing w:before="30"/>
              <w:ind w:left="50" w:right="30"/>
              <w:rPr>
                <w:sz w:val="18"/>
              </w:rPr>
            </w:pPr>
            <w:r>
              <w:rPr>
                <w:sz w:val="18"/>
              </w:rPr>
              <w:t>HEPES 200mmol/L</w:t>
            </w:r>
            <w:r>
              <w:rPr>
                <w:rFonts w:ascii="宋体" w:eastAsia="宋体" w:hint="eastAsia"/>
                <w:sz w:val="18"/>
              </w:rPr>
              <w:t>、</w:t>
            </w:r>
            <w:r>
              <w:rPr>
                <w:sz w:val="18"/>
              </w:rPr>
              <w:t>NaCl 200mmol/L</w:t>
            </w:r>
          </w:p>
        </w:tc>
      </w:tr>
      <w:tr>
        <w:trPr>
          <w:trHeight w:val="311"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41"/>
              <w:ind w:left="12"/>
              <w:rPr>
                <w:sz w:val="18"/>
              </w:rPr>
            </w:pPr>
            <w:r>
              <w:rPr>
                <w:sz w:val="18"/>
              </w:rPr>
              <w:t>3</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32"/>
              <w:ind w:left="87" w:right="73"/>
              <w:rPr>
                <w:sz w:val="18"/>
              </w:rPr>
            </w:pPr>
            <w:r>
              <w:rPr>
                <w:sz w:val="18"/>
              </w:rPr>
              <w:t>RNA</w:t>
            </w:r>
            <w:r>
              <w:rPr>
                <w:rFonts w:ascii="宋体" w:eastAsia="宋体" w:hint="eastAsia"/>
                <w:sz w:val="18"/>
              </w:rPr>
              <w:t>提取溶液</w:t>
            </w:r>
            <w:r>
              <w:rPr>
                <w:sz w:val="18"/>
              </w:rPr>
              <w:t>3</w:t>
            </w:r>
          </w:p>
        </w:tc>
        <w:tc>
          <w:tcPr>
            <w:tcW w:w="1418" w:type="dxa"/>
            <w:tcBorders>
              <w:top w:val="single" w:sz="6" w:space="0" w:color="000000"/>
              <w:left w:val="single" w:sz="6" w:space="0" w:color="000000"/>
              <w:bottom w:val="single" w:sz="6" w:space="0" w:color="000000"/>
            </w:tcBorders>
          </w:tcPr>
          <w:p>
            <w:pPr>
              <w:pStyle w:val="TableParagraph"/>
              <w:spacing w:before="32"/>
              <w:ind w:right="220"/>
              <w:jc w:val="right"/>
              <w:rPr>
                <w:rFonts w:ascii="宋体" w:hAnsi="宋体" w:eastAsia="宋体" w:hint="eastAsia"/>
                <w:sz w:val="18"/>
              </w:rPr>
            </w:pPr>
            <w:r>
              <w:rPr>
                <w:sz w:val="18"/>
              </w:rPr>
              <w:t>15ml/</w:t>
            </w:r>
            <w:r>
              <w:rPr>
                <w:rFonts w:ascii="宋体" w:hAnsi="宋体" w:eastAsia="宋体" w:hint="eastAsia"/>
                <w:sz w:val="18"/>
              </w:rPr>
              <w:t>瓶</w:t>
            </w:r>
            <w:r>
              <w:rPr>
                <w:sz w:val="18"/>
              </w:rPr>
              <w:t>×1</w:t>
            </w:r>
            <w:r>
              <w:rPr>
                <w:rFonts w:ascii="宋体" w:hAnsi="宋体" w:eastAsia="宋体" w:hint="eastAsia"/>
                <w:sz w:val="18"/>
              </w:rPr>
              <w:t>瓶</w:t>
            </w:r>
          </w:p>
        </w:tc>
        <w:tc>
          <w:tcPr>
            <w:tcW w:w="4377" w:type="dxa"/>
            <w:tcBorders>
              <w:top w:val="single" w:sz="6" w:space="0" w:color="000000"/>
              <w:bottom w:val="single" w:sz="6" w:space="0" w:color="000000"/>
            </w:tcBorders>
          </w:tcPr>
          <w:p>
            <w:pPr>
              <w:pStyle w:val="TableParagraph"/>
              <w:spacing w:before="32"/>
              <w:ind w:left="50" w:right="27"/>
              <w:rPr>
                <w:sz w:val="18"/>
              </w:rPr>
            </w:pPr>
            <w:r>
              <w:rPr>
                <w:sz w:val="18"/>
              </w:rPr>
              <w:t>Triton X-100 0.2%(V/V)</w:t>
            </w:r>
            <w:r>
              <w:rPr>
                <w:rFonts w:ascii="宋体" w:eastAsia="宋体" w:hint="eastAsia"/>
                <w:sz w:val="18"/>
              </w:rPr>
              <w:t>、</w:t>
            </w:r>
            <w:r>
              <w:rPr>
                <w:sz w:val="18"/>
              </w:rPr>
              <w:t>NaCl 200mmol/L</w:t>
            </w:r>
          </w:p>
        </w:tc>
      </w:tr>
      <w:tr>
        <w:trPr>
          <w:trHeight w:val="312"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43"/>
              <w:ind w:left="12"/>
              <w:rPr>
                <w:sz w:val="18"/>
              </w:rPr>
            </w:pPr>
            <w:r>
              <w:rPr>
                <w:sz w:val="18"/>
              </w:rPr>
              <w:t>4</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31"/>
              <w:ind w:left="87" w:right="73"/>
              <w:rPr>
                <w:sz w:val="18"/>
              </w:rPr>
            </w:pPr>
            <w:r>
              <w:rPr>
                <w:sz w:val="18"/>
              </w:rPr>
              <w:t>RNA</w:t>
            </w:r>
            <w:r>
              <w:rPr>
                <w:rFonts w:ascii="宋体" w:eastAsia="宋体" w:hint="eastAsia"/>
                <w:sz w:val="18"/>
              </w:rPr>
              <w:t>提取溶液</w:t>
            </w:r>
            <w:r>
              <w:rPr>
                <w:sz w:val="18"/>
              </w:rPr>
              <w:t>4</w:t>
            </w:r>
          </w:p>
        </w:tc>
        <w:tc>
          <w:tcPr>
            <w:tcW w:w="1418" w:type="dxa"/>
            <w:tcBorders>
              <w:top w:val="single" w:sz="6" w:space="0" w:color="000000"/>
              <w:left w:val="single" w:sz="6" w:space="0" w:color="000000"/>
              <w:bottom w:val="single" w:sz="6" w:space="0" w:color="000000"/>
            </w:tcBorders>
          </w:tcPr>
          <w:p>
            <w:pPr>
              <w:pStyle w:val="TableParagraph"/>
              <w:spacing w:before="31"/>
              <w:ind w:right="263"/>
              <w:jc w:val="right"/>
              <w:rPr>
                <w:rFonts w:ascii="宋体" w:hAnsi="宋体" w:eastAsia="宋体" w:hint="eastAsia"/>
                <w:sz w:val="18"/>
              </w:rPr>
            </w:pPr>
            <w:r>
              <w:rPr>
                <w:sz w:val="18"/>
              </w:rPr>
              <w:t>5ml/</w:t>
            </w:r>
            <w:r>
              <w:rPr>
                <w:rFonts w:ascii="宋体" w:hAnsi="宋体" w:eastAsia="宋体" w:hint="eastAsia"/>
                <w:sz w:val="18"/>
              </w:rPr>
              <w:t>瓶</w:t>
            </w:r>
            <w:r>
              <w:rPr>
                <w:sz w:val="18"/>
              </w:rPr>
              <w:t>×1</w:t>
            </w:r>
            <w:r>
              <w:rPr>
                <w:rFonts w:ascii="宋体" w:hAnsi="宋体" w:eastAsia="宋体" w:hint="eastAsia"/>
                <w:sz w:val="18"/>
              </w:rPr>
              <w:t>瓶</w:t>
            </w:r>
          </w:p>
        </w:tc>
        <w:tc>
          <w:tcPr>
            <w:tcW w:w="4377" w:type="dxa"/>
            <w:tcBorders>
              <w:top w:val="single" w:sz="6" w:space="0" w:color="000000"/>
              <w:bottom w:val="single" w:sz="6" w:space="0" w:color="000000"/>
            </w:tcBorders>
          </w:tcPr>
          <w:p>
            <w:pPr>
              <w:pStyle w:val="TableParagraph"/>
              <w:spacing w:before="31"/>
              <w:ind w:left="47" w:right="36"/>
              <w:rPr>
                <w:rFonts w:ascii="宋体" w:eastAsia="宋体" w:hint="eastAsia"/>
                <w:sz w:val="18"/>
              </w:rPr>
            </w:pPr>
            <w:r>
              <w:rPr>
                <w:rFonts w:ascii="宋体" w:eastAsia="宋体" w:hint="eastAsia"/>
                <w:sz w:val="18"/>
              </w:rPr>
              <w:t>矿物油</w:t>
            </w:r>
          </w:p>
        </w:tc>
      </w:tr>
      <w:tr>
        <w:trPr>
          <w:trHeight w:val="312" w:hRule="atLeast"/>
        </w:trPr>
        <w:tc>
          <w:tcPr>
            <w:tcW w:w="949" w:type="dxa"/>
            <w:vMerge w:val="restart"/>
            <w:tcBorders>
              <w:top w:val="single" w:sz="6" w:space="0" w:color="000000"/>
              <w:bottom w:val="single" w:sz="6" w:space="0" w:color="000000"/>
              <w:right w:val="single" w:sz="6" w:space="0" w:color="000000"/>
            </w:tcBorders>
          </w:tcPr>
          <w:p>
            <w:pPr>
              <w:pStyle w:val="TableParagraph"/>
              <w:jc w:val="left"/>
              <w:rPr>
                <w:rFonts w:ascii="宋体"/>
                <w:sz w:val="18"/>
              </w:rPr>
            </w:pPr>
          </w:p>
          <w:p>
            <w:pPr>
              <w:pStyle w:val="TableParagraph"/>
              <w:jc w:val="left"/>
              <w:rPr>
                <w:rFonts w:ascii="宋体"/>
                <w:sz w:val="18"/>
              </w:rPr>
            </w:pPr>
          </w:p>
          <w:p>
            <w:pPr>
              <w:pStyle w:val="TableParagraph"/>
              <w:jc w:val="left"/>
              <w:rPr>
                <w:rFonts w:ascii="宋体"/>
                <w:sz w:val="18"/>
              </w:rPr>
            </w:pPr>
          </w:p>
          <w:p>
            <w:pPr>
              <w:pStyle w:val="TableParagraph"/>
              <w:jc w:val="left"/>
              <w:rPr>
                <w:rFonts w:ascii="宋体"/>
                <w:sz w:val="18"/>
              </w:rPr>
            </w:pPr>
          </w:p>
          <w:p>
            <w:pPr>
              <w:pStyle w:val="TableParagraph"/>
              <w:spacing w:line="324" w:lineRule="auto" w:before="126"/>
              <w:ind w:left="297" w:right="281"/>
              <w:jc w:val="both"/>
              <w:rPr>
                <w:rFonts w:ascii="宋体" w:eastAsia="宋体" w:hint="eastAsia"/>
                <w:sz w:val="18"/>
              </w:rPr>
            </w:pPr>
            <w:r>
              <w:rPr>
                <w:rFonts w:ascii="宋体" w:eastAsia="宋体" w:hint="eastAsia"/>
                <w:spacing w:val="-11"/>
                <w:sz w:val="18"/>
              </w:rPr>
              <w:t>扩增反应试剂</w:t>
            </w: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42"/>
              <w:ind w:left="12"/>
              <w:rPr>
                <w:sz w:val="18"/>
              </w:rPr>
            </w:pPr>
            <w:r>
              <w:rPr>
                <w:sz w:val="18"/>
              </w:rPr>
              <w:t>1</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31"/>
              <w:ind w:left="88" w:right="71"/>
              <w:rPr>
                <w:rFonts w:ascii="宋体" w:eastAsia="宋体" w:hint="eastAsia"/>
                <w:sz w:val="18"/>
              </w:rPr>
            </w:pPr>
            <w:r>
              <w:rPr>
                <w:sz w:val="18"/>
              </w:rPr>
              <w:t>RNA</w:t>
            </w:r>
            <w:r>
              <w:rPr>
                <w:rFonts w:ascii="宋体" w:eastAsia="宋体" w:hint="eastAsia"/>
                <w:sz w:val="18"/>
              </w:rPr>
              <w:t>洗脱液</w:t>
            </w:r>
          </w:p>
        </w:tc>
        <w:tc>
          <w:tcPr>
            <w:tcW w:w="1418" w:type="dxa"/>
            <w:tcBorders>
              <w:top w:val="single" w:sz="6" w:space="0" w:color="000000"/>
              <w:left w:val="single" w:sz="6" w:space="0" w:color="000000"/>
              <w:bottom w:val="single" w:sz="6" w:space="0" w:color="000000"/>
            </w:tcBorders>
          </w:tcPr>
          <w:p>
            <w:pPr>
              <w:pStyle w:val="TableParagraph"/>
              <w:spacing w:before="31"/>
              <w:ind w:right="220"/>
              <w:jc w:val="right"/>
              <w:rPr>
                <w:rFonts w:ascii="宋体" w:hAnsi="宋体" w:eastAsia="宋体" w:hint="eastAsia"/>
                <w:sz w:val="18"/>
              </w:rPr>
            </w:pPr>
            <w:r>
              <w:rPr>
                <w:sz w:val="18"/>
              </w:rPr>
              <w:t>1.0ml</w:t>
            </w:r>
            <w:r>
              <w:rPr>
                <w:rFonts w:ascii="宋体" w:hAnsi="宋体" w:eastAsia="宋体" w:hint="eastAsia"/>
                <w:sz w:val="18"/>
              </w:rPr>
              <w:t>管</w:t>
            </w:r>
            <w:r>
              <w:rPr>
                <w:sz w:val="18"/>
              </w:rPr>
              <w:t>×1</w:t>
            </w:r>
            <w:r>
              <w:rPr>
                <w:rFonts w:ascii="宋体" w:hAnsi="宋体" w:eastAsia="宋体" w:hint="eastAsia"/>
                <w:sz w:val="18"/>
              </w:rPr>
              <w:t>管</w:t>
            </w:r>
          </w:p>
        </w:tc>
        <w:tc>
          <w:tcPr>
            <w:tcW w:w="4377" w:type="dxa"/>
            <w:tcBorders>
              <w:top w:val="single" w:sz="6" w:space="0" w:color="000000"/>
              <w:bottom w:val="single" w:sz="6" w:space="0" w:color="000000"/>
            </w:tcBorders>
          </w:tcPr>
          <w:p>
            <w:pPr>
              <w:pStyle w:val="TableParagraph"/>
              <w:spacing w:before="31"/>
              <w:ind w:left="50" w:right="32"/>
              <w:rPr>
                <w:sz w:val="18"/>
              </w:rPr>
            </w:pPr>
            <w:r>
              <w:rPr>
                <w:sz w:val="18"/>
              </w:rPr>
              <w:t>Tris-HCl 1mol/L</w:t>
            </w:r>
            <w:r>
              <w:rPr>
                <w:rFonts w:ascii="宋体" w:eastAsia="宋体" w:hint="eastAsia"/>
                <w:sz w:val="18"/>
              </w:rPr>
              <w:t>、</w:t>
            </w:r>
            <w:r>
              <w:rPr>
                <w:sz w:val="18"/>
              </w:rPr>
              <w:t>EDTA 0.5mol/L</w:t>
            </w:r>
          </w:p>
        </w:tc>
      </w:tr>
      <w:tr>
        <w:trPr>
          <w:trHeight w:val="623"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6"/>
              <w:jc w:val="left"/>
              <w:rPr>
                <w:rFonts w:ascii="宋体"/>
                <w:sz w:val="15"/>
              </w:rPr>
            </w:pPr>
          </w:p>
          <w:p>
            <w:pPr>
              <w:pStyle w:val="TableParagraph"/>
              <w:ind w:left="12"/>
              <w:rPr>
                <w:sz w:val="18"/>
              </w:rPr>
            </w:pPr>
            <w:r>
              <w:rPr>
                <w:sz w:val="18"/>
              </w:rPr>
              <w:t>2</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6"/>
              <w:jc w:val="left"/>
              <w:rPr>
                <w:rFonts w:ascii="宋体"/>
                <w:sz w:val="14"/>
              </w:rPr>
            </w:pPr>
          </w:p>
          <w:p>
            <w:pPr>
              <w:pStyle w:val="TableParagraph"/>
              <w:spacing w:before="1"/>
              <w:ind w:left="85" w:right="73"/>
              <w:rPr>
                <w:rFonts w:ascii="宋体" w:eastAsia="宋体" w:hint="eastAsia"/>
                <w:sz w:val="18"/>
              </w:rPr>
            </w:pPr>
            <w:r>
              <w:rPr>
                <w:rFonts w:ascii="宋体" w:eastAsia="宋体" w:hint="eastAsia"/>
                <w:sz w:val="18"/>
              </w:rPr>
              <w:t>甲型流感病毒内标</w:t>
            </w:r>
          </w:p>
        </w:tc>
        <w:tc>
          <w:tcPr>
            <w:tcW w:w="1418" w:type="dxa"/>
            <w:tcBorders>
              <w:top w:val="single" w:sz="6" w:space="0" w:color="000000"/>
              <w:left w:val="single" w:sz="6" w:space="0" w:color="000000"/>
              <w:bottom w:val="single" w:sz="6" w:space="0" w:color="000000"/>
            </w:tcBorders>
          </w:tcPr>
          <w:p>
            <w:pPr>
              <w:pStyle w:val="TableParagraph"/>
              <w:spacing w:before="6"/>
              <w:jc w:val="left"/>
              <w:rPr>
                <w:rFonts w:ascii="宋体"/>
                <w:sz w:val="14"/>
              </w:rPr>
            </w:pPr>
          </w:p>
          <w:p>
            <w:pPr>
              <w:pStyle w:val="TableParagraph"/>
              <w:spacing w:before="1"/>
              <w:ind w:right="239"/>
              <w:jc w:val="right"/>
              <w:rPr>
                <w:rFonts w:ascii="宋体" w:hAnsi="宋体" w:eastAsia="宋体" w:hint="eastAsia"/>
                <w:sz w:val="18"/>
              </w:rPr>
            </w:pPr>
            <w:r>
              <w:rPr>
                <w:sz w:val="18"/>
              </w:rPr>
              <w:t>20μl/</w:t>
            </w:r>
            <w:r>
              <w:rPr>
                <w:rFonts w:ascii="宋体" w:hAnsi="宋体" w:eastAsia="宋体" w:hint="eastAsia"/>
                <w:sz w:val="18"/>
              </w:rPr>
              <w:t>管</w:t>
            </w:r>
            <w:r>
              <w:rPr>
                <w:sz w:val="18"/>
              </w:rPr>
              <w:t>×1</w:t>
            </w:r>
            <w:r>
              <w:rPr>
                <w:rFonts w:ascii="宋体" w:hAnsi="宋体" w:eastAsia="宋体" w:hint="eastAsia"/>
                <w:sz w:val="18"/>
              </w:rPr>
              <w:t>管</w:t>
            </w:r>
          </w:p>
        </w:tc>
        <w:tc>
          <w:tcPr>
            <w:tcW w:w="4377" w:type="dxa"/>
            <w:tcBorders>
              <w:top w:val="single" w:sz="6" w:space="0" w:color="000000"/>
              <w:bottom w:val="single" w:sz="6" w:space="0" w:color="000000"/>
            </w:tcBorders>
          </w:tcPr>
          <w:p>
            <w:pPr>
              <w:pStyle w:val="TableParagraph"/>
              <w:spacing w:before="30"/>
              <w:ind w:left="50" w:right="34"/>
              <w:rPr>
                <w:sz w:val="11"/>
              </w:rPr>
            </w:pPr>
            <w:r>
              <w:rPr>
                <w:sz w:val="18"/>
              </w:rPr>
              <w:t>TE buffer</w:t>
            </w:r>
            <w:r>
              <w:rPr>
                <w:rFonts w:ascii="宋体" w:hAnsi="宋体" w:eastAsia="宋体" w:hint="eastAsia"/>
                <w:sz w:val="18"/>
              </w:rPr>
              <w:t>稀释的含内标模板序列的慢病毒</w:t>
            </w:r>
            <w:r>
              <w:rPr>
                <w:sz w:val="18"/>
              </w:rPr>
              <w:t>(5.0×10</w:t>
            </w:r>
            <w:r>
              <w:rPr>
                <w:position w:val="6"/>
                <w:sz w:val="11"/>
              </w:rPr>
              <w:t>5</w:t>
            </w:r>
          </w:p>
          <w:p>
            <w:pPr>
              <w:pStyle w:val="TableParagraph"/>
              <w:spacing w:before="93"/>
              <w:ind w:left="50" w:right="36"/>
              <w:rPr>
                <w:sz w:val="18"/>
              </w:rPr>
            </w:pPr>
            <w:r>
              <w:rPr>
                <w:sz w:val="18"/>
              </w:rPr>
              <w:t>TU/ml)</w:t>
            </w:r>
          </w:p>
        </w:tc>
      </w:tr>
      <w:tr>
        <w:trPr>
          <w:trHeight w:val="936"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7"/>
              <w:jc w:val="left"/>
              <w:rPr>
                <w:rFonts w:ascii="宋体"/>
                <w:sz w:val="27"/>
              </w:rPr>
            </w:pPr>
          </w:p>
          <w:p>
            <w:pPr>
              <w:pStyle w:val="TableParagraph"/>
              <w:ind w:left="12"/>
              <w:rPr>
                <w:sz w:val="18"/>
              </w:rPr>
            </w:pPr>
            <w:r>
              <w:rPr>
                <w:sz w:val="18"/>
              </w:rPr>
              <w:t>3</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10"/>
              <w:jc w:val="left"/>
              <w:rPr>
                <w:rFonts w:ascii="宋体"/>
                <w:sz w:val="26"/>
              </w:rPr>
            </w:pPr>
          </w:p>
          <w:p>
            <w:pPr>
              <w:pStyle w:val="TableParagraph"/>
              <w:spacing w:before="1"/>
              <w:ind w:left="88" w:right="73"/>
              <w:rPr>
                <w:rFonts w:ascii="宋体" w:eastAsia="宋体" w:hint="eastAsia"/>
                <w:sz w:val="18"/>
              </w:rPr>
            </w:pPr>
            <w:r>
              <w:rPr>
                <w:rFonts w:ascii="宋体" w:eastAsia="宋体" w:hint="eastAsia"/>
                <w:sz w:val="18"/>
              </w:rPr>
              <w:t>甲型流感病毒 </w:t>
            </w:r>
            <w:r>
              <w:rPr>
                <w:sz w:val="18"/>
              </w:rPr>
              <w:t>PCR</w:t>
            </w:r>
            <w:r>
              <w:rPr>
                <w:rFonts w:ascii="宋体" w:eastAsia="宋体" w:hint="eastAsia"/>
                <w:sz w:val="18"/>
              </w:rPr>
              <w:t>反应液</w:t>
            </w:r>
          </w:p>
        </w:tc>
        <w:tc>
          <w:tcPr>
            <w:tcW w:w="1418" w:type="dxa"/>
            <w:tcBorders>
              <w:top w:val="single" w:sz="6" w:space="0" w:color="000000"/>
              <w:left w:val="single" w:sz="6" w:space="0" w:color="000000"/>
              <w:bottom w:val="single" w:sz="6" w:space="0" w:color="000000"/>
            </w:tcBorders>
          </w:tcPr>
          <w:p>
            <w:pPr>
              <w:pStyle w:val="TableParagraph"/>
              <w:spacing w:before="10"/>
              <w:jc w:val="left"/>
              <w:rPr>
                <w:rFonts w:ascii="宋体"/>
                <w:sz w:val="26"/>
              </w:rPr>
            </w:pPr>
          </w:p>
          <w:p>
            <w:pPr>
              <w:pStyle w:val="TableParagraph"/>
              <w:spacing w:before="1"/>
              <w:ind w:right="196"/>
              <w:jc w:val="right"/>
              <w:rPr>
                <w:rFonts w:ascii="宋体" w:hAnsi="宋体" w:eastAsia="宋体" w:hint="eastAsia"/>
                <w:sz w:val="18"/>
              </w:rPr>
            </w:pPr>
            <w:r>
              <w:rPr>
                <w:sz w:val="18"/>
              </w:rPr>
              <w:t>1.0ml/</w:t>
            </w:r>
            <w:r>
              <w:rPr>
                <w:rFonts w:ascii="宋体" w:hAnsi="宋体" w:eastAsia="宋体" w:hint="eastAsia"/>
                <w:sz w:val="18"/>
              </w:rPr>
              <w:t>管</w:t>
            </w:r>
            <w:r>
              <w:rPr>
                <w:sz w:val="18"/>
              </w:rPr>
              <w:t>×1</w:t>
            </w:r>
            <w:r>
              <w:rPr>
                <w:rFonts w:ascii="宋体" w:hAnsi="宋体" w:eastAsia="宋体" w:hint="eastAsia"/>
                <w:sz w:val="18"/>
              </w:rPr>
              <w:t>管</w:t>
            </w:r>
          </w:p>
        </w:tc>
        <w:tc>
          <w:tcPr>
            <w:tcW w:w="4377" w:type="dxa"/>
            <w:tcBorders>
              <w:top w:val="single" w:sz="6" w:space="0" w:color="000000"/>
              <w:bottom w:val="single" w:sz="6" w:space="0" w:color="000000"/>
            </w:tcBorders>
          </w:tcPr>
          <w:p>
            <w:pPr>
              <w:pStyle w:val="TableParagraph"/>
              <w:spacing w:line="324" w:lineRule="auto" w:before="32"/>
              <w:ind w:left="108" w:right="92"/>
              <w:jc w:val="left"/>
              <w:rPr>
                <w:rFonts w:ascii="宋体" w:eastAsia="宋体" w:hint="eastAsia"/>
                <w:sz w:val="18"/>
              </w:rPr>
            </w:pPr>
            <w:r>
              <w:rPr>
                <w:rFonts w:ascii="宋体" w:eastAsia="宋体" w:hint="eastAsia"/>
                <w:spacing w:val="-21"/>
                <w:sz w:val="18"/>
              </w:rPr>
              <w:t>引物</w:t>
            </w:r>
            <w:r>
              <w:rPr>
                <w:rFonts w:ascii="宋体" w:eastAsia="宋体" w:hint="eastAsia"/>
                <w:spacing w:val="-8"/>
                <w:sz w:val="18"/>
              </w:rPr>
              <w:t>（</w:t>
            </w:r>
            <w:r>
              <w:rPr>
                <w:spacing w:val="-2"/>
                <w:sz w:val="18"/>
              </w:rPr>
              <w:t>2.86</w:t>
            </w:r>
            <w:r>
              <w:rPr>
                <w:spacing w:val="-4"/>
                <w:sz w:val="18"/>
              </w:rPr>
              <w:t>%</w:t>
            </w:r>
            <w:r>
              <w:rPr>
                <w:rFonts w:ascii="宋体" w:eastAsia="宋体" w:hint="eastAsia"/>
                <w:spacing w:val="-92"/>
                <w:sz w:val="18"/>
              </w:rPr>
              <w:t>）</w:t>
            </w:r>
            <w:r>
              <w:rPr>
                <w:rFonts w:ascii="宋体" w:eastAsia="宋体" w:hint="eastAsia"/>
                <w:spacing w:val="-16"/>
                <w:sz w:val="18"/>
              </w:rPr>
              <w:t>、探针</w:t>
            </w:r>
            <w:r>
              <w:rPr>
                <w:sz w:val="18"/>
              </w:rPr>
              <w:t>(</w:t>
            </w:r>
            <w:r>
              <w:rPr>
                <w:spacing w:val="-2"/>
                <w:sz w:val="18"/>
              </w:rPr>
              <w:t>0.61</w:t>
            </w:r>
            <w:r>
              <w:rPr>
                <w:spacing w:val="-5"/>
                <w:sz w:val="18"/>
              </w:rPr>
              <w:t>%)</w:t>
            </w:r>
            <w:r>
              <w:rPr>
                <w:rFonts w:ascii="宋体" w:eastAsia="宋体" w:hint="eastAsia"/>
                <w:spacing w:val="-39"/>
                <w:sz w:val="18"/>
              </w:rPr>
              <w:t>、</w:t>
            </w:r>
            <w:r>
              <w:rPr>
                <w:spacing w:val="-2"/>
                <w:sz w:val="18"/>
              </w:rPr>
              <w:t>d</w:t>
            </w:r>
            <w:r>
              <w:rPr>
                <w:spacing w:val="-3"/>
                <w:sz w:val="18"/>
              </w:rPr>
              <w:t>N</w:t>
            </w:r>
            <w:r>
              <w:rPr>
                <w:spacing w:val="-2"/>
                <w:sz w:val="18"/>
              </w:rPr>
              <w:t>T</w:t>
            </w:r>
            <w:r>
              <w:rPr>
                <w:sz w:val="18"/>
              </w:rPr>
              <w:t>P</w:t>
            </w:r>
            <w:r>
              <w:rPr>
                <w:spacing w:val="-37"/>
                <w:sz w:val="18"/>
              </w:rPr>
              <w:t>s</w:t>
            </w:r>
            <w:r>
              <w:rPr>
                <w:rFonts w:ascii="宋体" w:eastAsia="宋体" w:hint="eastAsia"/>
                <w:spacing w:val="-5"/>
                <w:sz w:val="18"/>
              </w:rPr>
              <w:t>（</w:t>
            </w:r>
            <w:r>
              <w:rPr>
                <w:spacing w:val="-2"/>
                <w:sz w:val="18"/>
              </w:rPr>
              <w:t>3.06</w:t>
            </w:r>
            <w:r>
              <w:rPr>
                <w:spacing w:val="-6"/>
                <w:sz w:val="18"/>
              </w:rPr>
              <w:t>%</w:t>
            </w:r>
            <w:r>
              <w:rPr>
                <w:rFonts w:ascii="宋体" w:eastAsia="宋体" w:hint="eastAsia"/>
                <w:spacing w:val="-92"/>
                <w:sz w:val="18"/>
              </w:rPr>
              <w:t>）</w:t>
            </w:r>
            <w:r>
              <w:rPr>
                <w:rFonts w:ascii="宋体" w:eastAsia="宋体" w:hint="eastAsia"/>
                <w:spacing w:val="-36"/>
                <w:sz w:val="18"/>
              </w:rPr>
              <w:t>、</w:t>
            </w:r>
            <w:r>
              <w:rPr>
                <w:sz w:val="18"/>
              </w:rPr>
              <w:t>5</w:t>
            </w:r>
            <w:r>
              <w:rPr>
                <w:spacing w:val="-6"/>
                <w:sz w:val="18"/>
              </w:rPr>
              <w:t> </w:t>
            </w:r>
            <w:r>
              <w:rPr>
                <w:sz w:val="18"/>
              </w:rPr>
              <w:t>x</w:t>
            </w:r>
            <w:r>
              <w:rPr>
                <w:spacing w:val="-3"/>
                <w:sz w:val="18"/>
              </w:rPr>
              <w:t> </w:t>
            </w:r>
            <w:r>
              <w:rPr>
                <w:sz w:val="18"/>
              </w:rPr>
              <w:t>P</w:t>
            </w:r>
            <w:r>
              <w:rPr>
                <w:spacing w:val="-3"/>
                <w:sz w:val="18"/>
              </w:rPr>
              <w:t>C</w:t>
            </w:r>
            <w:r>
              <w:rPr>
                <w:sz w:val="18"/>
              </w:rPr>
              <w:t>R </w:t>
            </w:r>
            <w:r>
              <w:rPr>
                <w:spacing w:val="-2"/>
                <w:sz w:val="18"/>
              </w:rPr>
              <w:t>bu</w:t>
            </w:r>
            <w:r>
              <w:rPr>
                <w:spacing w:val="-5"/>
                <w:sz w:val="18"/>
              </w:rPr>
              <w:t>ff</w:t>
            </w:r>
            <w:r>
              <w:rPr>
                <w:spacing w:val="-1"/>
                <w:sz w:val="18"/>
              </w:rPr>
              <w:t>e</w:t>
            </w:r>
            <w:r>
              <w:rPr>
                <w:spacing w:val="-5"/>
                <w:sz w:val="18"/>
              </w:rPr>
              <w:t>r</w:t>
            </w:r>
            <w:r>
              <w:rPr>
                <w:rFonts w:ascii="宋体" w:eastAsia="宋体" w:hint="eastAsia"/>
                <w:spacing w:val="-3"/>
                <w:sz w:val="18"/>
              </w:rPr>
              <w:t>（</w:t>
            </w:r>
            <w:r>
              <w:rPr>
                <w:spacing w:val="-2"/>
                <w:sz w:val="18"/>
              </w:rPr>
              <w:t>20.41</w:t>
            </w:r>
            <w:r>
              <w:rPr>
                <w:spacing w:val="-6"/>
                <w:sz w:val="18"/>
              </w:rPr>
              <w:t>%</w:t>
            </w:r>
            <w:r>
              <w:rPr>
                <w:rFonts w:ascii="宋体" w:eastAsia="宋体" w:hint="eastAsia"/>
                <w:spacing w:val="-92"/>
                <w:sz w:val="18"/>
              </w:rPr>
              <w:t>）</w:t>
            </w:r>
            <w:r>
              <w:rPr>
                <w:rFonts w:ascii="宋体" w:eastAsia="宋体" w:hint="eastAsia"/>
                <w:spacing w:val="-5"/>
                <w:sz w:val="18"/>
              </w:rPr>
              <w:t>、灭菌纯化水（</w:t>
            </w:r>
            <w:r>
              <w:rPr>
                <w:spacing w:val="-2"/>
                <w:sz w:val="18"/>
              </w:rPr>
              <w:t>70.94</w:t>
            </w:r>
            <w:r>
              <w:rPr>
                <w:spacing w:val="-6"/>
                <w:sz w:val="18"/>
              </w:rPr>
              <w:t>%</w:t>
            </w:r>
            <w:r>
              <w:rPr>
                <w:rFonts w:ascii="宋体" w:eastAsia="宋体" w:hint="eastAsia"/>
                <w:spacing w:val="-92"/>
                <w:sz w:val="18"/>
              </w:rPr>
              <w:t>）</w:t>
            </w:r>
            <w:r>
              <w:rPr>
                <w:rFonts w:ascii="宋体" w:eastAsia="宋体" w:hint="eastAsia"/>
                <w:spacing w:val="-5"/>
                <w:sz w:val="18"/>
              </w:rPr>
              <w:t>、</w:t>
            </w:r>
            <w:r>
              <w:rPr>
                <w:spacing w:val="-1"/>
                <w:sz w:val="18"/>
              </w:rPr>
              <w:t>R</w:t>
            </w:r>
            <w:r>
              <w:rPr>
                <w:spacing w:val="-3"/>
                <w:sz w:val="18"/>
              </w:rPr>
              <w:t>OX</w:t>
            </w:r>
            <w:r>
              <w:rPr>
                <w:rFonts w:ascii="宋体" w:eastAsia="宋体" w:hint="eastAsia"/>
                <w:spacing w:val="-3"/>
                <w:sz w:val="18"/>
              </w:rPr>
              <w:t>溶液</w:t>
            </w:r>
          </w:p>
          <w:p>
            <w:pPr>
              <w:pStyle w:val="TableParagraph"/>
              <w:spacing w:before="1"/>
              <w:ind w:left="108"/>
              <w:jc w:val="left"/>
              <w:rPr>
                <w:rFonts w:ascii="宋体" w:eastAsia="宋体" w:hint="eastAsia"/>
                <w:sz w:val="18"/>
              </w:rPr>
            </w:pPr>
            <w:r>
              <w:rPr>
                <w:rFonts w:ascii="宋体" w:eastAsia="宋体" w:hint="eastAsia"/>
                <w:spacing w:val="-5"/>
                <w:sz w:val="18"/>
              </w:rPr>
              <w:t>（</w:t>
            </w:r>
            <w:r>
              <w:rPr>
                <w:spacing w:val="-2"/>
                <w:sz w:val="18"/>
              </w:rPr>
              <w:t>0.08</w:t>
            </w:r>
            <w:r>
              <w:rPr>
                <w:spacing w:val="-6"/>
                <w:sz w:val="18"/>
              </w:rPr>
              <w:t>%</w:t>
            </w:r>
            <w:r>
              <w:rPr>
                <w:rFonts w:ascii="宋体" w:eastAsia="宋体" w:hint="eastAsia"/>
                <w:spacing w:val="-92"/>
                <w:sz w:val="18"/>
              </w:rPr>
              <w:t>）</w:t>
            </w:r>
            <w:r>
              <w:rPr>
                <w:rFonts w:ascii="宋体" w:eastAsia="宋体" w:hint="eastAsia"/>
                <w:spacing w:val="-4"/>
                <w:sz w:val="18"/>
              </w:rPr>
              <w:t>、酶</w:t>
            </w:r>
            <w:r>
              <w:rPr>
                <w:rFonts w:ascii="宋体" w:eastAsia="宋体" w:hint="eastAsia"/>
                <w:spacing w:val="-5"/>
                <w:sz w:val="18"/>
              </w:rPr>
              <w:t>（</w:t>
            </w:r>
            <w:r>
              <w:rPr>
                <w:spacing w:val="-2"/>
                <w:sz w:val="18"/>
              </w:rPr>
              <w:t>2.04</w:t>
            </w:r>
            <w:r>
              <w:rPr>
                <w:spacing w:val="-6"/>
                <w:sz w:val="18"/>
              </w:rPr>
              <w:t>%</w:t>
            </w:r>
            <w:r>
              <w:rPr>
                <w:rFonts w:ascii="宋体" w:eastAsia="宋体" w:hint="eastAsia"/>
                <w:sz w:val="18"/>
              </w:rPr>
              <w:t>）</w:t>
            </w:r>
          </w:p>
        </w:tc>
      </w:tr>
      <w:tr>
        <w:trPr>
          <w:trHeight w:val="311"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43"/>
              <w:ind w:left="12"/>
              <w:rPr>
                <w:sz w:val="18"/>
              </w:rPr>
            </w:pPr>
            <w:r>
              <w:rPr>
                <w:sz w:val="18"/>
              </w:rPr>
              <w:t>4</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31"/>
              <w:ind w:left="85" w:right="73"/>
              <w:rPr>
                <w:rFonts w:ascii="宋体" w:eastAsia="宋体" w:hint="eastAsia"/>
                <w:sz w:val="18"/>
              </w:rPr>
            </w:pPr>
            <w:r>
              <w:rPr>
                <w:sz w:val="18"/>
              </w:rPr>
              <w:t>RT-PCR</w:t>
            </w:r>
            <w:r>
              <w:rPr>
                <w:rFonts w:ascii="宋体" w:eastAsia="宋体" w:hint="eastAsia"/>
                <w:sz w:val="18"/>
              </w:rPr>
              <w:t>增强剂</w:t>
            </w:r>
          </w:p>
        </w:tc>
        <w:tc>
          <w:tcPr>
            <w:tcW w:w="1418" w:type="dxa"/>
            <w:tcBorders>
              <w:top w:val="single" w:sz="6" w:space="0" w:color="000000"/>
              <w:left w:val="single" w:sz="6" w:space="0" w:color="000000"/>
              <w:bottom w:val="single" w:sz="6" w:space="0" w:color="000000"/>
            </w:tcBorders>
          </w:tcPr>
          <w:p>
            <w:pPr>
              <w:pStyle w:val="TableParagraph"/>
              <w:spacing w:before="31"/>
              <w:ind w:right="239"/>
              <w:jc w:val="right"/>
              <w:rPr>
                <w:rFonts w:ascii="宋体" w:hAnsi="宋体" w:eastAsia="宋体" w:hint="eastAsia"/>
                <w:sz w:val="18"/>
              </w:rPr>
            </w:pPr>
            <w:r>
              <w:rPr>
                <w:sz w:val="18"/>
              </w:rPr>
              <w:t>50μl/</w:t>
            </w:r>
            <w:r>
              <w:rPr>
                <w:rFonts w:ascii="宋体" w:hAnsi="宋体" w:eastAsia="宋体" w:hint="eastAsia"/>
                <w:sz w:val="18"/>
              </w:rPr>
              <w:t>管</w:t>
            </w:r>
            <w:r>
              <w:rPr>
                <w:sz w:val="18"/>
              </w:rPr>
              <w:t>×1</w:t>
            </w:r>
            <w:r>
              <w:rPr>
                <w:rFonts w:ascii="宋体" w:hAnsi="宋体" w:eastAsia="宋体" w:hint="eastAsia"/>
                <w:sz w:val="18"/>
              </w:rPr>
              <w:t>管</w:t>
            </w:r>
          </w:p>
        </w:tc>
        <w:tc>
          <w:tcPr>
            <w:tcW w:w="4377" w:type="dxa"/>
            <w:tcBorders>
              <w:top w:val="single" w:sz="6" w:space="0" w:color="000000"/>
              <w:bottom w:val="single" w:sz="6" w:space="0" w:color="000000"/>
            </w:tcBorders>
          </w:tcPr>
          <w:p>
            <w:pPr>
              <w:pStyle w:val="TableParagraph"/>
              <w:spacing w:before="43"/>
              <w:ind w:left="50" w:right="36"/>
              <w:rPr>
                <w:sz w:val="18"/>
              </w:rPr>
            </w:pPr>
            <w:r>
              <w:rPr>
                <w:sz w:val="18"/>
              </w:rPr>
              <w:t>Mn</w:t>
            </w:r>
            <w:r>
              <w:rPr>
                <w:position w:val="6"/>
                <w:sz w:val="11"/>
              </w:rPr>
              <w:t>2+</w:t>
            </w:r>
            <w:r>
              <w:rPr>
                <w:sz w:val="18"/>
              </w:rPr>
              <w:t>(150 mmol/L)</w:t>
            </w:r>
          </w:p>
        </w:tc>
      </w:tr>
      <w:tr>
        <w:trPr>
          <w:trHeight w:val="400"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86"/>
              <w:ind w:left="12"/>
              <w:rPr>
                <w:sz w:val="18"/>
              </w:rPr>
            </w:pPr>
            <w:r>
              <w:rPr>
                <w:sz w:val="18"/>
              </w:rPr>
              <w:t>5</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76"/>
              <w:ind w:left="88" w:right="73"/>
              <w:rPr>
                <w:rFonts w:ascii="宋体" w:eastAsia="宋体" w:hint="eastAsia"/>
                <w:sz w:val="18"/>
              </w:rPr>
            </w:pPr>
            <w:r>
              <w:rPr>
                <w:rFonts w:ascii="宋体" w:eastAsia="宋体" w:hint="eastAsia"/>
                <w:sz w:val="18"/>
              </w:rPr>
              <w:t>甲型流感病毒阳性对照</w:t>
            </w:r>
          </w:p>
        </w:tc>
        <w:tc>
          <w:tcPr>
            <w:tcW w:w="1418" w:type="dxa"/>
            <w:tcBorders>
              <w:top w:val="single" w:sz="6" w:space="0" w:color="000000"/>
              <w:left w:val="single" w:sz="6" w:space="0" w:color="000000"/>
              <w:bottom w:val="single" w:sz="6" w:space="0" w:color="000000"/>
            </w:tcBorders>
          </w:tcPr>
          <w:p>
            <w:pPr>
              <w:pStyle w:val="TableParagraph"/>
              <w:spacing w:before="76"/>
              <w:ind w:right="196"/>
              <w:jc w:val="right"/>
              <w:rPr>
                <w:rFonts w:ascii="宋体" w:hAnsi="宋体" w:eastAsia="宋体" w:hint="eastAsia"/>
                <w:sz w:val="18"/>
              </w:rPr>
            </w:pPr>
            <w:r>
              <w:rPr>
                <w:sz w:val="18"/>
              </w:rPr>
              <w:t>0.5ml/</w:t>
            </w:r>
            <w:r>
              <w:rPr>
                <w:rFonts w:ascii="宋体" w:hAnsi="宋体" w:eastAsia="宋体" w:hint="eastAsia"/>
                <w:sz w:val="18"/>
              </w:rPr>
              <w:t>管</w:t>
            </w:r>
            <w:r>
              <w:rPr>
                <w:sz w:val="18"/>
              </w:rPr>
              <w:t>×1</w:t>
            </w:r>
            <w:r>
              <w:rPr>
                <w:rFonts w:ascii="宋体" w:hAnsi="宋体" w:eastAsia="宋体" w:hint="eastAsia"/>
                <w:sz w:val="18"/>
              </w:rPr>
              <w:t>管</w:t>
            </w:r>
          </w:p>
        </w:tc>
        <w:tc>
          <w:tcPr>
            <w:tcW w:w="4377" w:type="dxa"/>
            <w:tcBorders>
              <w:top w:val="single" w:sz="6" w:space="0" w:color="000000"/>
              <w:bottom w:val="single" w:sz="6" w:space="0" w:color="000000"/>
            </w:tcBorders>
          </w:tcPr>
          <w:p>
            <w:pPr>
              <w:pStyle w:val="TableParagraph"/>
              <w:spacing w:line="187" w:lineRule="exact"/>
              <w:ind w:left="50" w:right="36"/>
              <w:rPr>
                <w:rFonts w:ascii="宋体" w:eastAsia="宋体" w:hint="eastAsia"/>
                <w:sz w:val="18"/>
              </w:rPr>
            </w:pPr>
            <w:r>
              <w:rPr>
                <w:sz w:val="18"/>
              </w:rPr>
              <w:t>Hanks</w:t>
            </w:r>
            <w:r>
              <w:rPr>
                <w:rFonts w:ascii="宋体" w:eastAsia="宋体" w:hint="eastAsia"/>
                <w:sz w:val="18"/>
              </w:rPr>
              <w:t>病毒保存液稀释的含甲型流感病毒基因序列的慢</w:t>
            </w:r>
          </w:p>
          <w:p>
            <w:pPr>
              <w:pStyle w:val="TableParagraph"/>
              <w:spacing w:line="193" w:lineRule="exact"/>
              <w:ind w:left="50" w:right="34"/>
              <w:rPr>
                <w:sz w:val="18"/>
              </w:rPr>
            </w:pPr>
            <w:r>
              <w:rPr>
                <w:rFonts w:ascii="宋体" w:hAnsi="宋体" w:eastAsia="宋体" w:hint="eastAsia"/>
                <w:sz w:val="18"/>
              </w:rPr>
              <w:t>病毒</w:t>
            </w:r>
            <w:r>
              <w:rPr>
                <w:sz w:val="18"/>
              </w:rPr>
              <w:t>(5.0×10</w:t>
            </w:r>
            <w:r>
              <w:rPr>
                <w:position w:val="6"/>
                <w:sz w:val="11"/>
              </w:rPr>
              <w:t>4 </w:t>
            </w:r>
            <w:r>
              <w:rPr>
                <w:sz w:val="18"/>
              </w:rPr>
              <w:t>TU/ml)</w:t>
            </w:r>
          </w:p>
        </w:tc>
      </w:tr>
      <w:tr>
        <w:trPr>
          <w:trHeight w:val="312" w:hRule="atLeast"/>
        </w:trPr>
        <w:tc>
          <w:tcPr>
            <w:tcW w:w="949" w:type="dxa"/>
            <w:vMerge/>
            <w:tcBorders>
              <w:top w:val="nil"/>
              <w:bottom w:val="single" w:sz="6" w:space="0" w:color="000000"/>
              <w:right w:val="single" w:sz="6" w:space="0" w:color="000000"/>
            </w:tcBorders>
          </w:tcPr>
          <w:p>
            <w:pPr>
              <w:rPr>
                <w:sz w:val="2"/>
                <w:szCs w:val="2"/>
              </w:rPr>
            </w:pPr>
          </w:p>
        </w:tc>
        <w:tc>
          <w:tcPr>
            <w:tcW w:w="709" w:type="dxa"/>
            <w:tcBorders>
              <w:top w:val="single" w:sz="6" w:space="0" w:color="000000"/>
              <w:left w:val="single" w:sz="6" w:space="0" w:color="000000"/>
              <w:bottom w:val="single" w:sz="6" w:space="0" w:color="000000"/>
              <w:right w:val="single" w:sz="6" w:space="0" w:color="000000"/>
            </w:tcBorders>
          </w:tcPr>
          <w:p>
            <w:pPr>
              <w:pStyle w:val="TableParagraph"/>
              <w:spacing w:before="43"/>
              <w:ind w:right="38"/>
              <w:rPr>
                <w:sz w:val="18"/>
              </w:rPr>
            </w:pPr>
            <w:r>
              <w:rPr>
                <w:sz w:val="18"/>
              </w:rPr>
              <w:t>6</w:t>
            </w:r>
          </w:p>
        </w:tc>
        <w:tc>
          <w:tcPr>
            <w:tcW w:w="2268" w:type="dxa"/>
            <w:tcBorders>
              <w:top w:val="single" w:sz="6" w:space="0" w:color="000000"/>
              <w:left w:val="single" w:sz="6" w:space="0" w:color="000000"/>
              <w:bottom w:val="single" w:sz="6" w:space="0" w:color="000000"/>
              <w:right w:val="single" w:sz="6" w:space="0" w:color="000000"/>
            </w:tcBorders>
          </w:tcPr>
          <w:p>
            <w:pPr>
              <w:pStyle w:val="TableParagraph"/>
              <w:spacing w:before="31"/>
              <w:ind w:left="88" w:right="73"/>
              <w:rPr>
                <w:rFonts w:ascii="宋体" w:eastAsia="宋体" w:hint="eastAsia"/>
                <w:sz w:val="18"/>
              </w:rPr>
            </w:pPr>
            <w:r>
              <w:rPr>
                <w:rFonts w:ascii="宋体" w:eastAsia="宋体" w:hint="eastAsia"/>
                <w:sz w:val="18"/>
              </w:rPr>
              <w:t>甲型流感病毒阴性对照</w:t>
            </w:r>
          </w:p>
        </w:tc>
        <w:tc>
          <w:tcPr>
            <w:tcW w:w="1418" w:type="dxa"/>
            <w:tcBorders>
              <w:top w:val="single" w:sz="6" w:space="0" w:color="000000"/>
              <w:left w:val="single" w:sz="6" w:space="0" w:color="000000"/>
              <w:bottom w:val="single" w:sz="6" w:space="0" w:color="000000"/>
            </w:tcBorders>
          </w:tcPr>
          <w:p>
            <w:pPr>
              <w:pStyle w:val="TableParagraph"/>
              <w:spacing w:before="31"/>
              <w:ind w:right="196"/>
              <w:jc w:val="right"/>
              <w:rPr>
                <w:rFonts w:ascii="宋体" w:hAnsi="宋体" w:eastAsia="宋体" w:hint="eastAsia"/>
                <w:sz w:val="18"/>
              </w:rPr>
            </w:pPr>
            <w:r>
              <w:rPr>
                <w:sz w:val="18"/>
              </w:rPr>
              <w:t>0.5ml/</w:t>
            </w:r>
            <w:r>
              <w:rPr>
                <w:rFonts w:ascii="宋体" w:hAnsi="宋体" w:eastAsia="宋体" w:hint="eastAsia"/>
                <w:sz w:val="18"/>
              </w:rPr>
              <w:t>管</w:t>
            </w:r>
            <w:r>
              <w:rPr>
                <w:sz w:val="18"/>
              </w:rPr>
              <w:t>×1</w:t>
            </w:r>
            <w:r>
              <w:rPr>
                <w:rFonts w:ascii="宋体" w:hAnsi="宋体" w:eastAsia="宋体" w:hint="eastAsia"/>
                <w:sz w:val="18"/>
              </w:rPr>
              <w:t>管</w:t>
            </w:r>
          </w:p>
        </w:tc>
        <w:tc>
          <w:tcPr>
            <w:tcW w:w="4377" w:type="dxa"/>
            <w:tcBorders>
              <w:top w:val="single" w:sz="6" w:space="0" w:color="000000"/>
              <w:bottom w:val="single" w:sz="6" w:space="0" w:color="000000"/>
            </w:tcBorders>
          </w:tcPr>
          <w:p>
            <w:pPr>
              <w:pStyle w:val="TableParagraph"/>
              <w:spacing w:before="31"/>
              <w:ind w:left="47" w:right="36"/>
              <w:rPr>
                <w:rFonts w:ascii="宋体" w:eastAsia="宋体" w:hint="eastAsia"/>
                <w:sz w:val="18"/>
              </w:rPr>
            </w:pPr>
            <w:r>
              <w:rPr>
                <w:rFonts w:ascii="宋体" w:eastAsia="宋体" w:hint="eastAsia"/>
                <w:sz w:val="18"/>
              </w:rPr>
              <w:t>经甲型流感病毒检测为阴性的</w:t>
            </w:r>
            <w:r>
              <w:rPr>
                <w:sz w:val="18"/>
              </w:rPr>
              <w:t>Hanks</w:t>
            </w:r>
            <w:r>
              <w:rPr>
                <w:rFonts w:ascii="宋体" w:eastAsia="宋体" w:hint="eastAsia"/>
                <w:sz w:val="18"/>
              </w:rPr>
              <w:t>病毒保存液</w:t>
            </w:r>
          </w:p>
        </w:tc>
      </w:tr>
    </w:tbl>
    <w:p>
      <w:pPr>
        <w:pStyle w:val="Heading1"/>
        <w:spacing w:line="186" w:lineRule="exact"/>
      </w:pPr>
      <w:r>
        <w:rPr/>
        <w:t>备注：</w:t>
      </w:r>
    </w:p>
    <w:p>
      <w:pPr>
        <w:pStyle w:val="ListParagraph"/>
        <w:numPr>
          <w:ilvl w:val="0"/>
          <w:numId w:val="1"/>
        </w:numPr>
        <w:tabs>
          <w:tab w:pos="735" w:val="left" w:leader="none"/>
        </w:tabs>
        <w:spacing w:line="200" w:lineRule="exact" w:before="0" w:after="0"/>
        <w:ind w:left="734" w:right="0" w:hanging="271"/>
        <w:jc w:val="left"/>
        <w:rPr>
          <w:sz w:val="18"/>
        </w:rPr>
      </w:pPr>
      <w:r>
        <w:rPr>
          <w:spacing w:val="-5"/>
          <w:sz w:val="18"/>
        </w:rPr>
        <w:t>不同批号产品的成分之间不可以混用或互换。</w:t>
      </w:r>
    </w:p>
    <w:p>
      <w:pPr>
        <w:pStyle w:val="ListParagraph"/>
        <w:numPr>
          <w:ilvl w:val="0"/>
          <w:numId w:val="1"/>
        </w:numPr>
        <w:tabs>
          <w:tab w:pos="728" w:val="left" w:leader="none"/>
        </w:tabs>
        <w:spacing w:line="199" w:lineRule="exact" w:before="0" w:after="0"/>
        <w:ind w:left="727" w:right="0" w:hanging="268"/>
        <w:jc w:val="left"/>
        <w:rPr>
          <w:sz w:val="18"/>
        </w:rPr>
      </w:pPr>
      <w:r>
        <w:rPr>
          <w:spacing w:val="-5"/>
          <w:sz w:val="18"/>
        </w:rPr>
        <w:t>试剂盒内的生物样本均已经灭活处理。</w:t>
      </w:r>
    </w:p>
    <w:p>
      <w:pPr>
        <w:pStyle w:val="ListParagraph"/>
        <w:numPr>
          <w:ilvl w:val="0"/>
          <w:numId w:val="1"/>
        </w:numPr>
        <w:tabs>
          <w:tab w:pos="721" w:val="left" w:leader="none"/>
        </w:tabs>
        <w:spacing w:line="200" w:lineRule="exact" w:before="0" w:after="0"/>
        <w:ind w:left="720" w:right="0" w:hanging="269"/>
        <w:jc w:val="left"/>
        <w:rPr>
          <w:sz w:val="18"/>
        </w:rPr>
      </w:pPr>
      <w:r>
        <w:rPr>
          <w:spacing w:val="-2"/>
          <w:sz w:val="18"/>
        </w:rPr>
        <w:t>自备试验器材：无</w:t>
      </w:r>
      <w:r>
        <w:rPr>
          <w:rFonts w:ascii="Times New Roman" w:hAnsi="Times New Roman" w:eastAsia="Times New Roman"/>
          <w:sz w:val="18"/>
        </w:rPr>
        <w:t>DNA</w:t>
      </w:r>
      <w:r>
        <w:rPr>
          <w:rFonts w:ascii="Times New Roman" w:hAnsi="Times New Roman" w:eastAsia="Times New Roman"/>
          <w:spacing w:val="-7"/>
          <w:sz w:val="18"/>
        </w:rPr>
        <w:t> </w:t>
      </w:r>
      <w:r>
        <w:rPr>
          <w:spacing w:val="-12"/>
          <w:sz w:val="18"/>
        </w:rPr>
        <w:t>酶、</w:t>
      </w:r>
      <w:r>
        <w:rPr>
          <w:rFonts w:ascii="Times New Roman" w:hAnsi="Times New Roman" w:eastAsia="Times New Roman"/>
          <w:sz w:val="18"/>
        </w:rPr>
        <w:t>RNA</w:t>
      </w:r>
      <w:r>
        <w:rPr>
          <w:rFonts w:ascii="Times New Roman" w:hAnsi="Times New Roman" w:eastAsia="Times New Roman"/>
          <w:spacing w:val="-7"/>
          <w:sz w:val="18"/>
        </w:rPr>
        <w:t> </w:t>
      </w:r>
      <w:r>
        <w:rPr>
          <w:spacing w:val="-20"/>
          <w:sz w:val="18"/>
        </w:rPr>
        <w:t>酶的 </w:t>
      </w:r>
      <w:r>
        <w:rPr>
          <w:rFonts w:ascii="Times New Roman" w:hAnsi="Times New Roman" w:eastAsia="Times New Roman"/>
          <w:sz w:val="18"/>
        </w:rPr>
        <w:t>1.5</w:t>
      </w:r>
      <w:r>
        <w:rPr>
          <w:rFonts w:ascii="Times New Roman" w:hAnsi="Times New Roman" w:eastAsia="Times New Roman"/>
          <w:spacing w:val="-8"/>
          <w:sz w:val="18"/>
        </w:rPr>
        <w:t> </w:t>
      </w:r>
      <w:r>
        <w:rPr>
          <w:rFonts w:ascii="Times New Roman" w:hAnsi="Times New Roman" w:eastAsia="Times New Roman"/>
          <w:sz w:val="18"/>
        </w:rPr>
        <w:t>ml</w:t>
      </w:r>
      <w:r>
        <w:rPr>
          <w:rFonts w:ascii="Times New Roman" w:hAnsi="Times New Roman" w:eastAsia="Times New Roman"/>
          <w:spacing w:val="-2"/>
          <w:sz w:val="18"/>
        </w:rPr>
        <w:t> </w:t>
      </w:r>
      <w:r>
        <w:rPr>
          <w:spacing w:val="-9"/>
          <w:sz w:val="18"/>
        </w:rPr>
        <w:t>离心管、</w:t>
      </w:r>
      <w:r>
        <w:rPr>
          <w:rFonts w:ascii="Times New Roman" w:hAnsi="Times New Roman" w:eastAsia="Times New Roman"/>
          <w:sz w:val="18"/>
        </w:rPr>
        <w:t>0.2</w:t>
      </w:r>
      <w:r>
        <w:rPr>
          <w:rFonts w:ascii="Times New Roman" w:hAnsi="Times New Roman" w:eastAsia="Times New Roman"/>
          <w:spacing w:val="-8"/>
          <w:sz w:val="18"/>
        </w:rPr>
        <w:t> </w:t>
      </w:r>
      <w:r>
        <w:rPr>
          <w:rFonts w:ascii="Times New Roman" w:hAnsi="Times New Roman" w:eastAsia="Times New Roman"/>
          <w:sz w:val="18"/>
        </w:rPr>
        <w:t>ml</w:t>
      </w:r>
      <w:r>
        <w:rPr>
          <w:rFonts w:ascii="Times New Roman" w:hAnsi="Times New Roman" w:eastAsia="Times New Roman"/>
          <w:spacing w:val="-4"/>
          <w:sz w:val="18"/>
        </w:rPr>
        <w:t> </w:t>
      </w:r>
      <w:r>
        <w:rPr>
          <w:rFonts w:ascii="Times New Roman" w:hAnsi="Times New Roman" w:eastAsia="Times New Roman"/>
          <w:sz w:val="18"/>
        </w:rPr>
        <w:t>PCR</w:t>
      </w:r>
      <w:r>
        <w:rPr>
          <w:rFonts w:ascii="Times New Roman" w:hAnsi="Times New Roman" w:eastAsia="Times New Roman"/>
          <w:spacing w:val="-7"/>
          <w:sz w:val="18"/>
        </w:rPr>
        <w:t> </w:t>
      </w:r>
      <w:r>
        <w:rPr>
          <w:spacing w:val="-11"/>
          <w:sz w:val="18"/>
        </w:rPr>
        <w:t>反应管、吸嘴</w:t>
      </w:r>
      <w:r>
        <w:rPr>
          <w:spacing w:val="-5"/>
          <w:sz w:val="18"/>
        </w:rPr>
        <w:t>（</w:t>
      </w:r>
      <w:r>
        <w:rPr>
          <w:spacing w:val="-7"/>
          <w:sz w:val="18"/>
        </w:rPr>
        <w:t>建议使用带滤芯吸嘴，规格：</w:t>
      </w:r>
      <w:r>
        <w:rPr>
          <w:rFonts w:ascii="Times New Roman" w:hAnsi="Times New Roman" w:eastAsia="Times New Roman"/>
          <w:spacing w:val="-6"/>
          <w:sz w:val="18"/>
        </w:rPr>
        <w:t>10μl</w:t>
      </w:r>
      <w:r>
        <w:rPr>
          <w:spacing w:val="-20"/>
          <w:sz w:val="18"/>
        </w:rPr>
        <w:t>、</w:t>
      </w:r>
      <w:r>
        <w:rPr>
          <w:rFonts w:ascii="Times New Roman" w:hAnsi="Times New Roman" w:eastAsia="Times New Roman"/>
          <w:spacing w:val="-3"/>
          <w:sz w:val="18"/>
        </w:rPr>
        <w:t>200μl</w:t>
      </w:r>
      <w:r>
        <w:rPr>
          <w:sz w:val="18"/>
        </w:rPr>
        <w:t>、</w:t>
      </w:r>
    </w:p>
    <w:p>
      <w:pPr>
        <w:pStyle w:val="BodyText"/>
        <w:ind w:left="107"/>
      </w:pPr>
      <w:r>
        <w:rPr>
          <w:rFonts w:ascii="Times New Roman" w:hAnsi="Times New Roman" w:eastAsia="Times New Roman"/>
          <w:spacing w:val="-2"/>
        </w:rPr>
        <w:t>100</w:t>
      </w:r>
      <w:r>
        <w:rPr>
          <w:rFonts w:ascii="Times New Roman" w:hAnsi="Times New Roman" w:eastAsia="Times New Roman"/>
          <w:spacing w:val="-4"/>
        </w:rPr>
        <w:t>0</w:t>
      </w:r>
      <w:r>
        <w:rPr>
          <w:rFonts w:ascii="Times New Roman" w:hAnsi="Times New Roman" w:eastAsia="Times New Roman"/>
          <w:spacing w:val="-3"/>
        </w:rPr>
        <w:t>μ</w:t>
      </w:r>
      <w:r>
        <w:rPr>
          <w:rFonts w:ascii="Times New Roman" w:hAnsi="Times New Roman" w:eastAsia="Times New Roman"/>
          <w:spacing w:val="-2"/>
        </w:rPr>
        <w:t>l</w:t>
      </w:r>
      <w:r>
        <w:rPr>
          <w:spacing w:val="-94"/>
        </w:rPr>
        <w:t>）</w:t>
      </w:r>
      <w:r>
        <w:rPr>
          <w:spacing w:val="-14"/>
        </w:rPr>
        <w:t>；离心机；震荡混合器；</w:t>
      </w:r>
      <w:r>
        <w:rPr>
          <w:spacing w:val="-5"/>
        </w:rPr>
        <w:t>（</w:t>
      </w:r>
      <w:r>
        <w:rPr>
          <w:spacing w:val="-4"/>
        </w:rPr>
        <w:t>磁珠</w:t>
      </w:r>
      <w:r>
        <w:rPr>
          <w:spacing w:val="-5"/>
        </w:rPr>
        <w:t>）分离器；各种规格的加样枪。</w:t>
      </w:r>
    </w:p>
    <w:p>
      <w:pPr>
        <w:pStyle w:val="Heading1"/>
        <w:spacing w:line="199" w:lineRule="exact"/>
      </w:pPr>
      <w:r>
        <w:rPr/>
        <w:t>【储存条件及有效期】</w:t>
      </w:r>
    </w:p>
    <w:p>
      <w:pPr>
        <w:pStyle w:val="BodyText"/>
        <w:spacing w:line="208" w:lineRule="auto" w:before="7"/>
        <w:ind w:left="107" w:right="200" w:firstLine="352"/>
      </w:pPr>
      <w:r>
        <w:rPr>
          <w:spacing w:val="-5"/>
        </w:rPr>
        <w:t>试剂应避光密闭保存，其中大盒（磁珠法核酸提取试剂）</w:t>
      </w:r>
      <w:r>
        <w:rPr>
          <w:spacing w:val="-20"/>
        </w:rPr>
        <w:t>置于 </w:t>
      </w:r>
      <w:r>
        <w:rPr>
          <w:rFonts w:ascii="Times New Roman" w:hAnsi="Times New Roman" w:eastAsia="Times New Roman"/>
        </w:rPr>
        <w:t>2~8</w:t>
      </w:r>
      <w:r>
        <w:rPr>
          <w:spacing w:val="-5"/>
        </w:rPr>
        <w:t>℃下保存；小盒</w:t>
      </w:r>
      <w:r>
        <w:rPr>
          <w:spacing w:val="-3"/>
        </w:rPr>
        <w:t>（</w:t>
      </w:r>
      <w:r>
        <w:rPr>
          <w:spacing w:val="-5"/>
        </w:rPr>
        <w:t>扩增反应试剂</w:t>
      </w:r>
      <w:r>
        <w:rPr>
          <w:spacing w:val="-3"/>
        </w:rPr>
        <w:t>）</w:t>
      </w:r>
      <w:r>
        <w:rPr>
          <w:spacing w:val="-4"/>
        </w:rPr>
        <w:t>置于</w:t>
      </w:r>
      <w:r>
        <w:rPr>
          <w:rFonts w:ascii="Times New Roman" w:hAnsi="Times New Roman" w:eastAsia="Times New Roman"/>
          <w:spacing w:val="-3"/>
        </w:rPr>
        <w:t>-20±5</w:t>
      </w:r>
      <w:r>
        <w:rPr>
          <w:spacing w:val="-5"/>
        </w:rPr>
        <w:t>℃保存。试剂盒</w:t>
      </w:r>
      <w:r>
        <w:rPr>
          <w:spacing w:val="-14"/>
        </w:rPr>
        <w:t>有效期为 </w:t>
      </w:r>
      <w:r>
        <w:rPr>
          <w:rFonts w:ascii="Times New Roman" w:hAnsi="Times New Roman" w:eastAsia="Times New Roman"/>
        </w:rPr>
        <w:t>12 </w:t>
      </w:r>
      <w:r>
        <w:rPr>
          <w:spacing w:val="-3"/>
        </w:rPr>
        <w:t>个月。</w:t>
      </w:r>
    </w:p>
    <w:p>
      <w:pPr>
        <w:pStyle w:val="ListParagraph"/>
        <w:numPr>
          <w:ilvl w:val="0"/>
          <w:numId w:val="2"/>
        </w:numPr>
        <w:tabs>
          <w:tab w:pos="595" w:val="left" w:leader="none"/>
        </w:tabs>
        <w:spacing w:line="191" w:lineRule="exact" w:before="0" w:after="0"/>
        <w:ind w:left="594" w:right="0" w:hanging="135"/>
        <w:jc w:val="left"/>
        <w:rPr>
          <w:sz w:val="18"/>
        </w:rPr>
      </w:pPr>
      <w:r>
        <w:rPr>
          <w:spacing w:val="-5"/>
          <w:sz w:val="18"/>
        </w:rPr>
        <w:t>请勿冻存核酸提取试剂。</w:t>
      </w:r>
    </w:p>
    <w:p>
      <w:pPr>
        <w:pStyle w:val="ListParagraph"/>
        <w:numPr>
          <w:ilvl w:val="0"/>
          <w:numId w:val="2"/>
        </w:numPr>
        <w:tabs>
          <w:tab w:pos="595" w:val="left" w:leader="none"/>
        </w:tabs>
        <w:spacing w:line="200" w:lineRule="exact" w:before="0" w:after="0"/>
        <w:ind w:left="594" w:right="0" w:hanging="135"/>
        <w:jc w:val="left"/>
        <w:rPr>
          <w:sz w:val="18"/>
        </w:rPr>
      </w:pPr>
      <w:r>
        <w:rPr>
          <w:spacing w:val="-7"/>
          <w:sz w:val="18"/>
        </w:rPr>
        <w:t>不使用时，这些试剂在包装标识的效期内可稳定存放。一旦使用，扩增试剂盒反复冻融应不超过 </w:t>
      </w:r>
      <w:r>
        <w:rPr>
          <w:rFonts w:ascii="Times New Roman" w:eastAsia="Times New Roman"/>
          <w:sz w:val="18"/>
        </w:rPr>
        <w:t>5</w:t>
      </w:r>
      <w:r>
        <w:rPr>
          <w:rFonts w:ascii="Times New Roman" w:eastAsia="Times New Roman"/>
          <w:spacing w:val="-3"/>
          <w:sz w:val="18"/>
        </w:rPr>
        <w:t> </w:t>
      </w:r>
      <w:r>
        <w:rPr>
          <w:spacing w:val="-3"/>
          <w:sz w:val="18"/>
        </w:rPr>
        <w:t>次。</w:t>
      </w:r>
    </w:p>
    <w:p>
      <w:pPr>
        <w:pStyle w:val="ListParagraph"/>
        <w:numPr>
          <w:ilvl w:val="0"/>
          <w:numId w:val="2"/>
        </w:numPr>
        <w:tabs>
          <w:tab w:pos="595" w:val="left" w:leader="none"/>
        </w:tabs>
        <w:spacing w:line="200" w:lineRule="exact" w:before="0" w:after="0"/>
        <w:ind w:left="594" w:right="0" w:hanging="135"/>
        <w:jc w:val="left"/>
        <w:rPr>
          <w:sz w:val="18"/>
        </w:rPr>
      </w:pPr>
      <w:r>
        <w:rPr>
          <w:spacing w:val="-19"/>
          <w:sz w:val="18"/>
        </w:rPr>
        <w:t>运输 </w:t>
      </w:r>
      <w:r>
        <w:rPr>
          <w:rFonts w:ascii="Times New Roman" w:eastAsia="Times New Roman"/>
          <w:sz w:val="18"/>
        </w:rPr>
        <w:t>5</w:t>
      </w:r>
      <w:r>
        <w:rPr>
          <w:rFonts w:ascii="Times New Roman" w:eastAsia="Times New Roman"/>
          <w:spacing w:val="-3"/>
          <w:sz w:val="18"/>
        </w:rPr>
        <w:t> </w:t>
      </w:r>
      <w:r>
        <w:rPr>
          <w:spacing w:val="-4"/>
          <w:sz w:val="18"/>
        </w:rPr>
        <w:t>天内有效。</w:t>
      </w:r>
    </w:p>
    <w:p>
      <w:pPr>
        <w:pStyle w:val="Heading1"/>
        <w:spacing w:line="199" w:lineRule="exact"/>
      </w:pPr>
      <w:r>
        <w:rPr/>
        <w:t>【适用仪器】</w:t>
      </w:r>
    </w:p>
    <w:p>
      <w:pPr>
        <w:pStyle w:val="BodyText"/>
        <w:ind w:left="546"/>
        <w:jc w:val="both"/>
      </w:pPr>
      <w:r>
        <w:rPr/>
        <w:t>适用于</w:t>
      </w:r>
      <w:r>
        <w:rPr>
          <w:rFonts w:ascii="Times New Roman" w:eastAsia="Times New Roman"/>
        </w:rPr>
        <w:t>ABI7500</w:t>
      </w:r>
      <w:r>
        <w:rPr/>
        <w:t>、</w:t>
      </w:r>
      <w:r>
        <w:rPr>
          <w:rFonts w:ascii="Times New Roman" w:eastAsia="Times New Roman"/>
        </w:rPr>
        <w:t>Stratagene Mx3000P </w:t>
      </w:r>
      <w:r>
        <w:rPr/>
        <w:t>荧光</w:t>
      </w:r>
      <w:r>
        <w:rPr>
          <w:rFonts w:ascii="Times New Roman" w:eastAsia="Times New Roman"/>
        </w:rPr>
        <w:t>PCR </w:t>
      </w:r>
      <w:r>
        <w:rPr/>
        <w:t>仪。</w:t>
      </w:r>
    </w:p>
    <w:p>
      <w:pPr>
        <w:pStyle w:val="Heading1"/>
      </w:pPr>
      <w:r>
        <w:rPr/>
        <w:t>【样本要求】</w:t>
      </w:r>
    </w:p>
    <w:p>
      <w:pPr>
        <w:pStyle w:val="ListParagraph"/>
        <w:numPr>
          <w:ilvl w:val="0"/>
          <w:numId w:val="3"/>
        </w:numPr>
        <w:tabs>
          <w:tab w:pos="412" w:val="left" w:leader="none"/>
        </w:tabs>
        <w:spacing w:line="199" w:lineRule="exact" w:before="0" w:after="0"/>
        <w:ind w:left="412" w:right="0" w:hanging="217"/>
        <w:jc w:val="both"/>
        <w:rPr>
          <w:sz w:val="18"/>
        </w:rPr>
      </w:pPr>
      <w:r>
        <w:rPr>
          <w:spacing w:val="-5"/>
          <w:sz w:val="18"/>
        </w:rPr>
        <w:t>适用样本类型：口咽拭子。</w:t>
      </w:r>
    </w:p>
    <w:p>
      <w:pPr>
        <w:pStyle w:val="ListParagraph"/>
        <w:numPr>
          <w:ilvl w:val="0"/>
          <w:numId w:val="3"/>
        </w:numPr>
        <w:tabs>
          <w:tab w:pos="412" w:val="left" w:leader="none"/>
        </w:tabs>
        <w:spacing w:line="208" w:lineRule="auto" w:before="8" w:after="0"/>
        <w:ind w:left="390" w:right="200" w:hanging="195"/>
        <w:jc w:val="both"/>
        <w:rPr>
          <w:sz w:val="18"/>
        </w:rPr>
      </w:pPr>
      <w:r>
        <w:rPr>
          <w:spacing w:val="-12"/>
          <w:sz w:val="18"/>
        </w:rPr>
        <w:t>样本采集：用无菌捻拭子拭取双侧咽扁桃体及咽后壁，将拭子置入含采样液的无菌管中，将试管塞紧后，密闭送检。拭子样本所</w:t>
      </w:r>
      <w:r>
        <w:rPr>
          <w:spacing w:val="-5"/>
          <w:sz w:val="18"/>
        </w:rPr>
        <w:t>用的拭子顶端应为人造材质（如聚脂或涤纶</w:t>
      </w:r>
      <w:r>
        <w:rPr>
          <w:spacing w:val="-92"/>
          <w:sz w:val="18"/>
        </w:rPr>
        <w:t>）</w:t>
      </w:r>
      <w:r>
        <w:rPr>
          <w:spacing w:val="-5"/>
          <w:sz w:val="18"/>
        </w:rPr>
        <w:t>、柄为铝制或塑料。不推荐使用棉头木柄的拭子。藻酸钙拭子采样不可取。标本可立即用于检测，也可保存于</w:t>
      </w:r>
      <w:r>
        <w:rPr>
          <w:rFonts w:ascii="Times New Roman" w:hAnsi="Times New Roman" w:eastAsia="Times New Roman"/>
          <w:spacing w:val="-4"/>
          <w:sz w:val="18"/>
        </w:rPr>
        <w:t>-20</w:t>
      </w:r>
      <w:r>
        <w:rPr>
          <w:spacing w:val="-4"/>
          <w:sz w:val="18"/>
        </w:rPr>
        <w:t>℃待测。</w:t>
      </w:r>
    </w:p>
    <w:p>
      <w:pPr>
        <w:pStyle w:val="ListParagraph"/>
        <w:numPr>
          <w:ilvl w:val="0"/>
          <w:numId w:val="3"/>
        </w:numPr>
        <w:tabs>
          <w:tab w:pos="412" w:val="left" w:leader="none"/>
        </w:tabs>
        <w:spacing w:line="208" w:lineRule="auto" w:before="0" w:after="0"/>
        <w:ind w:left="388" w:right="197" w:hanging="192"/>
        <w:jc w:val="both"/>
        <w:rPr>
          <w:sz w:val="18"/>
        </w:rPr>
      </w:pPr>
      <w:r>
        <w:rPr>
          <w:spacing w:val="-8"/>
          <w:sz w:val="18"/>
        </w:rPr>
        <w:t>样本保存和运送和接受：经上述处理后的待测样本 </w:t>
      </w:r>
      <w:r>
        <w:rPr>
          <w:rFonts w:ascii="Times New Roman" w:hAnsi="Times New Roman" w:eastAsia="Times New Roman"/>
          <w:sz w:val="18"/>
        </w:rPr>
        <w:t>48</w:t>
      </w:r>
      <w:r>
        <w:rPr>
          <w:rFonts w:ascii="Times New Roman" w:hAnsi="Times New Roman" w:eastAsia="Times New Roman"/>
          <w:spacing w:val="-6"/>
          <w:sz w:val="18"/>
        </w:rPr>
        <w:t> </w:t>
      </w:r>
      <w:r>
        <w:rPr>
          <w:spacing w:val="-9"/>
          <w:sz w:val="18"/>
        </w:rPr>
        <w:t>小时内进行检测的可存放于 </w:t>
      </w:r>
      <w:r>
        <w:rPr>
          <w:rFonts w:ascii="Times New Roman" w:hAnsi="Times New Roman" w:eastAsia="Times New Roman"/>
          <w:sz w:val="18"/>
        </w:rPr>
        <w:t>4</w:t>
      </w:r>
      <w:r>
        <w:rPr>
          <w:sz w:val="18"/>
        </w:rPr>
        <w:t>℃，2</w:t>
      </w:r>
      <w:r>
        <w:rPr>
          <w:spacing w:val="-10"/>
          <w:sz w:val="18"/>
        </w:rPr>
        <w:t> 个月以内可存放于-</w:t>
      </w:r>
      <w:r>
        <w:rPr>
          <w:sz w:val="18"/>
        </w:rPr>
        <w:t>20</w:t>
      </w:r>
      <w:r>
        <w:rPr>
          <w:spacing w:val="-3"/>
          <w:sz w:val="18"/>
        </w:rPr>
        <w:t>℃以下，2</w:t>
      </w:r>
      <w:r>
        <w:rPr>
          <w:spacing w:val="-18"/>
          <w:sz w:val="18"/>
        </w:rPr>
        <w:t> 个月</w:t>
      </w:r>
      <w:r>
        <w:rPr>
          <w:spacing w:val="-5"/>
          <w:sz w:val="18"/>
        </w:rPr>
        <w:t>以上应置于-</w:t>
      </w:r>
      <w:r>
        <w:rPr>
          <w:sz w:val="18"/>
        </w:rPr>
        <w:t>70</w:t>
      </w:r>
      <w:r>
        <w:rPr>
          <w:spacing w:val="-5"/>
          <w:sz w:val="18"/>
        </w:rPr>
        <w:t>℃以下。应避免反复冻融。标本的采集、运送和接受应符合《人感染高致病性禽流感标本采集及实验室检测技术</w:t>
      </w:r>
      <w:r>
        <w:rPr>
          <w:spacing w:val="-11"/>
          <w:sz w:val="18"/>
        </w:rPr>
        <w:t>方案》中的要求，要获得相应部门批准并由具有资质的人员专程护送，采用三层容器对样品进行包装，随样品应附有与样品唯一</w:t>
      </w:r>
      <w:r>
        <w:rPr>
          <w:spacing w:val="-10"/>
          <w:sz w:val="18"/>
        </w:rPr>
        <w:t>性编码相对应的送检单。送检单应标明受检者姓名、样品种类等信息，并应放置在第二层和第三层容器之间。样品包裹必须在具有处理感染性材料能力的实验室内、由经过培训的、穿戴防护衣、戴口罩、防护眼镜的工作人员在生物安全柜中打开，用后的包</w:t>
      </w:r>
      <w:r>
        <w:rPr>
          <w:spacing w:val="-5"/>
          <w:sz w:val="18"/>
        </w:rPr>
        <w:t>裹应及时进行消毒。</w:t>
      </w:r>
    </w:p>
    <w:p>
      <w:pPr>
        <w:pStyle w:val="Heading1"/>
        <w:spacing w:line="189" w:lineRule="exact"/>
      </w:pPr>
      <w:r>
        <w:rPr/>
        <w:t>【检验方法】</w:t>
      </w:r>
    </w:p>
    <w:p>
      <w:pPr>
        <w:pStyle w:val="ListParagraph"/>
        <w:numPr>
          <w:ilvl w:val="0"/>
          <w:numId w:val="4"/>
        </w:numPr>
        <w:tabs>
          <w:tab w:pos="324" w:val="left" w:leader="none"/>
        </w:tabs>
        <w:spacing w:line="200" w:lineRule="exact" w:before="0" w:after="0"/>
        <w:ind w:left="323" w:right="0" w:hanging="217"/>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4"/>
        </w:numPr>
        <w:tabs>
          <w:tab w:pos="369" w:val="left" w:leader="none"/>
        </w:tabs>
        <w:spacing w:line="199" w:lineRule="exact" w:before="0" w:after="0"/>
        <w:ind w:left="368" w:right="0" w:hanging="262"/>
        <w:jc w:val="left"/>
        <w:rPr>
          <w:sz w:val="18"/>
        </w:rPr>
      </w:pPr>
      <w:r>
        <w:rPr>
          <w:spacing w:val="-5"/>
          <w:sz w:val="18"/>
        </w:rPr>
        <w:t>取出两个包装盒中的各组分，室温放置，待其温度平衡至室温后，混匀后备用。</w:t>
      </w:r>
    </w:p>
    <w:p>
      <w:pPr>
        <w:pStyle w:val="ListParagraph"/>
        <w:numPr>
          <w:ilvl w:val="1"/>
          <w:numId w:val="4"/>
        </w:numPr>
        <w:tabs>
          <w:tab w:pos="369" w:val="left" w:leader="none"/>
        </w:tabs>
        <w:spacing w:line="208" w:lineRule="auto" w:before="6" w:after="0"/>
        <w:ind w:left="371" w:right="197" w:hanging="264"/>
        <w:jc w:val="left"/>
        <w:rPr>
          <w:sz w:val="18"/>
        </w:rPr>
      </w:pPr>
      <w:r>
        <w:rPr>
          <w:spacing w:val="-5"/>
          <w:sz w:val="18"/>
        </w:rPr>
        <w:t>根据待测样本、阴性对照、阳性对照数量，按比例</w:t>
      </w:r>
      <w:r>
        <w:rPr>
          <w:sz w:val="18"/>
        </w:rPr>
        <w:t>（</w:t>
      </w:r>
      <w:r>
        <w:rPr>
          <w:rFonts w:ascii="Times New Roman" w:hAnsi="Times New Roman" w:eastAsia="Times New Roman"/>
          <w:sz w:val="18"/>
        </w:rPr>
        <w:t>RNA</w:t>
      </w:r>
      <w:r>
        <w:rPr>
          <w:rFonts w:ascii="Times New Roman" w:hAnsi="Times New Roman" w:eastAsia="Times New Roman"/>
          <w:spacing w:val="-3"/>
          <w:sz w:val="18"/>
        </w:rPr>
        <w:t> </w:t>
      </w:r>
      <w:r>
        <w:rPr>
          <w:spacing w:val="-13"/>
          <w:sz w:val="18"/>
        </w:rPr>
        <w:t>提取溶液 </w:t>
      </w:r>
      <w:r>
        <w:rPr>
          <w:rFonts w:ascii="Times New Roman" w:hAnsi="Times New Roman" w:eastAsia="Times New Roman"/>
          <w:sz w:val="18"/>
        </w:rPr>
        <w:t>1</w:t>
      </w:r>
      <w:r>
        <w:rPr>
          <w:rFonts w:ascii="Times New Roman" w:hAnsi="Times New Roman" w:eastAsia="Times New Roman"/>
          <w:spacing w:val="-3"/>
          <w:sz w:val="18"/>
        </w:rPr>
        <w:t> 600μl/</w:t>
      </w:r>
      <w:r>
        <w:rPr>
          <w:spacing w:val="-4"/>
          <w:sz w:val="18"/>
        </w:rPr>
        <w:t>人份</w:t>
      </w:r>
      <w:r>
        <w:rPr>
          <w:rFonts w:ascii="Times New Roman" w:hAnsi="Times New Roman" w:eastAsia="Times New Roman"/>
          <w:spacing w:val="6"/>
          <w:sz w:val="18"/>
        </w:rPr>
        <w:t>+ </w:t>
      </w:r>
      <w:r>
        <w:rPr>
          <w:spacing w:val="-11"/>
          <w:sz w:val="18"/>
        </w:rPr>
        <w:t>甲型流感病毒内标 </w:t>
      </w:r>
      <w:r>
        <w:rPr>
          <w:rFonts w:ascii="Times New Roman" w:hAnsi="Times New Roman" w:eastAsia="Times New Roman"/>
          <w:spacing w:val="-3"/>
          <w:sz w:val="18"/>
        </w:rPr>
        <w:t>0.4μl/</w:t>
      </w:r>
      <w:r>
        <w:rPr>
          <w:spacing w:val="-4"/>
          <w:sz w:val="18"/>
        </w:rPr>
        <w:t>人份</w:t>
      </w:r>
      <w:r>
        <w:rPr>
          <w:spacing w:val="-3"/>
          <w:sz w:val="18"/>
        </w:rPr>
        <w:t>）</w:t>
      </w:r>
      <w:r>
        <w:rPr>
          <w:spacing w:val="-5"/>
          <w:sz w:val="18"/>
        </w:rPr>
        <w:t>取相应量的提</w:t>
      </w:r>
      <w:r>
        <w:rPr>
          <w:spacing w:val="-16"/>
          <w:sz w:val="18"/>
        </w:rPr>
        <w:t>取试剂 </w:t>
      </w:r>
      <w:r>
        <w:rPr>
          <w:rFonts w:ascii="Times New Roman" w:hAnsi="Times New Roman" w:eastAsia="Times New Roman"/>
          <w:sz w:val="18"/>
        </w:rPr>
        <w:t>1</w:t>
      </w:r>
      <w:r>
        <w:rPr>
          <w:rFonts w:ascii="Times New Roman" w:hAnsi="Times New Roman" w:eastAsia="Times New Roman"/>
          <w:spacing w:val="-3"/>
          <w:sz w:val="18"/>
        </w:rPr>
        <w:t> </w:t>
      </w:r>
      <w:r>
        <w:rPr>
          <w:spacing w:val="-8"/>
          <w:sz w:val="18"/>
        </w:rPr>
        <w:t>及甲型流感病毒内标，充分混匀成提取试剂 </w:t>
      </w:r>
      <w:r>
        <w:rPr>
          <w:rFonts w:ascii="Times New Roman" w:hAnsi="Times New Roman" w:eastAsia="Times New Roman"/>
          <w:sz w:val="18"/>
        </w:rPr>
        <w:t>1</w:t>
      </w:r>
      <w:r>
        <w:rPr>
          <w:rFonts w:ascii="Times New Roman" w:hAnsi="Times New Roman" w:eastAsia="Times New Roman"/>
          <w:spacing w:val="-3"/>
          <w:sz w:val="18"/>
        </w:rPr>
        <w:t> </w:t>
      </w:r>
      <w:r>
        <w:rPr>
          <w:spacing w:val="-5"/>
          <w:sz w:val="18"/>
        </w:rPr>
        <w:t>混合液，瞬时离心后备用。</w:t>
      </w:r>
    </w:p>
    <w:p>
      <w:pPr>
        <w:pStyle w:val="ListParagraph"/>
        <w:numPr>
          <w:ilvl w:val="1"/>
          <w:numId w:val="4"/>
        </w:numPr>
        <w:tabs>
          <w:tab w:pos="372" w:val="left" w:leader="none"/>
        </w:tabs>
        <w:spacing w:line="207" w:lineRule="exact" w:before="0" w:after="0"/>
        <w:ind w:left="371" w:right="0" w:hanging="263"/>
        <w:jc w:val="left"/>
        <w:rPr>
          <w:sz w:val="18"/>
        </w:rPr>
      </w:pPr>
      <w:r>
        <w:rPr>
          <w:spacing w:val="-11"/>
          <w:sz w:val="18"/>
        </w:rPr>
        <w:t>根据待测样本、阴性对照、阳性对照数量，按比例</w:t>
      </w:r>
      <w:r>
        <w:rPr>
          <w:spacing w:val="-5"/>
          <w:sz w:val="18"/>
        </w:rPr>
        <w:t>（甲型流感病毒 </w:t>
      </w:r>
      <w:r>
        <w:rPr>
          <w:rFonts w:ascii="Times New Roman" w:hAnsi="Times New Roman" w:eastAsia="Times New Roman"/>
          <w:sz w:val="18"/>
        </w:rPr>
        <w:t>PCR</w:t>
      </w:r>
      <w:r>
        <w:rPr>
          <w:rFonts w:ascii="Times New Roman" w:hAnsi="Times New Roman" w:eastAsia="Times New Roman"/>
          <w:spacing w:val="-7"/>
          <w:sz w:val="18"/>
        </w:rPr>
        <w:t> </w:t>
      </w:r>
      <w:r>
        <w:rPr>
          <w:spacing w:val="-15"/>
          <w:sz w:val="18"/>
        </w:rPr>
        <w:t>反应液 </w:t>
      </w:r>
      <w:r>
        <w:rPr>
          <w:rFonts w:ascii="Times New Roman" w:hAnsi="Times New Roman" w:eastAsia="Times New Roman"/>
          <w:spacing w:val="-3"/>
          <w:sz w:val="18"/>
        </w:rPr>
        <w:t>40μl/</w:t>
      </w:r>
      <w:r>
        <w:rPr>
          <w:spacing w:val="-4"/>
          <w:sz w:val="18"/>
        </w:rPr>
        <w:t>人份</w:t>
      </w:r>
      <w:r>
        <w:rPr>
          <w:rFonts w:ascii="Times New Roman" w:hAnsi="Times New Roman" w:eastAsia="Times New Roman"/>
          <w:spacing w:val="-1"/>
          <w:sz w:val="18"/>
        </w:rPr>
        <w:t>+ </w:t>
      </w:r>
      <w:r>
        <w:rPr>
          <w:rFonts w:ascii="Times New Roman" w:hAnsi="Times New Roman" w:eastAsia="Times New Roman"/>
          <w:spacing w:val="-7"/>
          <w:sz w:val="18"/>
        </w:rPr>
        <w:t>RT-PCR </w:t>
      </w:r>
      <w:r>
        <w:rPr>
          <w:spacing w:val="-15"/>
          <w:sz w:val="18"/>
        </w:rPr>
        <w:t>增强剂 </w:t>
      </w:r>
      <w:r>
        <w:rPr>
          <w:rFonts w:ascii="Times New Roman" w:hAnsi="Times New Roman" w:eastAsia="Times New Roman"/>
          <w:spacing w:val="-3"/>
          <w:sz w:val="18"/>
        </w:rPr>
        <w:t>1μl/</w:t>
      </w:r>
      <w:r>
        <w:rPr>
          <w:spacing w:val="-5"/>
          <w:sz w:val="18"/>
        </w:rPr>
        <w:t>人份</w:t>
      </w:r>
      <w:r>
        <w:rPr>
          <w:spacing w:val="-17"/>
          <w:sz w:val="18"/>
        </w:rPr>
        <w:t>）</w:t>
      </w:r>
      <w:r>
        <w:rPr>
          <w:spacing w:val="-4"/>
          <w:sz w:val="18"/>
        </w:rPr>
        <w:t>取相应量的</w:t>
      </w:r>
    </w:p>
    <w:p>
      <w:pPr>
        <w:spacing w:after="0" w:line="207" w:lineRule="exact"/>
        <w:jc w:val="left"/>
        <w:rPr>
          <w:sz w:val="18"/>
        </w:rPr>
        <w:sectPr>
          <w:type w:val="continuous"/>
          <w:pgSz w:w="11910" w:h="16840"/>
          <w:pgMar w:top="660" w:bottom="640" w:left="800" w:right="700"/>
        </w:sectPr>
      </w:pPr>
    </w:p>
    <w:p>
      <w:pPr>
        <w:pStyle w:val="BodyText"/>
        <w:spacing w:line="240" w:lineRule="auto" w:before="5"/>
        <w:ind w:left="0"/>
        <w:rPr>
          <w:sz w:val="3"/>
        </w:rPr>
      </w:pPr>
    </w:p>
    <w:p>
      <w:pPr>
        <w:pStyle w:val="BodyText"/>
        <w:spacing w:line="20" w:lineRule="exact"/>
        <w:ind w:left="99"/>
        <w:rPr>
          <w:sz w:val="2"/>
        </w:rPr>
      </w:pPr>
      <w:r>
        <w:rPr>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sz w:val="2"/>
        </w:rPr>
      </w:r>
    </w:p>
    <w:p>
      <w:pPr>
        <w:pStyle w:val="BodyText"/>
        <w:spacing w:line="192" w:lineRule="exact"/>
        <w:ind w:left="373"/>
      </w:pPr>
      <w:r>
        <w:rPr/>
        <w:t>甲型流感病毒 </w:t>
      </w:r>
      <w:r>
        <w:rPr>
          <w:rFonts w:ascii="Times New Roman" w:eastAsia="Times New Roman"/>
        </w:rPr>
        <w:t>PCR </w:t>
      </w:r>
      <w:r>
        <w:rPr/>
        <w:t>反应液及</w:t>
      </w:r>
      <w:r>
        <w:rPr>
          <w:rFonts w:ascii="Times New Roman" w:eastAsia="Times New Roman"/>
        </w:rPr>
        <w:t>RT-PCR </w:t>
      </w:r>
      <w:r>
        <w:rPr/>
        <w:t>增强剂，充分混匀成</w:t>
      </w:r>
      <w:r>
        <w:rPr>
          <w:rFonts w:ascii="Times New Roman" w:eastAsia="Times New Roman"/>
        </w:rPr>
        <w:t>PCR </w:t>
      </w:r>
      <w:r>
        <w:rPr/>
        <w:t>混合液，瞬时离心后备用。</w:t>
      </w:r>
    </w:p>
    <w:p>
      <w:pPr>
        <w:pStyle w:val="ListParagraph"/>
        <w:numPr>
          <w:ilvl w:val="1"/>
          <w:numId w:val="4"/>
        </w:numPr>
        <w:tabs>
          <w:tab w:pos="415" w:val="left" w:leader="none"/>
        </w:tabs>
        <w:spacing w:line="216" w:lineRule="exact" w:before="0" w:after="0"/>
        <w:ind w:left="414" w:right="0" w:hanging="306"/>
        <w:jc w:val="left"/>
        <w:rPr>
          <w:sz w:val="18"/>
        </w:rPr>
      </w:pPr>
      <w:r>
        <w:rPr>
          <w:spacing w:val="-5"/>
          <w:sz w:val="18"/>
        </w:rPr>
        <w:t>将上述准备好的试剂转移至样本处理区，待用。</w:t>
      </w:r>
    </w:p>
    <w:p>
      <w:pPr>
        <w:pStyle w:val="ListParagraph"/>
        <w:numPr>
          <w:ilvl w:val="0"/>
          <w:numId w:val="4"/>
        </w:numPr>
        <w:tabs>
          <w:tab w:pos="324" w:val="left" w:leader="none"/>
        </w:tabs>
        <w:spacing w:line="216" w:lineRule="exact" w:before="167" w:after="0"/>
        <w:ind w:left="323" w:right="0" w:hanging="217"/>
        <w:jc w:val="left"/>
        <w:rPr>
          <w:rFonts w:ascii="Times New Roman" w:eastAsia="Times New Roman"/>
          <w:sz w:val="18"/>
        </w:rPr>
      </w:pPr>
      <w:r>
        <w:rPr>
          <w:b/>
          <w:spacing w:val="-4"/>
          <w:w w:val="99"/>
          <w:sz w:val="18"/>
        </w:rPr>
        <w:t>样本处理</w:t>
      </w:r>
      <w:r>
        <w:rPr>
          <w:b/>
          <w:spacing w:val="-5"/>
          <w:w w:val="99"/>
          <w:sz w:val="18"/>
        </w:rPr>
        <w:t>（在样本处理区进行</w:t>
      </w:r>
      <w:r>
        <w:rPr>
          <w:b/>
          <w:spacing w:val="-92"/>
          <w:w w:val="99"/>
          <w:sz w:val="18"/>
        </w:rPr>
        <w:t>）</w:t>
      </w:r>
      <w:r>
        <w:rPr>
          <w:spacing w:val="-5"/>
          <w:sz w:val="18"/>
        </w:rPr>
        <w:t>（阴性对照、阳性对照与待测样本同步处理</w:t>
      </w:r>
      <w:r>
        <w:rPr>
          <w:rFonts w:ascii="Times New Roman" w:eastAsia="Times New Roman"/>
          <w:sz w:val="18"/>
        </w:rPr>
        <w:t>)</w:t>
      </w:r>
    </w:p>
    <w:p>
      <w:pPr>
        <w:pStyle w:val="ListParagraph"/>
        <w:numPr>
          <w:ilvl w:val="1"/>
          <w:numId w:val="4"/>
        </w:numPr>
        <w:tabs>
          <w:tab w:pos="412" w:val="left" w:leader="none"/>
        </w:tabs>
        <w:spacing w:line="200" w:lineRule="exact" w:before="0" w:after="0"/>
        <w:ind w:left="412" w:right="0" w:hanging="305"/>
        <w:jc w:val="left"/>
        <w:rPr>
          <w:sz w:val="18"/>
        </w:rPr>
      </w:pPr>
      <w:r>
        <w:rPr>
          <w:spacing w:val="-16"/>
          <w:sz w:val="18"/>
        </w:rPr>
        <w:t>取适量 </w:t>
      </w:r>
      <w:r>
        <w:rPr>
          <w:rFonts w:ascii="Times New Roman" w:hAnsi="Times New Roman" w:eastAsia="Times New Roman"/>
          <w:sz w:val="18"/>
        </w:rPr>
        <w:t>1.5</w:t>
      </w:r>
      <w:r>
        <w:rPr>
          <w:rFonts w:ascii="Times New Roman" w:hAnsi="Times New Roman" w:eastAsia="Times New Roman"/>
          <w:spacing w:val="-6"/>
          <w:sz w:val="18"/>
        </w:rPr>
        <w:t> </w:t>
      </w:r>
      <w:r>
        <w:rPr>
          <w:rFonts w:ascii="Times New Roman" w:hAnsi="Times New Roman" w:eastAsia="Times New Roman"/>
          <w:sz w:val="18"/>
        </w:rPr>
        <w:t>ml</w:t>
      </w:r>
      <w:r>
        <w:rPr>
          <w:rFonts w:ascii="Times New Roman" w:hAnsi="Times New Roman" w:eastAsia="Times New Roman"/>
          <w:spacing w:val="40"/>
          <w:sz w:val="18"/>
        </w:rPr>
        <w:t> </w:t>
      </w:r>
      <w:r>
        <w:rPr>
          <w:spacing w:val="-7"/>
          <w:sz w:val="18"/>
        </w:rPr>
        <w:t>灭菌离心管，分别标记阴性对照、阳性对照及待测样本，每管加入 </w:t>
      </w:r>
      <w:r>
        <w:rPr>
          <w:rFonts w:ascii="Times New Roman" w:hAnsi="Times New Roman" w:eastAsia="Times New Roman"/>
          <w:sz w:val="18"/>
        </w:rPr>
        <w:t>600</w:t>
      </w:r>
      <w:r>
        <w:rPr>
          <w:rFonts w:ascii="Times New Roman" w:hAnsi="Times New Roman" w:eastAsia="Times New Roman"/>
          <w:spacing w:val="-6"/>
          <w:sz w:val="18"/>
        </w:rPr>
        <w:t> </w:t>
      </w:r>
      <w:r>
        <w:rPr>
          <w:rFonts w:ascii="Times New Roman" w:hAnsi="Times New Roman" w:eastAsia="Times New Roman"/>
          <w:sz w:val="18"/>
        </w:rPr>
        <w:t>μl</w:t>
      </w:r>
      <w:r>
        <w:rPr>
          <w:rFonts w:ascii="Times New Roman" w:hAnsi="Times New Roman" w:eastAsia="Times New Roman"/>
          <w:spacing w:val="-5"/>
          <w:sz w:val="18"/>
        </w:rPr>
        <w:t> </w:t>
      </w:r>
      <w:r>
        <w:rPr>
          <w:spacing w:val="-14"/>
          <w:sz w:val="18"/>
        </w:rPr>
        <w:t>提取试剂 </w:t>
      </w:r>
      <w:r>
        <w:rPr>
          <w:rFonts w:ascii="Times New Roman" w:hAnsi="Times New Roman" w:eastAsia="Times New Roman"/>
          <w:sz w:val="18"/>
        </w:rPr>
        <w:t>1</w:t>
      </w:r>
      <w:r>
        <w:rPr>
          <w:rFonts w:ascii="Times New Roman" w:hAnsi="Times New Roman" w:eastAsia="Times New Roman"/>
          <w:spacing w:val="-3"/>
          <w:sz w:val="18"/>
        </w:rPr>
        <w:t> </w:t>
      </w:r>
      <w:r>
        <w:rPr>
          <w:spacing w:val="-4"/>
          <w:sz w:val="18"/>
        </w:rPr>
        <w:t>混合液；</w:t>
      </w:r>
    </w:p>
    <w:p>
      <w:pPr>
        <w:pStyle w:val="ListParagraph"/>
        <w:numPr>
          <w:ilvl w:val="1"/>
          <w:numId w:val="4"/>
        </w:numPr>
        <w:tabs>
          <w:tab w:pos="415" w:val="left" w:leader="none"/>
        </w:tabs>
        <w:spacing w:line="199" w:lineRule="exact" w:before="0" w:after="0"/>
        <w:ind w:left="414" w:right="0" w:hanging="306"/>
        <w:jc w:val="left"/>
        <w:rPr>
          <w:sz w:val="18"/>
        </w:rPr>
      </w:pPr>
      <w:r>
        <w:rPr>
          <w:spacing w:val="-14"/>
          <w:sz w:val="18"/>
        </w:rPr>
        <w:t>每管加入 </w:t>
      </w:r>
      <w:r>
        <w:rPr>
          <w:rFonts w:ascii="Times New Roman" w:hAnsi="Times New Roman" w:eastAsia="Times New Roman"/>
          <w:sz w:val="18"/>
        </w:rPr>
        <w:t>200μl</w:t>
      </w:r>
      <w:r>
        <w:rPr>
          <w:rFonts w:ascii="Times New Roman" w:hAnsi="Times New Roman" w:eastAsia="Times New Roman"/>
          <w:spacing w:val="37"/>
          <w:sz w:val="18"/>
        </w:rPr>
        <w:t> </w:t>
      </w:r>
      <w:r>
        <w:rPr>
          <w:spacing w:val="-7"/>
          <w:sz w:val="18"/>
        </w:rPr>
        <w:t>待测样本或阴性对照、阳性对照；盖上管盖，震荡混匀 </w:t>
      </w:r>
      <w:r>
        <w:rPr>
          <w:rFonts w:ascii="Times New Roman" w:hAnsi="Times New Roman" w:eastAsia="Times New Roman"/>
          <w:sz w:val="18"/>
        </w:rPr>
        <w:t>10</w:t>
      </w:r>
      <w:r>
        <w:rPr>
          <w:rFonts w:ascii="Times New Roman" w:hAnsi="Times New Roman" w:eastAsia="Times New Roman"/>
          <w:spacing w:val="-6"/>
          <w:sz w:val="18"/>
        </w:rPr>
        <w:t> </w:t>
      </w:r>
      <w:r>
        <w:rPr>
          <w:spacing w:val="-5"/>
          <w:sz w:val="18"/>
        </w:rPr>
        <w:t>秒钟，瞬时离心；</w:t>
      </w:r>
    </w:p>
    <w:p>
      <w:pPr>
        <w:pStyle w:val="ListParagraph"/>
        <w:numPr>
          <w:ilvl w:val="1"/>
          <w:numId w:val="4"/>
        </w:numPr>
        <w:tabs>
          <w:tab w:pos="415" w:val="left" w:leader="none"/>
        </w:tabs>
        <w:spacing w:line="200" w:lineRule="exact" w:before="0" w:after="0"/>
        <w:ind w:left="414" w:right="0" w:hanging="306"/>
        <w:jc w:val="left"/>
        <w:rPr>
          <w:sz w:val="18"/>
        </w:rPr>
      </w:pPr>
      <w:r>
        <w:rPr>
          <w:spacing w:val="-14"/>
          <w:sz w:val="18"/>
        </w:rPr>
        <w:t>每管加入 </w:t>
      </w:r>
      <w:r>
        <w:rPr>
          <w:rFonts w:ascii="Times New Roman" w:hAnsi="Times New Roman" w:eastAsia="Times New Roman"/>
          <w:spacing w:val="-2"/>
          <w:sz w:val="18"/>
        </w:rPr>
        <w:t>10</w:t>
      </w:r>
      <w:r>
        <w:rPr>
          <w:rFonts w:ascii="Times New Roman" w:hAnsi="Times New Roman" w:eastAsia="Times New Roman"/>
          <w:sz w:val="18"/>
        </w:rPr>
        <w:t>0</w:t>
      </w:r>
      <w:r>
        <w:rPr>
          <w:rFonts w:ascii="Times New Roman" w:hAnsi="Times New Roman" w:eastAsia="Times New Roman"/>
          <w:spacing w:val="-6"/>
          <w:sz w:val="18"/>
        </w:rPr>
        <w:t> </w:t>
      </w:r>
      <w:r>
        <w:rPr>
          <w:rFonts w:ascii="Times New Roman" w:hAnsi="Times New Roman" w:eastAsia="Times New Roman"/>
          <w:spacing w:val="-1"/>
          <w:sz w:val="18"/>
        </w:rPr>
        <w:t>μ</w:t>
      </w:r>
      <w:r>
        <w:rPr>
          <w:rFonts w:ascii="Times New Roman" w:hAnsi="Times New Roman" w:eastAsia="Times New Roman"/>
          <w:sz w:val="18"/>
        </w:rPr>
        <w:t>l</w:t>
      </w:r>
      <w:r>
        <w:rPr>
          <w:rFonts w:ascii="Times New Roman" w:hAnsi="Times New Roman" w:eastAsia="Times New Roman"/>
          <w:spacing w:val="-7"/>
          <w:sz w:val="18"/>
        </w:rPr>
        <w:t> </w:t>
      </w:r>
      <w:r>
        <w:rPr>
          <w:rFonts w:ascii="Times New Roman" w:hAnsi="Times New Roman" w:eastAsia="Times New Roman"/>
          <w:spacing w:val="-1"/>
          <w:sz w:val="18"/>
        </w:rPr>
        <w:t>R</w:t>
      </w:r>
      <w:r>
        <w:rPr>
          <w:rFonts w:ascii="Times New Roman" w:hAnsi="Times New Roman" w:eastAsia="Times New Roman"/>
          <w:spacing w:val="-3"/>
          <w:sz w:val="18"/>
        </w:rPr>
        <w:t>N</w:t>
      </w:r>
      <w:r>
        <w:rPr>
          <w:rFonts w:ascii="Times New Roman" w:hAnsi="Times New Roman" w:eastAsia="Times New Roman"/>
          <w:sz w:val="18"/>
        </w:rPr>
        <w:t>A</w:t>
      </w:r>
      <w:r>
        <w:rPr>
          <w:rFonts w:ascii="Times New Roman" w:hAnsi="Times New Roman" w:eastAsia="Times New Roman"/>
          <w:spacing w:val="-3"/>
          <w:sz w:val="18"/>
        </w:rPr>
        <w:t> </w:t>
      </w:r>
      <w:r>
        <w:rPr>
          <w:spacing w:val="-14"/>
          <w:sz w:val="18"/>
        </w:rPr>
        <w:t>提取溶液 </w:t>
      </w:r>
      <w:r>
        <w:rPr>
          <w:rFonts w:ascii="Times New Roman" w:hAnsi="Times New Roman" w:eastAsia="Times New Roman"/>
          <w:spacing w:val="-2"/>
          <w:sz w:val="18"/>
        </w:rPr>
        <w:t>2</w:t>
      </w:r>
      <w:r>
        <w:rPr>
          <w:spacing w:val="-5"/>
          <w:sz w:val="18"/>
        </w:rPr>
        <w:t>（充分混匀后吸取</w:t>
      </w:r>
      <w:r>
        <w:rPr>
          <w:spacing w:val="-94"/>
          <w:sz w:val="18"/>
        </w:rPr>
        <w:t>）</w:t>
      </w:r>
      <w:r>
        <w:rPr>
          <w:spacing w:val="-12"/>
          <w:sz w:val="18"/>
        </w:rPr>
        <w:t>，震荡混匀 </w:t>
      </w:r>
      <w:r>
        <w:rPr>
          <w:rFonts w:ascii="Times New Roman" w:hAnsi="Times New Roman" w:eastAsia="Times New Roman"/>
          <w:spacing w:val="-2"/>
          <w:sz w:val="18"/>
        </w:rPr>
        <w:t>1</w:t>
      </w:r>
      <w:r>
        <w:rPr>
          <w:rFonts w:ascii="Times New Roman" w:hAnsi="Times New Roman" w:eastAsia="Times New Roman"/>
          <w:sz w:val="18"/>
        </w:rPr>
        <w:t>0</w:t>
      </w:r>
      <w:r>
        <w:rPr>
          <w:rFonts w:ascii="Times New Roman" w:hAnsi="Times New Roman" w:eastAsia="Times New Roman"/>
          <w:spacing w:val="-3"/>
          <w:sz w:val="18"/>
        </w:rPr>
        <w:t> </w:t>
      </w:r>
      <w:r>
        <w:rPr>
          <w:spacing w:val="-11"/>
          <w:sz w:val="18"/>
        </w:rPr>
        <w:t>秒钟后室温静置 </w:t>
      </w:r>
      <w:r>
        <w:rPr>
          <w:rFonts w:ascii="Times New Roman" w:hAnsi="Times New Roman" w:eastAsia="Times New Roman"/>
          <w:spacing w:val="-2"/>
          <w:sz w:val="18"/>
        </w:rPr>
        <w:t>3</w:t>
      </w:r>
      <w:r>
        <w:rPr>
          <w:rFonts w:ascii="Times New Roman" w:hAnsi="Times New Roman" w:eastAsia="Times New Roman"/>
          <w:sz w:val="18"/>
        </w:rPr>
        <w:t>0</w:t>
      </w:r>
      <w:r>
        <w:rPr>
          <w:rFonts w:ascii="Times New Roman" w:hAnsi="Times New Roman" w:eastAsia="Times New Roman"/>
          <w:spacing w:val="-4"/>
          <w:sz w:val="18"/>
        </w:rPr>
        <w:t>  </w:t>
      </w:r>
      <w:r>
        <w:rPr>
          <w:spacing w:val="-3"/>
          <w:sz w:val="18"/>
        </w:rPr>
        <w:t>分钟；</w:t>
      </w:r>
    </w:p>
    <w:p>
      <w:pPr>
        <w:pStyle w:val="ListParagraph"/>
        <w:numPr>
          <w:ilvl w:val="1"/>
          <w:numId w:val="4"/>
        </w:numPr>
        <w:tabs>
          <w:tab w:pos="412" w:val="left" w:leader="none"/>
        </w:tabs>
        <w:spacing w:line="200" w:lineRule="exact" w:before="0" w:after="0"/>
        <w:ind w:left="412" w:right="0" w:hanging="305"/>
        <w:jc w:val="left"/>
        <w:rPr>
          <w:sz w:val="18"/>
        </w:rPr>
      </w:pPr>
      <w:r>
        <w:rPr>
          <w:spacing w:val="-5"/>
          <w:sz w:val="18"/>
        </w:rPr>
        <w:t>瞬时离心后将离心管置于分离器上，</w:t>
      </w:r>
      <w:r>
        <w:rPr>
          <w:rFonts w:ascii="Times New Roman" w:eastAsia="Times New Roman"/>
          <w:sz w:val="18"/>
        </w:rPr>
        <w:t>3</w:t>
      </w:r>
      <w:r>
        <w:rPr>
          <w:rFonts w:ascii="Times New Roman" w:eastAsia="Times New Roman"/>
          <w:spacing w:val="-3"/>
          <w:sz w:val="18"/>
        </w:rPr>
        <w:t> </w:t>
      </w:r>
      <w:r>
        <w:rPr>
          <w:spacing w:val="-5"/>
          <w:sz w:val="18"/>
        </w:rPr>
        <w:t>分钟后缓慢将溶液吸出</w:t>
      </w:r>
      <w:r>
        <w:rPr>
          <w:spacing w:val="-3"/>
          <w:sz w:val="18"/>
        </w:rPr>
        <w:t>（</w:t>
      </w:r>
      <w:r>
        <w:rPr>
          <w:spacing w:val="-5"/>
          <w:sz w:val="18"/>
        </w:rPr>
        <w:t>注意不要碰到吸附于管壁的棕色物</w:t>
      </w:r>
      <w:r>
        <w:rPr>
          <w:spacing w:val="-92"/>
          <w:sz w:val="18"/>
        </w:rPr>
        <w:t>）</w:t>
      </w:r>
      <w:r>
        <w:rPr>
          <w:sz w:val="18"/>
        </w:rPr>
        <w:t>；</w:t>
      </w:r>
    </w:p>
    <w:p>
      <w:pPr>
        <w:pStyle w:val="ListParagraph"/>
        <w:numPr>
          <w:ilvl w:val="1"/>
          <w:numId w:val="4"/>
        </w:numPr>
        <w:tabs>
          <w:tab w:pos="412" w:val="left" w:leader="none"/>
        </w:tabs>
        <w:spacing w:line="199" w:lineRule="exact" w:before="0" w:after="0"/>
        <w:ind w:left="412" w:right="0" w:hanging="305"/>
        <w:jc w:val="left"/>
        <w:rPr>
          <w:sz w:val="18"/>
        </w:rPr>
      </w:pPr>
      <w:r>
        <w:rPr>
          <w:spacing w:val="-14"/>
          <w:sz w:val="18"/>
        </w:rPr>
        <w:t>每管加入 </w:t>
      </w:r>
      <w:r>
        <w:rPr>
          <w:rFonts w:ascii="Times New Roman" w:hAnsi="Times New Roman" w:eastAsia="Times New Roman"/>
          <w:spacing w:val="-3"/>
          <w:sz w:val="18"/>
        </w:rPr>
        <w:t>600μl</w:t>
      </w:r>
      <w:r>
        <w:rPr>
          <w:rFonts w:ascii="Times New Roman" w:hAnsi="Times New Roman" w:eastAsia="Times New Roman"/>
          <w:spacing w:val="-4"/>
          <w:sz w:val="18"/>
        </w:rPr>
        <w:t> </w:t>
      </w:r>
      <w:r>
        <w:rPr>
          <w:rFonts w:ascii="Times New Roman" w:hAnsi="Times New Roman" w:eastAsia="Times New Roman"/>
          <w:sz w:val="18"/>
        </w:rPr>
        <w:t>RNA</w:t>
      </w:r>
      <w:r>
        <w:rPr>
          <w:rFonts w:ascii="Times New Roman" w:hAnsi="Times New Roman" w:eastAsia="Times New Roman"/>
          <w:spacing w:val="-6"/>
          <w:sz w:val="18"/>
        </w:rPr>
        <w:t> </w:t>
      </w:r>
      <w:r>
        <w:rPr>
          <w:spacing w:val="-14"/>
          <w:sz w:val="18"/>
        </w:rPr>
        <w:t>提取溶液 </w:t>
      </w:r>
      <w:r>
        <w:rPr>
          <w:rFonts w:ascii="Times New Roman" w:hAnsi="Times New Roman" w:eastAsia="Times New Roman"/>
          <w:sz w:val="18"/>
        </w:rPr>
        <w:t>3</w:t>
      </w:r>
      <w:r>
        <w:rPr>
          <w:rFonts w:ascii="Times New Roman" w:hAnsi="Times New Roman" w:eastAsia="Times New Roman"/>
          <w:spacing w:val="-3"/>
          <w:sz w:val="18"/>
        </w:rPr>
        <w:t> </w:t>
      </w:r>
      <w:r>
        <w:rPr>
          <w:spacing w:val="-27"/>
          <w:sz w:val="18"/>
        </w:rPr>
        <w:t>和 </w:t>
      </w:r>
      <w:r>
        <w:rPr>
          <w:rFonts w:ascii="Times New Roman" w:hAnsi="Times New Roman" w:eastAsia="Times New Roman"/>
          <w:sz w:val="18"/>
        </w:rPr>
        <w:t>200μl</w:t>
      </w:r>
      <w:r>
        <w:rPr>
          <w:rFonts w:ascii="Times New Roman" w:hAnsi="Times New Roman" w:eastAsia="Times New Roman"/>
          <w:spacing w:val="-4"/>
          <w:sz w:val="18"/>
        </w:rPr>
        <w:t> </w:t>
      </w:r>
      <w:r>
        <w:rPr>
          <w:rFonts w:ascii="Times New Roman" w:hAnsi="Times New Roman" w:eastAsia="Times New Roman"/>
          <w:sz w:val="18"/>
        </w:rPr>
        <w:t>RNA</w:t>
      </w:r>
      <w:r>
        <w:rPr>
          <w:rFonts w:ascii="Times New Roman" w:hAnsi="Times New Roman" w:eastAsia="Times New Roman"/>
          <w:spacing w:val="-5"/>
          <w:sz w:val="18"/>
        </w:rPr>
        <w:t> </w:t>
      </w:r>
      <w:r>
        <w:rPr>
          <w:spacing w:val="-14"/>
          <w:sz w:val="18"/>
        </w:rPr>
        <w:t>提取溶液 </w:t>
      </w:r>
      <w:r>
        <w:rPr>
          <w:rFonts w:ascii="Times New Roman" w:hAnsi="Times New Roman" w:eastAsia="Times New Roman"/>
          <w:spacing w:val="-5"/>
          <w:sz w:val="18"/>
        </w:rPr>
        <w:t>4</w:t>
      </w:r>
      <w:r>
        <w:rPr>
          <w:spacing w:val="-12"/>
          <w:sz w:val="18"/>
        </w:rPr>
        <w:t>，震荡混匀 </w:t>
      </w:r>
      <w:r>
        <w:rPr>
          <w:rFonts w:ascii="Times New Roman" w:hAnsi="Times New Roman" w:eastAsia="Times New Roman"/>
          <w:sz w:val="18"/>
        </w:rPr>
        <w:t>5</w:t>
      </w:r>
      <w:r>
        <w:rPr>
          <w:rFonts w:ascii="Times New Roman" w:hAnsi="Times New Roman" w:eastAsia="Times New Roman"/>
          <w:spacing w:val="-4"/>
          <w:sz w:val="18"/>
        </w:rPr>
        <w:t> </w:t>
      </w:r>
      <w:r>
        <w:rPr>
          <w:spacing w:val="-5"/>
          <w:sz w:val="18"/>
        </w:rPr>
        <w:t>秒钟，瞬时离心后将离心管再次置于分离器上；</w:t>
      </w:r>
    </w:p>
    <w:p>
      <w:pPr>
        <w:pStyle w:val="ListParagraph"/>
        <w:numPr>
          <w:ilvl w:val="1"/>
          <w:numId w:val="4"/>
        </w:numPr>
        <w:tabs>
          <w:tab w:pos="412" w:val="left" w:leader="none"/>
        </w:tabs>
        <w:spacing w:line="200" w:lineRule="exact" w:before="0" w:after="0"/>
        <w:ind w:left="412" w:right="0" w:hanging="305"/>
        <w:jc w:val="left"/>
        <w:rPr>
          <w:sz w:val="18"/>
        </w:rPr>
      </w:pPr>
      <w:r>
        <w:rPr>
          <w:spacing w:val="-25"/>
          <w:sz w:val="18"/>
        </w:rPr>
        <w:t>约 </w:t>
      </w:r>
      <w:r>
        <w:rPr>
          <w:rFonts w:ascii="Times New Roman" w:eastAsia="Times New Roman"/>
          <w:sz w:val="18"/>
        </w:rPr>
        <w:t>3</w:t>
      </w:r>
      <w:r>
        <w:rPr>
          <w:rFonts w:ascii="Times New Roman" w:eastAsia="Times New Roman"/>
          <w:spacing w:val="-3"/>
          <w:sz w:val="18"/>
        </w:rPr>
        <w:t> </w:t>
      </w:r>
      <w:r>
        <w:rPr>
          <w:spacing w:val="-7"/>
          <w:sz w:val="18"/>
        </w:rPr>
        <w:t>分钟后，将吸头插入离心管底部，从底部开始缓慢将液体完全吸出丢弃，静置 </w:t>
      </w:r>
      <w:r>
        <w:rPr>
          <w:rFonts w:ascii="Times New Roman" w:eastAsia="Times New Roman"/>
          <w:sz w:val="18"/>
        </w:rPr>
        <w:t>1</w:t>
      </w:r>
      <w:r>
        <w:rPr>
          <w:rFonts w:ascii="Times New Roman" w:eastAsia="Times New Roman"/>
          <w:spacing w:val="-3"/>
          <w:sz w:val="18"/>
        </w:rPr>
        <w:t> </w:t>
      </w:r>
      <w:r>
        <w:rPr>
          <w:spacing w:val="-5"/>
          <w:sz w:val="18"/>
        </w:rPr>
        <w:t>分钟后将管底残余液体完全吸出丢弃；</w:t>
      </w:r>
    </w:p>
    <w:p>
      <w:pPr>
        <w:pStyle w:val="ListParagraph"/>
        <w:numPr>
          <w:ilvl w:val="1"/>
          <w:numId w:val="4"/>
        </w:numPr>
        <w:tabs>
          <w:tab w:pos="372" w:val="left" w:leader="none"/>
        </w:tabs>
        <w:spacing w:line="200" w:lineRule="exact" w:before="0" w:after="0"/>
        <w:ind w:left="371" w:right="0" w:hanging="265"/>
        <w:jc w:val="left"/>
        <w:rPr>
          <w:rFonts w:ascii="Times New Roman" w:hAnsi="Times New Roman" w:eastAsia="Times New Roman"/>
          <w:sz w:val="18"/>
        </w:rPr>
      </w:pPr>
      <w:r>
        <w:rPr>
          <w:spacing w:val="-13"/>
          <w:sz w:val="18"/>
        </w:rPr>
        <w:t>每管加入 </w:t>
      </w:r>
      <w:r>
        <w:rPr>
          <w:rFonts w:ascii="Times New Roman" w:hAnsi="Times New Roman" w:eastAsia="Times New Roman"/>
          <w:sz w:val="18"/>
        </w:rPr>
        <w:t>30μl</w:t>
      </w:r>
      <w:r>
        <w:rPr>
          <w:rFonts w:ascii="Times New Roman" w:hAnsi="Times New Roman" w:eastAsia="Times New Roman"/>
          <w:spacing w:val="-5"/>
          <w:sz w:val="18"/>
        </w:rPr>
        <w:t> </w:t>
      </w:r>
      <w:r>
        <w:rPr>
          <w:rFonts w:ascii="Times New Roman" w:hAnsi="Times New Roman" w:eastAsia="Times New Roman"/>
          <w:sz w:val="18"/>
        </w:rPr>
        <w:t>RNA</w:t>
      </w:r>
      <w:r>
        <w:rPr>
          <w:rFonts w:ascii="Times New Roman" w:hAnsi="Times New Roman" w:eastAsia="Times New Roman"/>
          <w:spacing w:val="-6"/>
          <w:sz w:val="18"/>
        </w:rPr>
        <w:t> </w:t>
      </w:r>
      <w:r>
        <w:rPr>
          <w:spacing w:val="-7"/>
          <w:sz w:val="18"/>
        </w:rPr>
        <w:t>洗脱液，将离心管壁上磁珠洗脱到管底，吸打混匀 </w:t>
      </w:r>
      <w:r>
        <w:rPr>
          <w:rFonts w:ascii="Times New Roman" w:hAnsi="Times New Roman" w:eastAsia="Times New Roman"/>
          <w:sz w:val="18"/>
        </w:rPr>
        <w:t>3~4</w:t>
      </w:r>
      <w:r>
        <w:rPr>
          <w:rFonts w:ascii="Times New Roman" w:hAnsi="Times New Roman" w:eastAsia="Times New Roman"/>
          <w:spacing w:val="-7"/>
          <w:sz w:val="18"/>
        </w:rPr>
        <w:t> </w:t>
      </w:r>
      <w:r>
        <w:rPr>
          <w:spacing w:val="-11"/>
          <w:sz w:val="18"/>
        </w:rPr>
        <w:t>次，室温静置 </w:t>
      </w:r>
      <w:r>
        <w:rPr>
          <w:rFonts w:ascii="Times New Roman" w:hAnsi="Times New Roman" w:eastAsia="Times New Roman"/>
          <w:sz w:val="18"/>
        </w:rPr>
        <w:t>5</w:t>
      </w:r>
      <w:r>
        <w:rPr>
          <w:rFonts w:ascii="Times New Roman" w:hAnsi="Times New Roman" w:eastAsia="Times New Roman"/>
          <w:spacing w:val="-2"/>
          <w:sz w:val="18"/>
        </w:rPr>
        <w:t> </w:t>
      </w:r>
      <w:r>
        <w:rPr>
          <w:spacing w:val="-8"/>
          <w:sz w:val="18"/>
        </w:rPr>
        <w:t>分钟后将离心管再次置于分离器上 </w:t>
      </w:r>
      <w:r>
        <w:rPr>
          <w:rFonts w:ascii="Times New Roman" w:hAnsi="Times New Roman" w:eastAsia="Times New Roman"/>
          <w:sz w:val="18"/>
        </w:rPr>
        <w:t>3</w:t>
      </w:r>
    </w:p>
    <w:p>
      <w:pPr>
        <w:pStyle w:val="BodyText"/>
        <w:spacing w:line="199" w:lineRule="exact"/>
        <w:ind w:left="371"/>
      </w:pPr>
      <w:r>
        <w:rPr/>
        <w:t>分钟，然后将洗脱下来的</w:t>
      </w:r>
      <w:r>
        <w:rPr>
          <w:rFonts w:ascii="Times New Roman" w:eastAsia="Times New Roman"/>
        </w:rPr>
        <w:t>RNA </w:t>
      </w:r>
      <w:r>
        <w:rPr/>
        <w:t>放于新的 </w:t>
      </w:r>
      <w:r>
        <w:rPr>
          <w:rFonts w:ascii="Times New Roman" w:eastAsia="Times New Roman"/>
        </w:rPr>
        <w:t>1.5 ml </w:t>
      </w:r>
      <w:r>
        <w:rPr/>
        <w:t>灭菌离心管中；</w:t>
      </w:r>
    </w:p>
    <w:p>
      <w:pPr>
        <w:pStyle w:val="ListParagraph"/>
        <w:numPr>
          <w:ilvl w:val="1"/>
          <w:numId w:val="4"/>
        </w:numPr>
        <w:tabs>
          <w:tab w:pos="412" w:val="left" w:leader="none"/>
        </w:tabs>
        <w:spacing w:line="208" w:lineRule="auto" w:before="8" w:after="0"/>
        <w:ind w:left="371" w:right="108" w:hanging="264"/>
        <w:jc w:val="left"/>
        <w:rPr>
          <w:sz w:val="18"/>
        </w:rPr>
      </w:pPr>
      <w:r>
        <w:rPr/>
        <w:tab/>
      </w:r>
      <w:r>
        <w:rPr>
          <w:spacing w:val="-1"/>
          <w:sz w:val="18"/>
        </w:rPr>
        <w:t>吸取上述已经处理好的</w:t>
      </w:r>
      <w:r>
        <w:rPr>
          <w:rFonts w:ascii="Times New Roman" w:hAnsi="Times New Roman" w:eastAsia="Times New Roman"/>
          <w:sz w:val="18"/>
        </w:rPr>
        <w:t>RNA</w:t>
      </w:r>
      <w:r>
        <w:rPr>
          <w:rFonts w:ascii="Times New Roman" w:hAnsi="Times New Roman" w:eastAsia="Times New Roman"/>
          <w:spacing w:val="-7"/>
          <w:sz w:val="18"/>
        </w:rPr>
        <w:t> </w:t>
      </w:r>
      <w:r>
        <w:rPr>
          <w:spacing w:val="-14"/>
          <w:sz w:val="18"/>
        </w:rPr>
        <w:t>样本</w:t>
      </w:r>
      <w:r>
        <w:rPr>
          <w:spacing w:val="-5"/>
          <w:sz w:val="18"/>
        </w:rPr>
        <w:t>（</w:t>
      </w:r>
      <w:r>
        <w:rPr>
          <w:spacing w:val="-8"/>
          <w:sz w:val="18"/>
        </w:rPr>
        <w:t>包括待测样本、阴阳性对照</w:t>
      </w:r>
      <w:r>
        <w:rPr>
          <w:spacing w:val="-22"/>
          <w:sz w:val="18"/>
        </w:rPr>
        <w:t>）</w:t>
      </w:r>
      <w:r>
        <w:rPr>
          <w:spacing w:val="-27"/>
          <w:sz w:val="18"/>
        </w:rPr>
        <w:t>各 </w:t>
      </w:r>
      <w:r>
        <w:rPr>
          <w:rFonts w:ascii="Times New Roman" w:hAnsi="Times New Roman" w:eastAsia="Times New Roman"/>
          <w:spacing w:val="-8"/>
          <w:sz w:val="18"/>
        </w:rPr>
        <w:t>9μl</w:t>
      </w:r>
      <w:r>
        <w:rPr>
          <w:spacing w:val="-11"/>
          <w:sz w:val="18"/>
        </w:rPr>
        <w:t>，分别转移至扩增八连管，每管加入 </w:t>
      </w:r>
      <w:r>
        <w:rPr>
          <w:rFonts w:ascii="Times New Roman" w:hAnsi="Times New Roman" w:eastAsia="Times New Roman"/>
          <w:sz w:val="18"/>
        </w:rPr>
        <w:t>41μl</w:t>
      </w:r>
      <w:r>
        <w:rPr>
          <w:rFonts w:ascii="Times New Roman" w:hAnsi="Times New Roman" w:eastAsia="Times New Roman"/>
          <w:spacing w:val="-6"/>
          <w:sz w:val="18"/>
        </w:rPr>
        <w:t> </w:t>
      </w:r>
      <w:r>
        <w:rPr>
          <w:rFonts w:ascii="Times New Roman" w:hAnsi="Times New Roman" w:eastAsia="Times New Roman"/>
          <w:sz w:val="18"/>
        </w:rPr>
        <w:t>PCR</w:t>
      </w:r>
      <w:r>
        <w:rPr>
          <w:rFonts w:ascii="Times New Roman" w:hAnsi="Times New Roman" w:eastAsia="Times New Roman"/>
          <w:spacing w:val="-7"/>
          <w:sz w:val="18"/>
        </w:rPr>
        <w:t> </w:t>
      </w:r>
      <w:r>
        <w:rPr>
          <w:spacing w:val="-4"/>
          <w:sz w:val="18"/>
        </w:rPr>
        <w:t>混合液后， </w:t>
      </w:r>
      <w:r>
        <w:rPr>
          <w:spacing w:val="-5"/>
          <w:sz w:val="18"/>
        </w:rPr>
        <w:t>盖上管盖，转移到扩增区。</w:t>
      </w:r>
    </w:p>
    <w:p>
      <w:pPr>
        <w:pStyle w:val="BodyText"/>
        <w:spacing w:line="240" w:lineRule="auto" w:before="9"/>
        <w:ind w:left="0"/>
        <w:rPr>
          <w:sz w:val="13"/>
        </w:rPr>
      </w:pPr>
    </w:p>
    <w:p>
      <w:pPr>
        <w:pStyle w:val="ListParagraph"/>
        <w:numPr>
          <w:ilvl w:val="0"/>
          <w:numId w:val="4"/>
        </w:numPr>
        <w:tabs>
          <w:tab w:pos="280" w:val="left" w:leader="none"/>
        </w:tabs>
        <w:spacing w:line="216" w:lineRule="exact" w:before="0" w:after="0"/>
        <w:ind w:left="280" w:right="0" w:hanging="173"/>
        <w:jc w:val="left"/>
        <w:rPr>
          <w:sz w:val="18"/>
        </w:rPr>
      </w:pPr>
      <w:r>
        <w:rPr>
          <w:rFonts w:ascii="Times New Roman" w:eastAsia="Times New Roman"/>
          <w:b/>
          <w:spacing w:val="-2"/>
          <w:sz w:val="18"/>
        </w:rPr>
        <w:t>P</w:t>
      </w:r>
      <w:r>
        <w:rPr>
          <w:rFonts w:ascii="Times New Roman" w:eastAsia="Times New Roman"/>
          <w:b/>
          <w:spacing w:val="-1"/>
          <w:sz w:val="18"/>
        </w:rPr>
        <w:t>C</w:t>
      </w:r>
      <w:r>
        <w:rPr>
          <w:rFonts w:ascii="Times New Roman" w:eastAsia="Times New Roman"/>
          <w:b/>
          <w:sz w:val="18"/>
        </w:rPr>
        <w:t>R</w:t>
      </w:r>
      <w:r>
        <w:rPr>
          <w:rFonts w:ascii="Times New Roman" w:eastAsia="Times New Roman"/>
          <w:b/>
          <w:spacing w:val="-5"/>
          <w:sz w:val="18"/>
        </w:rPr>
        <w:t>  </w:t>
      </w:r>
      <w:r>
        <w:rPr>
          <w:b/>
          <w:spacing w:val="-4"/>
          <w:w w:val="99"/>
          <w:sz w:val="18"/>
        </w:rPr>
        <w:t>扩增</w:t>
      </w:r>
      <w:r>
        <w:rPr>
          <w:b/>
          <w:spacing w:val="-3"/>
          <w:w w:val="99"/>
          <w:sz w:val="18"/>
        </w:rPr>
        <w:t>（</w:t>
      </w:r>
      <w:r>
        <w:rPr>
          <w:b/>
          <w:spacing w:val="-5"/>
          <w:w w:val="99"/>
          <w:sz w:val="18"/>
        </w:rPr>
        <w:t>在扩增与分析区进行</w:t>
      </w:r>
      <w:r>
        <w:rPr>
          <w:b/>
          <w:spacing w:val="-92"/>
          <w:w w:val="99"/>
          <w:sz w:val="18"/>
        </w:rPr>
        <w:t>）</w:t>
      </w:r>
      <w:r>
        <w:rPr>
          <w:spacing w:val="-5"/>
          <w:sz w:val="18"/>
        </w:rPr>
        <w:t>（请参照各仪器使用说明书进行设置</w:t>
      </w:r>
      <w:r>
        <w:rPr>
          <w:sz w:val="18"/>
        </w:rPr>
        <w:t>）</w:t>
      </w:r>
    </w:p>
    <w:p>
      <w:pPr>
        <w:pStyle w:val="ListParagraph"/>
        <w:numPr>
          <w:ilvl w:val="1"/>
          <w:numId w:val="4"/>
        </w:numPr>
        <w:tabs>
          <w:tab w:pos="415" w:val="left" w:leader="none"/>
        </w:tabs>
        <w:spacing w:line="200" w:lineRule="exact" w:before="0" w:after="0"/>
        <w:ind w:left="414" w:right="0" w:hanging="306"/>
        <w:jc w:val="left"/>
        <w:rPr>
          <w:sz w:val="18"/>
        </w:rPr>
      </w:pPr>
      <w:r>
        <w:rPr>
          <w:spacing w:val="-5"/>
          <w:sz w:val="18"/>
        </w:rPr>
        <w:t>将</w:t>
      </w:r>
      <w:r>
        <w:rPr>
          <w:rFonts w:ascii="Times New Roman" w:eastAsia="Times New Roman"/>
          <w:spacing w:val="-3"/>
          <w:sz w:val="18"/>
        </w:rPr>
        <w:t>PCR</w:t>
      </w:r>
      <w:r>
        <w:rPr>
          <w:spacing w:val="-5"/>
          <w:sz w:val="18"/>
        </w:rPr>
        <w:t>反应管放入扩增仪样品槽，按对应顺序设置阴性对照、阳性对照以及未知样本，并设置样本名称。</w:t>
      </w:r>
    </w:p>
    <w:p>
      <w:pPr>
        <w:pStyle w:val="ListParagraph"/>
        <w:numPr>
          <w:ilvl w:val="1"/>
          <w:numId w:val="4"/>
        </w:numPr>
        <w:tabs>
          <w:tab w:pos="415" w:val="left" w:leader="none"/>
        </w:tabs>
        <w:spacing w:line="199" w:lineRule="exact" w:before="0" w:after="0"/>
        <w:ind w:left="414" w:right="0" w:hanging="306"/>
        <w:jc w:val="left"/>
        <w:rPr>
          <w:rFonts w:ascii="Times New Roman" w:eastAsia="Times New Roman"/>
          <w:b/>
          <w:sz w:val="18"/>
        </w:rPr>
      </w:pPr>
      <w:r>
        <w:rPr>
          <w:spacing w:val="-5"/>
          <w:sz w:val="18"/>
        </w:rPr>
        <w:t>荧光检测通道选择</w:t>
      </w:r>
      <w:r>
        <w:rPr>
          <w:rFonts w:ascii="Times New Roman" w:eastAsia="Times New Roman"/>
          <w:b/>
          <w:sz w:val="18"/>
        </w:rPr>
        <w:t>:</w:t>
      </w:r>
    </w:p>
    <w:p>
      <w:pPr>
        <w:pStyle w:val="BodyText"/>
        <w:ind w:left="375"/>
      </w:pPr>
      <w:r>
        <w:rPr>
          <w:rFonts w:ascii="Times New Roman" w:eastAsia="Times New Roman"/>
        </w:rPr>
        <w:t>ABI</w:t>
      </w:r>
      <w:r>
        <w:rPr/>
        <w:t>、</w:t>
      </w:r>
      <w:r>
        <w:rPr>
          <w:rFonts w:ascii="Times New Roman" w:eastAsia="Times New Roman"/>
        </w:rPr>
        <w:t>Stratagene </w:t>
      </w:r>
      <w:r>
        <w:rPr/>
        <w:t>系列仪器：</w:t>
      </w:r>
    </w:p>
    <w:p>
      <w:pPr>
        <w:pStyle w:val="BodyText"/>
        <w:spacing w:line="206" w:lineRule="auto" w:before="11"/>
        <w:ind w:left="457" w:right="164" w:hanging="5"/>
      </w:pPr>
      <w:r>
        <w:rPr>
          <w:rFonts w:ascii="Times New Roman" w:eastAsia="Times New Roman"/>
          <w:spacing w:val="-2"/>
        </w:rPr>
        <w:t>1</w:t>
      </w:r>
      <w:r>
        <w:rPr>
          <w:spacing w:val="-77"/>
        </w:rPr>
        <w:t>）</w:t>
      </w:r>
      <w:r>
        <w:rPr>
          <w:spacing w:val="-3"/>
        </w:rPr>
        <w:t>选择</w:t>
      </w:r>
      <w:r>
        <w:rPr>
          <w:rFonts w:ascii="Times New Roman" w:eastAsia="Times New Roman"/>
          <w:spacing w:val="-2"/>
        </w:rPr>
        <w:t>F</w:t>
      </w:r>
      <w:r>
        <w:rPr>
          <w:rFonts w:ascii="Times New Roman" w:eastAsia="Times New Roman"/>
          <w:spacing w:val="-3"/>
        </w:rPr>
        <w:t>A</w:t>
      </w:r>
      <w:r>
        <w:rPr>
          <w:rFonts w:ascii="Times New Roman" w:eastAsia="Times New Roman"/>
          <w:spacing w:val="-2"/>
        </w:rPr>
        <w:t>M</w:t>
      </w:r>
      <w:r>
        <w:rPr>
          <w:spacing w:val="-37"/>
        </w:rPr>
        <w:t>通道</w:t>
      </w:r>
      <w:r>
        <w:rPr>
          <w:spacing w:val="-8"/>
        </w:rPr>
        <w:t>（</w:t>
      </w:r>
      <w:r>
        <w:rPr>
          <w:rFonts w:ascii="Times New Roman" w:eastAsia="Times New Roman"/>
          <w:spacing w:val="-3"/>
        </w:rPr>
        <w:t>R</w:t>
      </w:r>
      <w:r>
        <w:rPr>
          <w:rFonts w:ascii="Times New Roman" w:eastAsia="Times New Roman"/>
          <w:spacing w:val="-1"/>
        </w:rPr>
        <w:t>e</w:t>
      </w:r>
      <w:r>
        <w:rPr>
          <w:rFonts w:ascii="Times New Roman" w:eastAsia="Times New Roman"/>
          <w:spacing w:val="-2"/>
        </w:rPr>
        <w:t>po</w:t>
      </w:r>
      <w:r>
        <w:rPr>
          <w:rFonts w:ascii="Times New Roman" w:eastAsia="Times New Roman"/>
          <w:spacing w:val="-3"/>
        </w:rPr>
        <w:t>r</w:t>
      </w:r>
      <w:r>
        <w:rPr>
          <w:rFonts w:ascii="Times New Roman" w:eastAsia="Times New Roman"/>
          <w:spacing w:val="-2"/>
        </w:rPr>
        <w:t>t</w:t>
      </w:r>
      <w:r>
        <w:rPr>
          <w:rFonts w:ascii="Times New Roman" w:eastAsia="Times New Roman"/>
          <w:spacing w:val="-4"/>
        </w:rPr>
        <w:t>e</w:t>
      </w:r>
      <w:r>
        <w:rPr>
          <w:rFonts w:ascii="Times New Roman" w:eastAsia="Times New Roman"/>
          <w:spacing w:val="-5"/>
        </w:rPr>
        <w:t>r</w:t>
      </w:r>
      <w:r>
        <w:rPr>
          <w:rFonts w:ascii="Times New Roman" w:eastAsia="Times New Roman"/>
          <w:b/>
          <w:spacing w:val="-1"/>
        </w:rPr>
        <w:t>: </w:t>
      </w:r>
      <w:r>
        <w:rPr>
          <w:rFonts w:ascii="Times New Roman" w:eastAsia="Times New Roman"/>
          <w:spacing w:val="-2"/>
        </w:rPr>
        <w:t>F</w:t>
      </w:r>
      <w:r>
        <w:rPr>
          <w:rFonts w:ascii="Times New Roman" w:eastAsia="Times New Roman"/>
          <w:spacing w:val="-3"/>
        </w:rPr>
        <w:t>A</w:t>
      </w:r>
      <w:r>
        <w:rPr>
          <w:rFonts w:ascii="Times New Roman" w:eastAsia="Times New Roman"/>
        </w:rPr>
        <w:t>M, </w:t>
      </w:r>
      <w:r>
        <w:rPr>
          <w:rFonts w:ascii="Times New Roman" w:eastAsia="Times New Roman"/>
          <w:spacing w:val="-1"/>
        </w:rPr>
        <w:t>Q</w:t>
      </w:r>
      <w:r>
        <w:rPr>
          <w:rFonts w:ascii="Times New Roman" w:eastAsia="Times New Roman"/>
          <w:spacing w:val="-2"/>
        </w:rPr>
        <w:t>u</w:t>
      </w:r>
      <w:r>
        <w:rPr>
          <w:rFonts w:ascii="Times New Roman" w:eastAsia="Times New Roman"/>
          <w:spacing w:val="-4"/>
        </w:rPr>
        <w:t>e</w:t>
      </w:r>
      <w:r>
        <w:rPr>
          <w:rFonts w:ascii="Times New Roman" w:eastAsia="Times New Roman"/>
          <w:spacing w:val="-2"/>
        </w:rPr>
        <w:t>n</w:t>
      </w:r>
      <w:r>
        <w:rPr>
          <w:rFonts w:ascii="Times New Roman" w:eastAsia="Times New Roman"/>
          <w:spacing w:val="-4"/>
        </w:rPr>
        <w:t>c</w:t>
      </w:r>
      <w:r>
        <w:rPr>
          <w:rFonts w:ascii="Times New Roman" w:eastAsia="Times New Roman"/>
          <w:spacing w:val="-2"/>
        </w:rPr>
        <w:t>h</w:t>
      </w:r>
      <w:r>
        <w:rPr>
          <w:rFonts w:ascii="Times New Roman" w:eastAsia="Times New Roman"/>
          <w:spacing w:val="-4"/>
        </w:rPr>
        <w:t>e</w:t>
      </w:r>
      <w:r>
        <w:rPr>
          <w:rFonts w:ascii="Times New Roman" w:eastAsia="Times New Roman"/>
          <w:spacing w:val="-3"/>
        </w:rPr>
        <w:t>r</w:t>
      </w:r>
      <w:r>
        <w:rPr>
          <w:rFonts w:ascii="Times New Roman" w:eastAsia="Times New Roman"/>
          <w:b/>
          <w:spacing w:val="-1"/>
        </w:rPr>
        <w:t>: </w:t>
      </w:r>
      <w:r>
        <w:rPr>
          <w:rFonts w:ascii="Times New Roman" w:eastAsia="Times New Roman"/>
          <w:spacing w:val="-2"/>
        </w:rPr>
        <w:t>non</w:t>
      </w:r>
      <w:r>
        <w:rPr>
          <w:rFonts w:ascii="Times New Roman" w:eastAsia="Times New Roman"/>
          <w:spacing w:val="-4"/>
        </w:rPr>
        <w:t>e</w:t>
      </w:r>
      <w:r>
        <w:rPr>
          <w:spacing w:val="-77"/>
        </w:rPr>
        <w:t>）</w:t>
      </w:r>
      <w:r>
        <w:rPr>
          <w:spacing w:val="-5"/>
        </w:rPr>
        <w:t>检测甲型流感病毒 </w:t>
      </w:r>
      <w:r>
        <w:rPr>
          <w:rFonts w:ascii="Times New Roman" w:eastAsia="Times New Roman"/>
          <w:spacing w:val="-3"/>
        </w:rPr>
        <w:t>R</w:t>
      </w:r>
      <w:r>
        <w:rPr>
          <w:rFonts w:ascii="Times New Roman" w:eastAsia="Times New Roman"/>
          <w:spacing w:val="-1"/>
        </w:rPr>
        <w:t>N</w:t>
      </w:r>
      <w:r>
        <w:rPr>
          <w:rFonts w:ascii="Times New Roman" w:eastAsia="Times New Roman"/>
          <w:spacing w:val="-3"/>
        </w:rPr>
        <w:t>A</w:t>
      </w:r>
      <w:r>
        <w:rPr>
          <w:spacing w:val="-75"/>
        </w:rPr>
        <w:t>；</w:t>
      </w:r>
      <w:r>
        <w:rPr>
          <w:rFonts w:ascii="Times New Roman" w:eastAsia="Times New Roman"/>
          <w:spacing w:val="-2"/>
        </w:rPr>
        <w:t>2</w:t>
      </w:r>
      <w:r>
        <w:rPr>
          <w:spacing w:val="-77"/>
        </w:rPr>
        <w:t>）</w:t>
      </w:r>
      <w:r>
        <w:rPr>
          <w:spacing w:val="-3"/>
        </w:rPr>
        <w:t>选择</w:t>
      </w:r>
      <w:r>
        <w:rPr>
          <w:rFonts w:ascii="Times New Roman" w:eastAsia="Times New Roman"/>
          <w:spacing w:val="-3"/>
        </w:rPr>
        <w:t>H</w:t>
      </w:r>
      <w:r>
        <w:rPr>
          <w:rFonts w:ascii="Times New Roman" w:eastAsia="Times New Roman"/>
          <w:spacing w:val="-2"/>
        </w:rPr>
        <w:t>E</w:t>
      </w:r>
      <w:r>
        <w:rPr>
          <w:rFonts w:ascii="Times New Roman" w:eastAsia="Times New Roman"/>
          <w:spacing w:val="-3"/>
        </w:rPr>
        <w:t>X</w:t>
      </w:r>
      <w:r>
        <w:rPr>
          <w:rFonts w:ascii="Times New Roman" w:eastAsia="Times New Roman"/>
        </w:rPr>
        <w:t>/</w:t>
      </w:r>
      <w:r>
        <w:rPr>
          <w:rFonts w:ascii="Times New Roman" w:eastAsia="Times New Roman"/>
          <w:spacing w:val="-1"/>
        </w:rPr>
        <w:t>V</w:t>
      </w:r>
      <w:r>
        <w:rPr>
          <w:rFonts w:ascii="Times New Roman" w:eastAsia="Times New Roman"/>
          <w:spacing w:val="-3"/>
        </w:rPr>
        <w:t>I</w:t>
      </w:r>
      <w:r>
        <w:rPr>
          <w:rFonts w:ascii="Times New Roman" w:eastAsia="Times New Roman"/>
          <w:spacing w:val="-5"/>
        </w:rPr>
        <w:t>C</w:t>
      </w:r>
      <w:r>
        <w:rPr>
          <w:spacing w:val="-38"/>
        </w:rPr>
        <w:t>通道</w:t>
      </w:r>
      <w:r>
        <w:rPr>
          <w:spacing w:val="-5"/>
        </w:rPr>
        <w:t>（</w:t>
      </w:r>
      <w:r>
        <w:rPr>
          <w:rFonts w:ascii="Times New Roman" w:eastAsia="Times New Roman"/>
          <w:spacing w:val="-3"/>
        </w:rPr>
        <w:t>R</w:t>
      </w:r>
      <w:r>
        <w:rPr>
          <w:rFonts w:ascii="Times New Roman" w:eastAsia="Times New Roman"/>
          <w:spacing w:val="-1"/>
        </w:rPr>
        <w:t>e</w:t>
      </w:r>
      <w:r>
        <w:rPr>
          <w:rFonts w:ascii="Times New Roman" w:eastAsia="Times New Roman"/>
          <w:spacing w:val="-2"/>
        </w:rPr>
        <w:t>po</w:t>
      </w:r>
      <w:r>
        <w:rPr>
          <w:rFonts w:ascii="Times New Roman" w:eastAsia="Times New Roman"/>
          <w:spacing w:val="-3"/>
        </w:rPr>
        <w:t>r</w:t>
      </w:r>
      <w:r>
        <w:rPr>
          <w:rFonts w:ascii="Times New Roman" w:eastAsia="Times New Roman"/>
          <w:spacing w:val="-2"/>
        </w:rPr>
        <w:t>t</w:t>
      </w:r>
      <w:r>
        <w:rPr>
          <w:rFonts w:ascii="Times New Roman" w:eastAsia="Times New Roman"/>
          <w:spacing w:val="-4"/>
        </w:rPr>
        <w:t>e</w:t>
      </w:r>
      <w:r>
        <w:rPr>
          <w:rFonts w:ascii="Times New Roman" w:eastAsia="Times New Roman"/>
          <w:spacing w:val="-3"/>
        </w:rPr>
        <w:t>r</w:t>
      </w:r>
      <w:r>
        <w:rPr>
          <w:rFonts w:ascii="Times New Roman" w:eastAsia="Times New Roman"/>
          <w:spacing w:val="6"/>
        </w:rPr>
        <w:t>: </w:t>
      </w:r>
      <w:r>
        <w:rPr>
          <w:rFonts w:ascii="Times New Roman" w:eastAsia="Times New Roman"/>
          <w:spacing w:val="-1"/>
        </w:rPr>
        <w:t>H</w:t>
      </w:r>
      <w:r>
        <w:rPr>
          <w:rFonts w:ascii="Times New Roman" w:eastAsia="Times New Roman"/>
          <w:spacing w:val="-2"/>
        </w:rPr>
        <w:t>E</w:t>
      </w:r>
      <w:r>
        <w:rPr>
          <w:rFonts w:ascii="Times New Roman" w:eastAsia="Times New Roman"/>
          <w:spacing w:val="-1"/>
        </w:rPr>
        <w:t>X</w:t>
      </w:r>
      <w:r>
        <w:rPr>
          <w:rFonts w:ascii="Times New Roman" w:eastAsia="Times New Roman"/>
          <w:spacing w:val="-2"/>
        </w:rPr>
        <w:t>/</w:t>
      </w:r>
      <w:r>
        <w:rPr>
          <w:rFonts w:ascii="Times New Roman" w:eastAsia="Times New Roman"/>
          <w:spacing w:val="-3"/>
        </w:rPr>
        <w:t>VIC, </w:t>
      </w:r>
      <w:r>
        <w:rPr>
          <w:rFonts w:ascii="Times New Roman" w:eastAsia="Times New Roman"/>
          <w:spacing w:val="-1"/>
        </w:rPr>
        <w:t>Q</w:t>
      </w:r>
      <w:r>
        <w:rPr>
          <w:rFonts w:ascii="Times New Roman" w:eastAsia="Times New Roman"/>
          <w:spacing w:val="-2"/>
        </w:rPr>
        <w:t>u</w:t>
      </w:r>
      <w:r>
        <w:rPr>
          <w:rFonts w:ascii="Times New Roman" w:eastAsia="Times New Roman"/>
          <w:spacing w:val="-4"/>
        </w:rPr>
        <w:t>e</w:t>
      </w:r>
      <w:r>
        <w:rPr>
          <w:rFonts w:ascii="Times New Roman" w:eastAsia="Times New Roman"/>
          <w:spacing w:val="-2"/>
        </w:rPr>
        <w:t>n</w:t>
      </w:r>
      <w:r>
        <w:rPr>
          <w:rFonts w:ascii="Times New Roman" w:eastAsia="Times New Roman"/>
          <w:spacing w:val="-4"/>
        </w:rPr>
        <w:t>c</w:t>
      </w:r>
      <w:r>
        <w:rPr>
          <w:rFonts w:ascii="Times New Roman" w:eastAsia="Times New Roman"/>
          <w:spacing w:val="-2"/>
        </w:rPr>
        <w:t>h</w:t>
      </w:r>
      <w:r>
        <w:rPr>
          <w:rFonts w:ascii="Times New Roman" w:eastAsia="Times New Roman"/>
          <w:spacing w:val="-4"/>
        </w:rPr>
        <w:t>e</w:t>
      </w:r>
      <w:r>
        <w:rPr>
          <w:rFonts w:ascii="Times New Roman" w:eastAsia="Times New Roman"/>
          <w:spacing w:val="-3"/>
        </w:rPr>
        <w:t>r</w:t>
      </w:r>
      <w:r>
        <w:rPr>
          <w:rFonts w:ascii="Times New Roman" w:eastAsia="Times New Roman"/>
          <w:b/>
        </w:rPr>
        <w:t>; </w:t>
      </w:r>
      <w:r>
        <w:rPr>
          <w:rFonts w:ascii="Times New Roman" w:eastAsia="Times New Roman"/>
          <w:spacing w:val="-4"/>
        </w:rPr>
        <w:t>none</w:t>
      </w:r>
      <w:r>
        <w:rPr>
          <w:spacing w:val="-4"/>
        </w:rPr>
        <w:t>）</w:t>
      </w:r>
      <w:r>
        <w:rPr>
          <w:spacing w:val="-5"/>
        </w:rPr>
        <w:t>检测甲型流感病毒的内标。</w:t>
      </w:r>
      <w:r>
        <w:rPr>
          <w:rFonts w:ascii="Times New Roman" w:eastAsia="Times New Roman"/>
          <w:spacing w:val="-4"/>
        </w:rPr>
        <w:t>3</w:t>
      </w:r>
      <w:r>
        <w:rPr>
          <w:spacing w:val="-4"/>
        </w:rPr>
        <w:t>）</w:t>
      </w:r>
      <w:r>
        <w:rPr>
          <w:spacing w:val="-5"/>
        </w:rPr>
        <w:t>参比荧光</w:t>
      </w:r>
      <w:r>
        <w:rPr>
          <w:rFonts w:ascii="Times New Roman" w:eastAsia="Times New Roman"/>
          <w:spacing w:val="-3"/>
        </w:rPr>
        <w:t>(Reference Dye)</w:t>
      </w:r>
      <w:r>
        <w:rPr>
          <w:spacing w:val="-4"/>
        </w:rPr>
        <w:t>：选择</w:t>
      </w:r>
      <w:r>
        <w:rPr>
          <w:rFonts w:ascii="Times New Roman" w:eastAsia="Times New Roman"/>
          <w:spacing w:val="-3"/>
        </w:rPr>
        <w:t>ROX</w:t>
      </w:r>
      <w:r>
        <w:rPr>
          <w:spacing w:val="-5"/>
        </w:rPr>
        <w:t>。设置</w:t>
      </w:r>
      <w:r>
        <w:rPr>
          <w:rFonts w:ascii="Times New Roman" w:eastAsia="Times New Roman"/>
        </w:rPr>
        <w:t>Sample </w:t>
      </w:r>
      <w:r>
        <w:rPr>
          <w:rFonts w:ascii="Times New Roman" w:eastAsia="Times New Roman"/>
          <w:spacing w:val="-3"/>
        </w:rPr>
        <w:t>Volume</w:t>
      </w:r>
      <w:r>
        <w:rPr>
          <w:spacing w:val="-5"/>
        </w:rPr>
        <w:t>为</w:t>
      </w:r>
      <w:r>
        <w:rPr>
          <w:rFonts w:ascii="Times New Roman" w:eastAsia="Times New Roman"/>
        </w:rPr>
        <w:t>50</w:t>
      </w:r>
      <w:r>
        <w:rPr/>
        <w:t>。</w:t>
      </w:r>
    </w:p>
    <w:p>
      <w:pPr>
        <w:pStyle w:val="ListParagraph"/>
        <w:numPr>
          <w:ilvl w:val="1"/>
          <w:numId w:val="4"/>
        </w:numPr>
        <w:tabs>
          <w:tab w:pos="412" w:val="left" w:leader="none"/>
        </w:tabs>
        <w:spacing w:line="193" w:lineRule="exact" w:before="0" w:after="0"/>
        <w:ind w:left="412" w:right="0" w:hanging="305"/>
        <w:jc w:val="left"/>
        <w:rPr>
          <w:sz w:val="18"/>
        </w:rPr>
      </w:pPr>
      <w:r>
        <w:rPr>
          <w:spacing w:val="-5"/>
          <w:sz w:val="18"/>
        </w:rPr>
        <w:t>循环参数设定：</w:t>
      </w:r>
    </w:p>
    <w:p>
      <w:pPr>
        <w:pStyle w:val="BodyText"/>
        <w:spacing w:line="216" w:lineRule="exact"/>
        <w:ind w:left="375"/>
      </w:pPr>
      <w:r>
        <w:rPr>
          <w:rFonts w:ascii="Times New Roman" w:eastAsia="Times New Roman"/>
        </w:rPr>
        <w:t>ABI</w:t>
      </w:r>
      <w:r>
        <w:rPr/>
        <w:t>、</w:t>
      </w:r>
      <w:r>
        <w:rPr>
          <w:rFonts w:ascii="Times New Roman" w:eastAsia="Times New Roman"/>
        </w:rPr>
        <w:t>Stratagene </w:t>
      </w:r>
      <w:r>
        <w:rPr/>
        <w:t>仪器参数设定</w:t>
      </w:r>
    </w:p>
    <w:tbl>
      <w:tblPr>
        <w:tblW w:w="0" w:type="auto"/>
        <w:jc w:val="left"/>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9"/>
        <w:gridCol w:w="2833"/>
        <w:gridCol w:w="898"/>
        <w:gridCol w:w="1116"/>
        <w:gridCol w:w="1440"/>
      </w:tblGrid>
      <w:tr>
        <w:trPr>
          <w:trHeight w:val="200" w:hRule="atLeast"/>
        </w:trPr>
        <w:tc>
          <w:tcPr>
            <w:tcW w:w="3372" w:type="dxa"/>
            <w:gridSpan w:val="2"/>
          </w:tcPr>
          <w:p>
            <w:pPr>
              <w:pStyle w:val="TableParagraph"/>
              <w:spacing w:line="180" w:lineRule="exact"/>
              <w:ind w:left="1486" w:right="1476"/>
              <w:rPr>
                <w:rFonts w:ascii="宋体" w:eastAsia="宋体" w:hint="eastAsia"/>
                <w:sz w:val="18"/>
              </w:rPr>
            </w:pPr>
            <w:r>
              <w:rPr>
                <w:rFonts w:ascii="宋体" w:eastAsia="宋体" w:hint="eastAsia"/>
                <w:sz w:val="18"/>
              </w:rPr>
              <w:t>步骤</w:t>
            </w:r>
          </w:p>
        </w:tc>
        <w:tc>
          <w:tcPr>
            <w:tcW w:w="898" w:type="dxa"/>
          </w:tcPr>
          <w:p>
            <w:pPr>
              <w:pStyle w:val="TableParagraph"/>
              <w:spacing w:line="180" w:lineRule="exact"/>
              <w:ind w:left="272"/>
              <w:jc w:val="left"/>
              <w:rPr>
                <w:rFonts w:ascii="宋体" w:eastAsia="宋体" w:hint="eastAsia"/>
                <w:sz w:val="18"/>
              </w:rPr>
            </w:pPr>
            <w:r>
              <w:rPr>
                <w:rFonts w:ascii="宋体" w:eastAsia="宋体" w:hint="eastAsia"/>
                <w:sz w:val="18"/>
              </w:rPr>
              <w:t>温度</w:t>
            </w:r>
          </w:p>
        </w:tc>
        <w:tc>
          <w:tcPr>
            <w:tcW w:w="1116" w:type="dxa"/>
          </w:tcPr>
          <w:p>
            <w:pPr>
              <w:pStyle w:val="TableParagraph"/>
              <w:spacing w:line="180" w:lineRule="exact"/>
              <w:ind w:left="382"/>
              <w:jc w:val="left"/>
              <w:rPr>
                <w:rFonts w:ascii="宋体" w:eastAsia="宋体" w:hint="eastAsia"/>
                <w:sz w:val="18"/>
              </w:rPr>
            </w:pPr>
            <w:r>
              <w:rPr>
                <w:rFonts w:ascii="宋体" w:eastAsia="宋体" w:hint="eastAsia"/>
                <w:sz w:val="18"/>
              </w:rPr>
              <w:t>时间</w:t>
            </w:r>
          </w:p>
        </w:tc>
        <w:tc>
          <w:tcPr>
            <w:tcW w:w="1440" w:type="dxa"/>
          </w:tcPr>
          <w:p>
            <w:pPr>
              <w:pStyle w:val="TableParagraph"/>
              <w:spacing w:line="180" w:lineRule="exact"/>
              <w:ind w:left="430" w:right="419"/>
              <w:rPr>
                <w:rFonts w:ascii="宋体" w:eastAsia="宋体" w:hint="eastAsia"/>
                <w:sz w:val="18"/>
              </w:rPr>
            </w:pPr>
            <w:r>
              <w:rPr>
                <w:rFonts w:ascii="宋体" w:eastAsia="宋体" w:hint="eastAsia"/>
                <w:sz w:val="18"/>
              </w:rPr>
              <w:t>循环数</w:t>
            </w:r>
          </w:p>
        </w:tc>
      </w:tr>
      <w:tr>
        <w:trPr>
          <w:trHeight w:val="200" w:hRule="atLeast"/>
        </w:trPr>
        <w:tc>
          <w:tcPr>
            <w:tcW w:w="539" w:type="dxa"/>
          </w:tcPr>
          <w:p>
            <w:pPr>
              <w:pStyle w:val="TableParagraph"/>
              <w:spacing w:line="180" w:lineRule="exact"/>
              <w:ind w:left="10"/>
              <w:rPr>
                <w:sz w:val="18"/>
              </w:rPr>
            </w:pPr>
            <w:r>
              <w:rPr>
                <w:sz w:val="18"/>
              </w:rPr>
              <w:t>1</w:t>
            </w:r>
          </w:p>
        </w:tc>
        <w:tc>
          <w:tcPr>
            <w:tcW w:w="2833" w:type="dxa"/>
          </w:tcPr>
          <w:p>
            <w:pPr>
              <w:pStyle w:val="TableParagraph"/>
              <w:spacing w:line="180" w:lineRule="exact"/>
              <w:ind w:left="497" w:right="486"/>
              <w:rPr>
                <w:rFonts w:ascii="宋体" w:eastAsia="宋体" w:hint="eastAsia"/>
                <w:sz w:val="18"/>
              </w:rPr>
            </w:pPr>
            <w:r>
              <w:rPr>
                <w:rFonts w:ascii="宋体" w:eastAsia="宋体" w:hint="eastAsia"/>
                <w:sz w:val="18"/>
              </w:rPr>
              <w:t>预变性和酶激活</w:t>
            </w:r>
          </w:p>
        </w:tc>
        <w:tc>
          <w:tcPr>
            <w:tcW w:w="898" w:type="dxa"/>
          </w:tcPr>
          <w:p>
            <w:pPr>
              <w:pStyle w:val="TableParagraph"/>
              <w:spacing w:line="180" w:lineRule="exact"/>
              <w:ind w:left="272"/>
              <w:jc w:val="left"/>
              <w:rPr>
                <w:rFonts w:ascii="宋体" w:hAnsi="宋体"/>
                <w:sz w:val="18"/>
              </w:rPr>
            </w:pPr>
            <w:r>
              <w:rPr>
                <w:sz w:val="18"/>
              </w:rPr>
              <w:t>95</w:t>
            </w:r>
            <w:r>
              <w:rPr>
                <w:rFonts w:ascii="宋体" w:hAnsi="宋体"/>
                <w:sz w:val="18"/>
              </w:rPr>
              <w:t>℃</w:t>
            </w:r>
          </w:p>
        </w:tc>
        <w:tc>
          <w:tcPr>
            <w:tcW w:w="1116" w:type="dxa"/>
          </w:tcPr>
          <w:p>
            <w:pPr>
              <w:pStyle w:val="TableParagraph"/>
              <w:spacing w:line="180" w:lineRule="exact"/>
              <w:ind w:left="315"/>
              <w:jc w:val="left"/>
              <w:rPr>
                <w:rFonts w:ascii="宋体" w:eastAsia="宋体" w:hint="eastAsia"/>
                <w:sz w:val="18"/>
              </w:rPr>
            </w:pPr>
            <w:r>
              <w:rPr>
                <w:sz w:val="18"/>
              </w:rPr>
              <w:t>1 </w:t>
            </w:r>
            <w:r>
              <w:rPr>
                <w:rFonts w:ascii="宋体" w:eastAsia="宋体" w:hint="eastAsia"/>
                <w:sz w:val="18"/>
              </w:rPr>
              <w:t>分钟</w:t>
            </w:r>
          </w:p>
        </w:tc>
        <w:tc>
          <w:tcPr>
            <w:tcW w:w="1440" w:type="dxa"/>
          </w:tcPr>
          <w:p>
            <w:pPr>
              <w:pStyle w:val="TableParagraph"/>
              <w:spacing w:line="180" w:lineRule="exact"/>
              <w:ind w:left="10"/>
              <w:rPr>
                <w:sz w:val="18"/>
              </w:rPr>
            </w:pPr>
            <w:r>
              <w:rPr>
                <w:sz w:val="18"/>
              </w:rPr>
              <w:t>1</w:t>
            </w:r>
          </w:p>
        </w:tc>
      </w:tr>
      <w:tr>
        <w:trPr>
          <w:trHeight w:val="200" w:hRule="atLeast"/>
        </w:trPr>
        <w:tc>
          <w:tcPr>
            <w:tcW w:w="539" w:type="dxa"/>
          </w:tcPr>
          <w:p>
            <w:pPr>
              <w:pStyle w:val="TableParagraph"/>
              <w:spacing w:line="180" w:lineRule="exact"/>
              <w:ind w:left="10"/>
              <w:rPr>
                <w:sz w:val="18"/>
              </w:rPr>
            </w:pPr>
            <w:r>
              <w:rPr>
                <w:sz w:val="18"/>
              </w:rPr>
              <w:t>2</w:t>
            </w:r>
          </w:p>
        </w:tc>
        <w:tc>
          <w:tcPr>
            <w:tcW w:w="2833" w:type="dxa"/>
          </w:tcPr>
          <w:p>
            <w:pPr>
              <w:pStyle w:val="TableParagraph"/>
              <w:spacing w:line="180" w:lineRule="exact"/>
              <w:ind w:left="497" w:right="484"/>
              <w:rPr>
                <w:rFonts w:ascii="宋体" w:eastAsia="宋体" w:hint="eastAsia"/>
                <w:sz w:val="18"/>
              </w:rPr>
            </w:pPr>
            <w:r>
              <w:rPr>
                <w:rFonts w:ascii="宋体" w:eastAsia="宋体" w:hint="eastAsia"/>
                <w:sz w:val="18"/>
              </w:rPr>
              <w:t>逆转录</w:t>
            </w:r>
          </w:p>
        </w:tc>
        <w:tc>
          <w:tcPr>
            <w:tcW w:w="898" w:type="dxa"/>
          </w:tcPr>
          <w:p>
            <w:pPr>
              <w:pStyle w:val="TableParagraph"/>
              <w:spacing w:line="180" w:lineRule="exact"/>
              <w:ind w:left="272"/>
              <w:jc w:val="left"/>
              <w:rPr>
                <w:rFonts w:ascii="宋体" w:hAnsi="宋体"/>
                <w:sz w:val="18"/>
              </w:rPr>
            </w:pPr>
            <w:r>
              <w:rPr>
                <w:sz w:val="18"/>
              </w:rPr>
              <w:t>60</w:t>
            </w:r>
            <w:r>
              <w:rPr>
                <w:rFonts w:ascii="宋体" w:hAnsi="宋体"/>
                <w:sz w:val="18"/>
              </w:rPr>
              <w:t>℃</w:t>
            </w:r>
          </w:p>
        </w:tc>
        <w:tc>
          <w:tcPr>
            <w:tcW w:w="1116" w:type="dxa"/>
          </w:tcPr>
          <w:p>
            <w:pPr>
              <w:pStyle w:val="TableParagraph"/>
              <w:spacing w:line="180" w:lineRule="exact"/>
              <w:ind w:left="272"/>
              <w:jc w:val="left"/>
              <w:rPr>
                <w:rFonts w:ascii="宋体" w:eastAsia="宋体" w:hint="eastAsia"/>
                <w:sz w:val="18"/>
              </w:rPr>
            </w:pPr>
            <w:r>
              <w:rPr>
                <w:sz w:val="18"/>
              </w:rPr>
              <w:t>30 </w:t>
            </w:r>
            <w:r>
              <w:rPr>
                <w:rFonts w:ascii="宋体" w:eastAsia="宋体" w:hint="eastAsia"/>
                <w:sz w:val="18"/>
              </w:rPr>
              <w:t>分钟</w:t>
            </w:r>
          </w:p>
        </w:tc>
        <w:tc>
          <w:tcPr>
            <w:tcW w:w="1440" w:type="dxa"/>
          </w:tcPr>
          <w:p>
            <w:pPr>
              <w:pStyle w:val="TableParagraph"/>
              <w:spacing w:line="180" w:lineRule="exact"/>
              <w:ind w:left="10"/>
              <w:rPr>
                <w:sz w:val="18"/>
              </w:rPr>
            </w:pPr>
            <w:r>
              <w:rPr>
                <w:sz w:val="18"/>
              </w:rPr>
              <w:t>1</w:t>
            </w:r>
          </w:p>
        </w:tc>
      </w:tr>
      <w:tr>
        <w:trPr>
          <w:trHeight w:val="200" w:hRule="atLeast"/>
        </w:trPr>
        <w:tc>
          <w:tcPr>
            <w:tcW w:w="539" w:type="dxa"/>
          </w:tcPr>
          <w:p>
            <w:pPr>
              <w:pStyle w:val="TableParagraph"/>
              <w:spacing w:line="180" w:lineRule="exact"/>
              <w:ind w:left="10"/>
              <w:rPr>
                <w:sz w:val="18"/>
              </w:rPr>
            </w:pPr>
            <w:r>
              <w:rPr>
                <w:sz w:val="18"/>
              </w:rPr>
              <w:t>3</w:t>
            </w:r>
          </w:p>
        </w:tc>
        <w:tc>
          <w:tcPr>
            <w:tcW w:w="2833" w:type="dxa"/>
          </w:tcPr>
          <w:p>
            <w:pPr>
              <w:pStyle w:val="TableParagraph"/>
              <w:spacing w:line="180" w:lineRule="exact"/>
              <w:ind w:left="497" w:right="481"/>
              <w:rPr>
                <w:rFonts w:ascii="宋体" w:eastAsia="宋体" w:hint="eastAsia"/>
                <w:sz w:val="18"/>
              </w:rPr>
            </w:pPr>
            <w:r>
              <w:rPr>
                <w:sz w:val="18"/>
              </w:rPr>
              <w:t>cDNA </w:t>
            </w:r>
            <w:r>
              <w:rPr>
                <w:rFonts w:ascii="宋体" w:eastAsia="宋体" w:hint="eastAsia"/>
                <w:sz w:val="18"/>
              </w:rPr>
              <w:t>预变性</w:t>
            </w:r>
          </w:p>
        </w:tc>
        <w:tc>
          <w:tcPr>
            <w:tcW w:w="898" w:type="dxa"/>
          </w:tcPr>
          <w:p>
            <w:pPr>
              <w:pStyle w:val="TableParagraph"/>
              <w:spacing w:line="180" w:lineRule="exact"/>
              <w:ind w:left="272"/>
              <w:jc w:val="left"/>
              <w:rPr>
                <w:rFonts w:ascii="宋体" w:hAnsi="宋体"/>
                <w:sz w:val="18"/>
              </w:rPr>
            </w:pPr>
            <w:r>
              <w:rPr>
                <w:sz w:val="18"/>
              </w:rPr>
              <w:t>95</w:t>
            </w:r>
            <w:r>
              <w:rPr>
                <w:rFonts w:ascii="宋体" w:hAnsi="宋体"/>
                <w:sz w:val="18"/>
              </w:rPr>
              <w:t>℃</w:t>
            </w:r>
          </w:p>
        </w:tc>
        <w:tc>
          <w:tcPr>
            <w:tcW w:w="1116" w:type="dxa"/>
          </w:tcPr>
          <w:p>
            <w:pPr>
              <w:pStyle w:val="TableParagraph"/>
              <w:spacing w:line="180" w:lineRule="exact"/>
              <w:ind w:left="315"/>
              <w:jc w:val="left"/>
              <w:rPr>
                <w:rFonts w:ascii="宋体" w:eastAsia="宋体" w:hint="eastAsia"/>
                <w:sz w:val="18"/>
              </w:rPr>
            </w:pPr>
            <w:r>
              <w:rPr>
                <w:sz w:val="18"/>
              </w:rPr>
              <w:t>1 </w:t>
            </w:r>
            <w:r>
              <w:rPr>
                <w:rFonts w:ascii="宋体" w:eastAsia="宋体" w:hint="eastAsia"/>
                <w:sz w:val="18"/>
              </w:rPr>
              <w:t>分钟</w:t>
            </w:r>
          </w:p>
        </w:tc>
        <w:tc>
          <w:tcPr>
            <w:tcW w:w="1440" w:type="dxa"/>
          </w:tcPr>
          <w:p>
            <w:pPr>
              <w:pStyle w:val="TableParagraph"/>
              <w:spacing w:line="180" w:lineRule="exact"/>
              <w:ind w:left="10"/>
              <w:rPr>
                <w:sz w:val="18"/>
              </w:rPr>
            </w:pPr>
            <w:r>
              <w:rPr>
                <w:sz w:val="18"/>
              </w:rPr>
              <w:t>1</w:t>
            </w:r>
          </w:p>
        </w:tc>
      </w:tr>
      <w:tr>
        <w:trPr>
          <w:trHeight w:val="200" w:hRule="atLeast"/>
        </w:trPr>
        <w:tc>
          <w:tcPr>
            <w:tcW w:w="539" w:type="dxa"/>
            <w:vMerge w:val="restart"/>
          </w:tcPr>
          <w:p>
            <w:pPr>
              <w:pStyle w:val="TableParagraph"/>
              <w:spacing w:before="86"/>
              <w:ind w:left="10"/>
              <w:rPr>
                <w:sz w:val="18"/>
              </w:rPr>
            </w:pPr>
            <w:r>
              <w:rPr>
                <w:sz w:val="18"/>
              </w:rPr>
              <w:t>4</w:t>
            </w:r>
          </w:p>
        </w:tc>
        <w:tc>
          <w:tcPr>
            <w:tcW w:w="2833" w:type="dxa"/>
          </w:tcPr>
          <w:p>
            <w:pPr>
              <w:pStyle w:val="TableParagraph"/>
              <w:spacing w:line="180" w:lineRule="exact"/>
              <w:ind w:left="497" w:right="484"/>
              <w:rPr>
                <w:rFonts w:ascii="宋体" w:eastAsia="宋体" w:hint="eastAsia"/>
                <w:sz w:val="18"/>
              </w:rPr>
            </w:pPr>
            <w:r>
              <w:rPr>
                <w:rFonts w:ascii="宋体" w:eastAsia="宋体" w:hint="eastAsia"/>
                <w:sz w:val="18"/>
              </w:rPr>
              <w:t>变性</w:t>
            </w:r>
          </w:p>
        </w:tc>
        <w:tc>
          <w:tcPr>
            <w:tcW w:w="898" w:type="dxa"/>
          </w:tcPr>
          <w:p>
            <w:pPr>
              <w:pStyle w:val="TableParagraph"/>
              <w:spacing w:line="180" w:lineRule="exact"/>
              <w:ind w:left="272"/>
              <w:jc w:val="left"/>
              <w:rPr>
                <w:rFonts w:ascii="宋体" w:hAnsi="宋体"/>
                <w:sz w:val="18"/>
              </w:rPr>
            </w:pPr>
            <w:r>
              <w:rPr>
                <w:sz w:val="18"/>
              </w:rPr>
              <w:t>95</w:t>
            </w:r>
            <w:r>
              <w:rPr>
                <w:rFonts w:ascii="宋体" w:hAnsi="宋体"/>
                <w:sz w:val="18"/>
              </w:rPr>
              <w:t>℃</w:t>
            </w:r>
          </w:p>
        </w:tc>
        <w:tc>
          <w:tcPr>
            <w:tcW w:w="1116" w:type="dxa"/>
          </w:tcPr>
          <w:p>
            <w:pPr>
              <w:pStyle w:val="TableParagraph"/>
              <w:spacing w:line="180" w:lineRule="exact"/>
              <w:ind w:left="339"/>
              <w:jc w:val="left"/>
              <w:rPr>
                <w:rFonts w:ascii="宋体" w:eastAsia="宋体" w:hint="eastAsia"/>
                <w:sz w:val="18"/>
              </w:rPr>
            </w:pPr>
            <w:r>
              <w:rPr>
                <w:sz w:val="18"/>
              </w:rPr>
              <w:t>15 </w:t>
            </w:r>
            <w:r>
              <w:rPr>
                <w:rFonts w:ascii="宋体" w:eastAsia="宋体" w:hint="eastAsia"/>
                <w:sz w:val="18"/>
              </w:rPr>
              <w:t>秒</w:t>
            </w:r>
          </w:p>
        </w:tc>
        <w:tc>
          <w:tcPr>
            <w:tcW w:w="1440" w:type="dxa"/>
            <w:vMerge w:val="restart"/>
          </w:tcPr>
          <w:p>
            <w:pPr>
              <w:pStyle w:val="TableParagraph"/>
              <w:spacing w:before="86"/>
              <w:ind w:left="430" w:right="417"/>
              <w:rPr>
                <w:sz w:val="18"/>
              </w:rPr>
            </w:pPr>
            <w:r>
              <w:rPr>
                <w:sz w:val="18"/>
              </w:rPr>
              <w:t>45</w:t>
            </w:r>
          </w:p>
        </w:tc>
      </w:tr>
      <w:tr>
        <w:trPr>
          <w:trHeight w:val="200" w:hRule="atLeast"/>
        </w:trPr>
        <w:tc>
          <w:tcPr>
            <w:tcW w:w="539" w:type="dxa"/>
            <w:vMerge/>
            <w:tcBorders>
              <w:top w:val="nil"/>
            </w:tcBorders>
          </w:tcPr>
          <w:p>
            <w:pPr>
              <w:rPr>
                <w:sz w:val="2"/>
                <w:szCs w:val="2"/>
              </w:rPr>
            </w:pPr>
          </w:p>
        </w:tc>
        <w:tc>
          <w:tcPr>
            <w:tcW w:w="2833" w:type="dxa"/>
          </w:tcPr>
          <w:p>
            <w:pPr>
              <w:pStyle w:val="TableParagraph"/>
              <w:spacing w:line="180" w:lineRule="exact"/>
              <w:ind w:left="497" w:right="486"/>
              <w:rPr>
                <w:rFonts w:ascii="宋体" w:eastAsia="宋体" w:hint="eastAsia"/>
                <w:sz w:val="18"/>
              </w:rPr>
            </w:pPr>
            <w:r>
              <w:rPr>
                <w:rFonts w:ascii="宋体" w:eastAsia="宋体" w:hint="eastAsia"/>
                <w:sz w:val="18"/>
              </w:rPr>
              <w:t>退火，延伸及荧光采集</w:t>
            </w:r>
          </w:p>
        </w:tc>
        <w:tc>
          <w:tcPr>
            <w:tcW w:w="898" w:type="dxa"/>
          </w:tcPr>
          <w:p>
            <w:pPr>
              <w:pStyle w:val="TableParagraph"/>
              <w:spacing w:line="180" w:lineRule="exact"/>
              <w:ind w:left="272"/>
              <w:jc w:val="left"/>
              <w:rPr>
                <w:rFonts w:ascii="宋体" w:hAnsi="宋体"/>
                <w:sz w:val="18"/>
              </w:rPr>
            </w:pPr>
            <w:r>
              <w:rPr>
                <w:sz w:val="18"/>
              </w:rPr>
              <w:t>60</w:t>
            </w:r>
            <w:r>
              <w:rPr>
                <w:rFonts w:ascii="宋体" w:hAnsi="宋体"/>
                <w:sz w:val="18"/>
              </w:rPr>
              <w:t>℃</w:t>
            </w:r>
          </w:p>
        </w:tc>
        <w:tc>
          <w:tcPr>
            <w:tcW w:w="1116" w:type="dxa"/>
          </w:tcPr>
          <w:p>
            <w:pPr>
              <w:pStyle w:val="TableParagraph"/>
              <w:spacing w:line="180" w:lineRule="exact"/>
              <w:ind w:left="293"/>
              <w:jc w:val="left"/>
              <w:rPr>
                <w:sz w:val="18"/>
              </w:rPr>
            </w:pPr>
            <w:r>
              <w:rPr>
                <w:sz w:val="18"/>
              </w:rPr>
              <w:t>30 </w:t>
            </w:r>
            <w:r>
              <w:rPr>
                <w:rFonts w:ascii="宋体" w:eastAsia="宋体" w:hint="eastAsia"/>
                <w:sz w:val="18"/>
              </w:rPr>
              <w:t>秒</w:t>
            </w:r>
            <w:r>
              <w:rPr>
                <w:sz w:val="18"/>
              </w:rPr>
              <w:t>*</w:t>
            </w:r>
          </w:p>
        </w:tc>
        <w:tc>
          <w:tcPr>
            <w:tcW w:w="1440" w:type="dxa"/>
            <w:vMerge/>
            <w:tcBorders>
              <w:top w:val="nil"/>
            </w:tcBorders>
          </w:tcPr>
          <w:p>
            <w:pPr>
              <w:rPr>
                <w:sz w:val="2"/>
                <w:szCs w:val="2"/>
              </w:rPr>
            </w:pPr>
          </w:p>
        </w:tc>
      </w:tr>
      <w:tr>
        <w:trPr>
          <w:trHeight w:val="199" w:hRule="atLeast"/>
        </w:trPr>
        <w:tc>
          <w:tcPr>
            <w:tcW w:w="539" w:type="dxa"/>
          </w:tcPr>
          <w:p>
            <w:pPr>
              <w:pStyle w:val="TableParagraph"/>
              <w:spacing w:line="180" w:lineRule="exact"/>
              <w:ind w:left="10"/>
              <w:rPr>
                <w:sz w:val="18"/>
              </w:rPr>
            </w:pPr>
            <w:r>
              <w:rPr>
                <w:sz w:val="18"/>
              </w:rPr>
              <w:t>5</w:t>
            </w:r>
          </w:p>
        </w:tc>
        <w:tc>
          <w:tcPr>
            <w:tcW w:w="2833" w:type="dxa"/>
          </w:tcPr>
          <w:p>
            <w:pPr>
              <w:pStyle w:val="TableParagraph"/>
              <w:spacing w:line="180" w:lineRule="exact"/>
              <w:ind w:left="497" w:right="486"/>
              <w:rPr>
                <w:rFonts w:ascii="宋体" w:eastAsia="宋体" w:hint="eastAsia"/>
                <w:sz w:val="18"/>
              </w:rPr>
            </w:pPr>
            <w:r>
              <w:rPr>
                <w:rFonts w:ascii="宋体" w:eastAsia="宋体" w:hint="eastAsia"/>
                <w:sz w:val="18"/>
              </w:rPr>
              <w:t>仪器冷却</w:t>
            </w:r>
          </w:p>
        </w:tc>
        <w:tc>
          <w:tcPr>
            <w:tcW w:w="898" w:type="dxa"/>
          </w:tcPr>
          <w:p>
            <w:pPr>
              <w:pStyle w:val="TableParagraph"/>
              <w:spacing w:line="180" w:lineRule="exact"/>
              <w:ind w:left="272"/>
              <w:jc w:val="left"/>
              <w:rPr>
                <w:rFonts w:ascii="宋体" w:hAnsi="宋体"/>
                <w:sz w:val="18"/>
              </w:rPr>
            </w:pPr>
            <w:r>
              <w:rPr>
                <w:sz w:val="18"/>
              </w:rPr>
              <w:t>25</w:t>
            </w:r>
            <w:r>
              <w:rPr>
                <w:rFonts w:ascii="宋体" w:hAnsi="宋体"/>
                <w:sz w:val="18"/>
              </w:rPr>
              <w:t>℃</w:t>
            </w:r>
          </w:p>
        </w:tc>
        <w:tc>
          <w:tcPr>
            <w:tcW w:w="1116" w:type="dxa"/>
          </w:tcPr>
          <w:p>
            <w:pPr>
              <w:pStyle w:val="TableParagraph"/>
              <w:spacing w:line="180" w:lineRule="exact"/>
              <w:ind w:left="339"/>
              <w:jc w:val="left"/>
              <w:rPr>
                <w:rFonts w:ascii="宋体" w:eastAsia="宋体" w:hint="eastAsia"/>
                <w:sz w:val="18"/>
              </w:rPr>
            </w:pPr>
            <w:r>
              <w:rPr>
                <w:sz w:val="18"/>
              </w:rPr>
              <w:t>10 </w:t>
            </w:r>
            <w:r>
              <w:rPr>
                <w:rFonts w:ascii="宋体" w:eastAsia="宋体" w:hint="eastAsia"/>
                <w:sz w:val="18"/>
              </w:rPr>
              <w:t>秒</w:t>
            </w:r>
          </w:p>
        </w:tc>
        <w:tc>
          <w:tcPr>
            <w:tcW w:w="1440" w:type="dxa"/>
          </w:tcPr>
          <w:p>
            <w:pPr>
              <w:pStyle w:val="TableParagraph"/>
              <w:spacing w:line="180" w:lineRule="exact"/>
              <w:ind w:left="10"/>
              <w:rPr>
                <w:sz w:val="18"/>
              </w:rPr>
            </w:pPr>
            <w:r>
              <w:rPr>
                <w:sz w:val="18"/>
              </w:rPr>
              <w:t>1</w:t>
            </w:r>
          </w:p>
        </w:tc>
      </w:tr>
    </w:tbl>
    <w:p>
      <w:pPr>
        <w:pStyle w:val="BodyText"/>
        <w:spacing w:line="240" w:lineRule="auto"/>
        <w:ind w:left="709"/>
        <w:rPr>
          <w:rFonts w:ascii="Times New Roman" w:eastAsia="Times New Roman"/>
        </w:rPr>
      </w:pPr>
      <w:r>
        <w:rPr>
          <w:rFonts w:ascii="Times New Roman" w:eastAsia="Times New Roman"/>
        </w:rPr>
        <w:t>(*</w:t>
      </w:r>
      <w:r>
        <w:rPr/>
        <w:t>注：由于</w:t>
      </w:r>
      <w:r>
        <w:rPr>
          <w:rFonts w:ascii="Times New Roman" w:eastAsia="Times New Roman"/>
        </w:rPr>
        <w:t>ABI7500 </w:t>
      </w:r>
      <w:r>
        <w:rPr/>
        <w:t>仪器原因，不能设置为 </w:t>
      </w:r>
      <w:r>
        <w:rPr>
          <w:rFonts w:ascii="Times New Roman" w:eastAsia="Times New Roman"/>
        </w:rPr>
        <w:t>30 </w:t>
      </w:r>
      <w:r>
        <w:rPr/>
        <w:t>秒，可以设置为 </w:t>
      </w:r>
      <w:r>
        <w:rPr>
          <w:rFonts w:ascii="Times New Roman" w:eastAsia="Times New Roman"/>
        </w:rPr>
        <w:t>31 </w:t>
      </w:r>
      <w:r>
        <w:rPr/>
        <w:t>秒。</w:t>
      </w:r>
      <w:r>
        <w:rPr>
          <w:rFonts w:ascii="Times New Roman" w:eastAsia="Times New Roman"/>
        </w:rPr>
        <w:t>)</w:t>
      </w:r>
    </w:p>
    <w:p>
      <w:pPr>
        <w:pStyle w:val="ListParagraph"/>
        <w:numPr>
          <w:ilvl w:val="0"/>
          <w:numId w:val="4"/>
        </w:numPr>
        <w:tabs>
          <w:tab w:pos="324" w:val="left" w:leader="none"/>
        </w:tabs>
        <w:spacing w:line="216" w:lineRule="exact" w:before="167" w:after="0"/>
        <w:ind w:left="323" w:right="0" w:hanging="217"/>
        <w:jc w:val="both"/>
        <w:rPr>
          <w:sz w:val="18"/>
        </w:rPr>
      </w:pPr>
      <w:r>
        <w:rPr>
          <w:b/>
          <w:spacing w:val="-5"/>
          <w:sz w:val="18"/>
        </w:rPr>
        <w:t>结果分析</w:t>
      </w:r>
      <w:r>
        <w:rPr>
          <w:spacing w:val="-5"/>
          <w:sz w:val="18"/>
        </w:rPr>
        <w:t>（</w:t>
      </w:r>
      <w:r>
        <w:rPr>
          <w:spacing w:val="-3"/>
          <w:sz w:val="18"/>
        </w:rPr>
        <w:t>请参照各仪器使用说明书进行设置，以下分析以</w:t>
      </w:r>
      <w:r>
        <w:rPr>
          <w:rFonts w:ascii="Times New Roman" w:eastAsia="Times New Roman"/>
          <w:sz w:val="18"/>
        </w:rPr>
        <w:t>ABI</w:t>
      </w:r>
      <w:r>
        <w:rPr>
          <w:rFonts w:ascii="Times New Roman" w:eastAsia="Times New Roman"/>
          <w:spacing w:val="-1"/>
          <w:sz w:val="18"/>
        </w:rPr>
        <w:t> </w:t>
      </w:r>
      <w:r>
        <w:rPr>
          <w:sz w:val="18"/>
        </w:rPr>
        <w:t>系列仪器为例）</w:t>
      </w:r>
    </w:p>
    <w:p>
      <w:pPr>
        <w:pStyle w:val="BodyText"/>
        <w:spacing w:line="208" w:lineRule="auto" w:before="9"/>
        <w:ind w:left="107" w:right="192" w:firstLine="352"/>
        <w:jc w:val="both"/>
      </w:pPr>
      <w:r>
        <w:rPr>
          <w:spacing w:val="-11"/>
        </w:rPr>
        <w:t>反应结束后自动保存结果，对甲型流感病毒的曲线和相应甲型流感病毒内标的曲线分别进行分析。根据分析后图像调节 </w:t>
      </w:r>
      <w:r>
        <w:rPr>
          <w:rFonts w:ascii="Times New Roman" w:hAnsi="Times New Roman" w:eastAsia="Times New Roman"/>
        </w:rPr>
        <w:t>Baseline </w:t>
      </w:r>
      <w:r>
        <w:rPr>
          <w:spacing w:val="40"/>
        </w:rPr>
        <w:t>的</w:t>
      </w:r>
      <w:r>
        <w:rPr>
          <w:rFonts w:ascii="Times New Roman" w:hAnsi="Times New Roman" w:eastAsia="Times New Roman"/>
        </w:rPr>
        <w:t>Start </w:t>
      </w:r>
      <w:r>
        <w:rPr>
          <w:spacing w:val="-4"/>
        </w:rPr>
        <w:t>值、</w:t>
      </w:r>
      <w:r>
        <w:rPr>
          <w:rFonts w:ascii="Times New Roman" w:hAnsi="Times New Roman" w:eastAsia="Times New Roman"/>
        </w:rPr>
        <w:t>End </w:t>
      </w:r>
      <w:r>
        <w:rPr>
          <w:spacing w:val="10"/>
        </w:rPr>
        <w:t>值以及</w:t>
      </w:r>
      <w:r>
        <w:rPr>
          <w:rFonts w:ascii="Times New Roman" w:hAnsi="Times New Roman" w:eastAsia="Times New Roman"/>
        </w:rPr>
        <w:t>Threshold </w:t>
      </w:r>
      <w:r>
        <w:rPr>
          <w:spacing w:val="-3"/>
        </w:rPr>
        <w:t>值</w:t>
      </w:r>
      <w:r>
        <w:rPr>
          <w:spacing w:val="-5"/>
        </w:rPr>
        <w:t>（用户可根据实际情况自行调整，</w:t>
      </w:r>
      <w:r>
        <w:rPr>
          <w:rFonts w:ascii="Times New Roman" w:hAnsi="Times New Roman" w:eastAsia="Times New Roman"/>
        </w:rPr>
        <w:t>Start </w:t>
      </w:r>
      <w:r>
        <w:rPr>
          <w:spacing w:val="-14"/>
        </w:rPr>
        <w:t>值可以在 </w:t>
      </w:r>
      <w:r>
        <w:rPr>
          <w:rFonts w:ascii="Times New Roman" w:hAnsi="Times New Roman" w:eastAsia="Times New Roman"/>
          <w:spacing w:val="-3"/>
        </w:rPr>
        <w:t>3</w:t>
      </w:r>
      <w:r>
        <w:rPr>
          <w:spacing w:val="-3"/>
        </w:rPr>
        <w:t>～</w:t>
      </w:r>
      <w:r>
        <w:rPr>
          <w:rFonts w:ascii="Times New Roman" w:hAnsi="Times New Roman" w:eastAsia="Times New Roman"/>
          <w:spacing w:val="-3"/>
        </w:rPr>
        <w:t>15</w:t>
      </w:r>
      <w:r>
        <w:rPr>
          <w:spacing w:val="-5"/>
        </w:rPr>
        <w:t>、</w:t>
      </w:r>
      <w:r>
        <w:rPr>
          <w:rFonts w:ascii="Times New Roman" w:hAnsi="Times New Roman" w:eastAsia="Times New Roman"/>
        </w:rPr>
        <w:t>End </w:t>
      </w:r>
      <w:r>
        <w:rPr>
          <w:spacing w:val="-14"/>
        </w:rPr>
        <w:t>值可设在 </w:t>
      </w:r>
      <w:r>
        <w:rPr>
          <w:rFonts w:ascii="Times New Roman" w:hAnsi="Times New Roman" w:eastAsia="Times New Roman"/>
          <w:spacing w:val="-4"/>
        </w:rPr>
        <w:t>5</w:t>
      </w:r>
      <w:r>
        <w:rPr>
          <w:spacing w:val="-4"/>
        </w:rPr>
        <w:t>～</w:t>
      </w:r>
      <w:r>
        <w:rPr>
          <w:rFonts w:ascii="Times New Roman" w:hAnsi="Times New Roman" w:eastAsia="Times New Roman"/>
          <w:spacing w:val="-4"/>
        </w:rPr>
        <w:t>20</w:t>
      </w:r>
      <w:r>
        <w:rPr>
          <w:spacing w:val="-5"/>
        </w:rPr>
        <w:t>，调整阴性对照的</w:t>
      </w:r>
      <w:r>
        <w:rPr>
          <w:spacing w:val="-4"/>
        </w:rPr>
        <w:t>扩增曲线使其平直或低于阈值线</w:t>
      </w:r>
      <w:r>
        <w:rPr>
          <w:spacing w:val="-92"/>
        </w:rPr>
        <w:t>）</w:t>
      </w:r>
      <w:r>
        <w:rPr>
          <w:spacing w:val="-14"/>
        </w:rPr>
        <w:t>，点击 </w:t>
      </w:r>
      <w:r>
        <w:rPr>
          <w:rFonts w:ascii="Times New Roman" w:hAnsi="Times New Roman" w:eastAsia="Times New Roman"/>
          <w:spacing w:val="-3"/>
        </w:rPr>
        <w:t>A</w:t>
      </w:r>
      <w:r>
        <w:rPr>
          <w:rFonts w:ascii="Times New Roman" w:hAnsi="Times New Roman" w:eastAsia="Times New Roman"/>
          <w:spacing w:val="-2"/>
        </w:rPr>
        <w:t>n</w:t>
      </w:r>
      <w:r>
        <w:rPr>
          <w:rFonts w:ascii="Times New Roman" w:hAnsi="Times New Roman" w:eastAsia="Times New Roman"/>
          <w:spacing w:val="-1"/>
        </w:rPr>
        <w:t>a</w:t>
      </w:r>
      <w:r>
        <w:rPr>
          <w:rFonts w:ascii="Times New Roman" w:hAnsi="Times New Roman" w:eastAsia="Times New Roman"/>
          <w:spacing w:val="-2"/>
        </w:rPr>
        <w:t>l</w:t>
      </w:r>
      <w:r>
        <w:rPr>
          <w:rFonts w:ascii="Times New Roman" w:hAnsi="Times New Roman" w:eastAsia="Times New Roman"/>
          <w:spacing w:val="-4"/>
        </w:rPr>
        <w:t>y</w:t>
      </w:r>
      <w:r>
        <w:rPr>
          <w:rFonts w:ascii="Times New Roman" w:hAnsi="Times New Roman" w:eastAsia="Times New Roman"/>
          <w:spacing w:val="-1"/>
        </w:rPr>
        <w:t>z</w:t>
      </w:r>
      <w:r>
        <w:rPr>
          <w:rFonts w:ascii="Times New Roman" w:hAnsi="Times New Roman" w:eastAsia="Times New Roman"/>
        </w:rPr>
        <w:t>e </w:t>
      </w:r>
      <w:r>
        <w:rPr>
          <w:spacing w:val="-4"/>
        </w:rPr>
        <w:t>进行分析，使各项参数符合下述</w:t>
      </w:r>
      <w:r>
        <w:rPr>
          <w:rFonts w:ascii="Times New Roman" w:hAnsi="Times New Roman" w:eastAsia="Times New Roman"/>
          <w:spacing w:val="-1"/>
        </w:rPr>
        <w:t>“</w:t>
      </w:r>
      <w:r>
        <w:rPr>
          <w:rFonts w:ascii="Times New Roman" w:hAnsi="Times New Roman" w:eastAsia="Times New Roman"/>
          <w:spacing w:val="-2"/>
        </w:rPr>
        <w:t>5.  </w:t>
      </w:r>
      <w:r>
        <w:rPr>
          <w:spacing w:val="-3"/>
        </w:rPr>
        <w:t>质量控制</w:t>
      </w:r>
      <w:r>
        <w:rPr>
          <w:rFonts w:ascii="Times New Roman" w:hAnsi="Times New Roman" w:eastAsia="Times New Roman"/>
          <w:spacing w:val="-1"/>
        </w:rPr>
        <w:t>”</w:t>
      </w:r>
      <w:r>
        <w:rPr>
          <w:spacing w:val="2"/>
        </w:rPr>
        <w:t>中的要求，然后到</w:t>
      </w:r>
      <w:r>
        <w:rPr>
          <w:rFonts w:ascii="Times New Roman" w:hAnsi="Times New Roman" w:eastAsia="Times New Roman"/>
        </w:rPr>
        <w:t>P</w:t>
      </w:r>
      <w:r>
        <w:rPr>
          <w:rFonts w:ascii="Times New Roman" w:hAnsi="Times New Roman" w:eastAsia="Times New Roman"/>
          <w:spacing w:val="-2"/>
        </w:rPr>
        <w:t>l</w:t>
      </w:r>
      <w:r>
        <w:rPr>
          <w:rFonts w:ascii="Times New Roman" w:hAnsi="Times New Roman" w:eastAsia="Times New Roman"/>
          <w:spacing w:val="-4"/>
        </w:rPr>
        <w:t>a</w:t>
      </w:r>
      <w:r>
        <w:rPr>
          <w:rFonts w:ascii="Times New Roman" w:hAnsi="Times New Roman" w:eastAsia="Times New Roman"/>
          <w:spacing w:val="-2"/>
        </w:rPr>
        <w:t>t</w:t>
      </w:r>
      <w:r>
        <w:rPr>
          <w:rFonts w:ascii="Times New Roman" w:hAnsi="Times New Roman" w:eastAsia="Times New Roman"/>
        </w:rPr>
        <w:t>e </w:t>
      </w:r>
      <w:r>
        <w:rPr>
          <w:spacing w:val="-3"/>
        </w:rPr>
        <w:t>窗口下记录</w:t>
      </w:r>
      <w:r>
        <w:rPr>
          <w:spacing w:val="-4"/>
        </w:rPr>
        <w:t>定量结果。</w:t>
      </w:r>
    </w:p>
    <w:p>
      <w:pPr>
        <w:pStyle w:val="BodyText"/>
        <w:spacing w:line="240" w:lineRule="auto" w:before="6"/>
        <w:ind w:left="0"/>
        <w:rPr>
          <w:sz w:val="13"/>
        </w:rPr>
      </w:pPr>
    </w:p>
    <w:p>
      <w:pPr>
        <w:pStyle w:val="Heading1"/>
        <w:numPr>
          <w:ilvl w:val="0"/>
          <w:numId w:val="4"/>
        </w:numPr>
        <w:tabs>
          <w:tab w:pos="324" w:val="left" w:leader="none"/>
        </w:tabs>
        <w:spacing w:line="216" w:lineRule="exact" w:before="0" w:after="0"/>
        <w:ind w:left="323" w:right="0" w:hanging="217"/>
        <w:jc w:val="left"/>
      </w:pPr>
      <w:r>
        <w:rPr>
          <w:spacing w:val="-3"/>
        </w:rPr>
        <w:t>质量控制</w:t>
      </w:r>
    </w:p>
    <w:p>
      <w:pPr>
        <w:pStyle w:val="ListParagraph"/>
        <w:numPr>
          <w:ilvl w:val="1"/>
          <w:numId w:val="4"/>
        </w:numPr>
        <w:tabs>
          <w:tab w:pos="499" w:val="left" w:leader="none"/>
        </w:tabs>
        <w:spacing w:line="200" w:lineRule="exact" w:before="0" w:after="0"/>
        <w:ind w:left="498" w:right="0" w:hanging="392"/>
        <w:jc w:val="left"/>
        <w:rPr>
          <w:sz w:val="18"/>
        </w:rPr>
      </w:pPr>
      <w:r>
        <w:rPr>
          <w:spacing w:val="-5"/>
          <w:sz w:val="18"/>
        </w:rPr>
        <w:t>甲型流感病毒阴性对照：</w:t>
      </w:r>
      <w:r>
        <w:rPr>
          <w:rFonts w:ascii="Times New Roman" w:hAnsi="Times New Roman" w:eastAsia="Times New Roman"/>
          <w:spacing w:val="-3"/>
          <w:sz w:val="18"/>
        </w:rPr>
        <w:t>FAM </w:t>
      </w:r>
      <w:r>
        <w:rPr>
          <w:spacing w:val="-5"/>
          <w:sz w:val="18"/>
        </w:rPr>
        <w:t>曲线无</w:t>
      </w:r>
      <w:r>
        <w:rPr>
          <w:rFonts w:ascii="Times New Roman" w:hAnsi="Times New Roman" w:eastAsia="Times New Roman"/>
          <w:spacing w:val="-3"/>
          <w:sz w:val="18"/>
        </w:rPr>
        <w:t>Ct</w:t>
      </w:r>
      <w:r>
        <w:rPr>
          <w:spacing w:val="-5"/>
          <w:sz w:val="18"/>
        </w:rPr>
        <w:t>值显示；甲型流感病毒内标检测</w:t>
      </w:r>
      <w:r>
        <w:rPr>
          <w:spacing w:val="-3"/>
          <w:sz w:val="18"/>
        </w:rPr>
        <w:t>（</w:t>
      </w:r>
      <w:r>
        <w:rPr>
          <w:rFonts w:ascii="Times New Roman" w:hAnsi="Times New Roman" w:eastAsia="Times New Roman"/>
          <w:spacing w:val="-3"/>
          <w:sz w:val="18"/>
        </w:rPr>
        <w:t>HEX/VIC</w:t>
      </w:r>
      <w:r>
        <w:rPr>
          <w:spacing w:val="-3"/>
          <w:sz w:val="18"/>
        </w:rPr>
        <w:t>）</w:t>
      </w:r>
      <w:r>
        <w:rPr>
          <w:spacing w:val="-5"/>
          <w:sz w:val="18"/>
        </w:rPr>
        <w:t>为阳性，且</w:t>
      </w:r>
      <w:r>
        <w:rPr>
          <w:rFonts w:ascii="Times New Roman" w:hAnsi="Times New Roman" w:eastAsia="Times New Roman"/>
          <w:spacing w:val="-3"/>
          <w:sz w:val="18"/>
        </w:rPr>
        <w:t>Ct≤40</w:t>
      </w:r>
      <w:r>
        <w:rPr>
          <w:spacing w:val="-3"/>
          <w:sz w:val="18"/>
        </w:rPr>
        <w:t>；</w:t>
      </w:r>
    </w:p>
    <w:p>
      <w:pPr>
        <w:pStyle w:val="ListParagraph"/>
        <w:numPr>
          <w:ilvl w:val="1"/>
          <w:numId w:val="4"/>
        </w:numPr>
        <w:tabs>
          <w:tab w:pos="499" w:val="left" w:leader="none"/>
        </w:tabs>
        <w:spacing w:line="199" w:lineRule="exact" w:before="0" w:after="0"/>
        <w:ind w:left="498" w:right="0" w:hanging="392"/>
        <w:jc w:val="left"/>
        <w:rPr>
          <w:sz w:val="18"/>
        </w:rPr>
      </w:pPr>
      <w:r>
        <w:rPr>
          <w:spacing w:val="-5"/>
          <w:sz w:val="18"/>
        </w:rPr>
        <w:t>甲型流感病毒阳性对照：</w:t>
      </w:r>
      <w:r>
        <w:rPr>
          <w:rFonts w:ascii="Times New Roman" w:hAnsi="Times New Roman" w:eastAsia="Times New Roman"/>
          <w:spacing w:val="-3"/>
          <w:sz w:val="18"/>
        </w:rPr>
        <w:t>FAM </w:t>
      </w:r>
      <w:r>
        <w:rPr>
          <w:spacing w:val="-4"/>
          <w:sz w:val="18"/>
        </w:rPr>
        <w:t>曲线</w:t>
      </w:r>
      <w:r>
        <w:rPr>
          <w:rFonts w:ascii="Times New Roman" w:hAnsi="Times New Roman" w:eastAsia="Times New Roman"/>
          <w:spacing w:val="-3"/>
          <w:sz w:val="18"/>
        </w:rPr>
        <w:t>Ct≤30</w:t>
      </w:r>
      <w:r>
        <w:rPr>
          <w:spacing w:val="-3"/>
          <w:sz w:val="18"/>
        </w:rPr>
        <w:t>；</w:t>
      </w:r>
    </w:p>
    <w:p>
      <w:pPr>
        <w:pStyle w:val="ListParagraph"/>
        <w:numPr>
          <w:ilvl w:val="1"/>
          <w:numId w:val="4"/>
        </w:numPr>
        <w:tabs>
          <w:tab w:pos="499" w:val="left" w:leader="none"/>
        </w:tabs>
        <w:spacing w:line="200" w:lineRule="exact" w:before="0" w:after="0"/>
        <w:ind w:left="498" w:right="0" w:hanging="392"/>
        <w:jc w:val="left"/>
        <w:rPr>
          <w:sz w:val="18"/>
        </w:rPr>
      </w:pPr>
      <w:r>
        <w:rPr>
          <w:spacing w:val="-5"/>
          <w:sz w:val="18"/>
        </w:rPr>
        <w:t>以上要求需在同一次实验中同时满足，否则，本次实验无效，需重新进行。</w:t>
      </w:r>
    </w:p>
    <w:p>
      <w:pPr>
        <w:pStyle w:val="Heading1"/>
      </w:pPr>
      <w:r>
        <w:rPr/>
        <w:t>【阳性判断值】</w:t>
      </w:r>
    </w:p>
    <w:p>
      <w:pPr>
        <w:pStyle w:val="BodyText"/>
        <w:spacing w:line="199" w:lineRule="exact"/>
        <w:ind w:left="390"/>
      </w:pPr>
      <w:r>
        <w:rPr/>
        <w:t>通过参考值的研究确定本试剂盒检测目标基因的</w:t>
      </w:r>
      <w:r>
        <w:rPr>
          <w:rFonts w:ascii="Times New Roman" w:eastAsia="Times New Roman"/>
        </w:rPr>
        <w:t>Ct </w:t>
      </w:r>
      <w:r>
        <w:rPr/>
        <w:t>参考值为 </w:t>
      </w:r>
      <w:r>
        <w:rPr>
          <w:rFonts w:ascii="Times New Roman" w:eastAsia="Times New Roman"/>
        </w:rPr>
        <w:t>40</w:t>
      </w:r>
      <w:r>
        <w:rPr/>
        <w:t>，内标</w:t>
      </w:r>
      <w:r>
        <w:rPr>
          <w:rFonts w:ascii="Times New Roman" w:eastAsia="Times New Roman"/>
        </w:rPr>
        <w:t>Ct </w:t>
      </w:r>
      <w:r>
        <w:rPr/>
        <w:t>的参考值为 </w:t>
      </w:r>
      <w:r>
        <w:rPr>
          <w:rFonts w:ascii="Times New Roman" w:eastAsia="Times New Roman"/>
        </w:rPr>
        <w:t>40</w:t>
      </w:r>
      <w:r>
        <w:rPr/>
        <w:t>。</w:t>
      </w:r>
    </w:p>
    <w:p>
      <w:pPr>
        <w:pStyle w:val="Heading1"/>
      </w:pPr>
      <w:r>
        <w:rPr/>
        <w:t>【检验结果的解释】</w:t>
      </w:r>
    </w:p>
    <w:p>
      <w:pPr>
        <w:pStyle w:val="ListParagraph"/>
        <w:numPr>
          <w:ilvl w:val="0"/>
          <w:numId w:val="5"/>
        </w:numPr>
        <w:tabs>
          <w:tab w:pos="324" w:val="left" w:leader="none"/>
        </w:tabs>
        <w:spacing w:line="200" w:lineRule="exact" w:before="0" w:after="0"/>
        <w:ind w:left="323" w:right="0" w:hanging="217"/>
        <w:jc w:val="both"/>
        <w:rPr>
          <w:sz w:val="18"/>
        </w:rPr>
      </w:pPr>
      <w:r>
        <w:rPr>
          <w:spacing w:val="6"/>
          <w:sz w:val="18"/>
        </w:rPr>
        <w:t>对于测定</w:t>
      </w:r>
      <w:r>
        <w:rPr>
          <w:rFonts w:ascii="Times New Roman" w:hAnsi="Times New Roman" w:eastAsia="Times New Roman"/>
          <w:sz w:val="18"/>
        </w:rPr>
        <w:t>FAM</w:t>
      </w:r>
      <w:r>
        <w:rPr>
          <w:rFonts w:ascii="Times New Roman" w:hAnsi="Times New Roman" w:eastAsia="Times New Roman"/>
          <w:spacing w:val="-5"/>
          <w:sz w:val="18"/>
        </w:rPr>
        <w:t> </w:t>
      </w:r>
      <w:r>
        <w:rPr>
          <w:rFonts w:ascii="Times New Roman" w:hAnsi="Times New Roman" w:eastAsia="Times New Roman"/>
          <w:sz w:val="18"/>
        </w:rPr>
        <w:t>Ct</w:t>
      </w:r>
      <w:r>
        <w:rPr>
          <w:rFonts w:ascii="Times New Roman" w:hAnsi="Times New Roman" w:eastAsia="Times New Roman"/>
          <w:spacing w:val="-7"/>
          <w:sz w:val="18"/>
        </w:rPr>
        <w:t> </w:t>
      </w:r>
      <w:r>
        <w:rPr>
          <w:spacing w:val="-3"/>
          <w:sz w:val="18"/>
        </w:rPr>
        <w:t>值</w:t>
      </w:r>
      <w:r>
        <w:rPr>
          <w:rFonts w:ascii="Times New Roman" w:hAnsi="Times New Roman" w:eastAsia="Times New Roman"/>
          <w:sz w:val="18"/>
        </w:rPr>
        <w:t>≤40</w:t>
      </w:r>
      <w:r>
        <w:rPr>
          <w:rFonts w:ascii="Times New Roman" w:hAnsi="Times New Roman" w:eastAsia="Times New Roman"/>
          <w:spacing w:val="-3"/>
          <w:sz w:val="18"/>
        </w:rPr>
        <w:t> </w:t>
      </w:r>
      <w:r>
        <w:rPr>
          <w:spacing w:val="-5"/>
          <w:sz w:val="18"/>
        </w:rPr>
        <w:t>的样本，报告为甲型流感病毒阳性（如图一所示</w:t>
      </w:r>
      <w:r>
        <w:rPr>
          <w:spacing w:val="-3"/>
          <w:sz w:val="18"/>
        </w:rPr>
        <w:t>）；</w:t>
      </w:r>
    </w:p>
    <w:p>
      <w:pPr>
        <w:pStyle w:val="ListParagraph"/>
        <w:numPr>
          <w:ilvl w:val="0"/>
          <w:numId w:val="5"/>
        </w:numPr>
        <w:tabs>
          <w:tab w:pos="324" w:val="left" w:leader="none"/>
        </w:tabs>
        <w:spacing w:line="208" w:lineRule="auto" w:before="8" w:after="0"/>
        <w:ind w:left="335" w:right="195" w:hanging="228"/>
        <w:jc w:val="both"/>
        <w:rPr>
          <w:sz w:val="18"/>
        </w:rPr>
      </w:pPr>
      <w:r>
        <w:rPr/>
        <w:drawing>
          <wp:anchor distT="0" distB="0" distL="0" distR="0" allowOverlap="1" layoutInCell="1" locked="0" behindDoc="0" simplePos="0" relativeHeight="2">
            <wp:simplePos x="0" y="0"/>
            <wp:positionH relativeFrom="page">
              <wp:posOffset>685800</wp:posOffset>
            </wp:positionH>
            <wp:positionV relativeFrom="paragraph">
              <wp:posOffset>402589</wp:posOffset>
            </wp:positionV>
            <wp:extent cx="6243371" cy="1360932"/>
            <wp:effectExtent l="0" t="0" r="0" b="0"/>
            <wp:wrapTopAndBottom/>
            <wp:docPr id="1" name="image1.png"/>
            <wp:cNvGraphicFramePr>
              <a:graphicFrameLocks noChangeAspect="1"/>
            </wp:cNvGraphicFramePr>
            <a:graphic>
              <a:graphicData uri="http://schemas.openxmlformats.org/drawingml/2006/picture">
                <pic:pic>
                  <pic:nvPicPr>
                    <pic:cNvPr id="2" name="image1.png"/>
                    <pic:cNvPicPr/>
                  </pic:nvPicPr>
                  <pic:blipFill>
                    <a:blip r:embed="rId7" cstate="print"/>
                    <a:stretch>
                      <a:fillRect/>
                    </a:stretch>
                  </pic:blipFill>
                  <pic:spPr>
                    <a:xfrm>
                      <a:off x="0" y="0"/>
                      <a:ext cx="6243371" cy="1360932"/>
                    </a:xfrm>
                    <a:prstGeom prst="rect">
                      <a:avLst/>
                    </a:prstGeom>
                  </pic:spPr>
                </pic:pic>
              </a:graphicData>
            </a:graphic>
          </wp:anchor>
        </w:drawing>
      </w:r>
      <w:r>
        <w:rPr>
          <w:spacing w:val="6"/>
          <w:sz w:val="18"/>
        </w:rPr>
        <w:t>对于测定</w:t>
      </w:r>
      <w:r>
        <w:rPr>
          <w:rFonts w:ascii="Times New Roman" w:hAnsi="Times New Roman" w:eastAsia="Times New Roman"/>
          <w:sz w:val="18"/>
        </w:rPr>
        <w:t>FAM</w:t>
      </w:r>
      <w:r>
        <w:rPr>
          <w:rFonts w:ascii="Times New Roman" w:hAnsi="Times New Roman" w:eastAsia="Times New Roman"/>
          <w:spacing w:val="-7"/>
          <w:sz w:val="18"/>
        </w:rPr>
        <w:t> </w:t>
      </w:r>
      <w:r>
        <w:rPr>
          <w:rFonts w:ascii="Times New Roman" w:hAnsi="Times New Roman" w:eastAsia="Times New Roman"/>
          <w:sz w:val="18"/>
        </w:rPr>
        <w:t>Ct</w:t>
      </w:r>
      <w:r>
        <w:rPr>
          <w:rFonts w:ascii="Times New Roman" w:hAnsi="Times New Roman" w:eastAsia="Times New Roman"/>
          <w:spacing w:val="-6"/>
          <w:sz w:val="18"/>
        </w:rPr>
        <w:t> </w:t>
      </w:r>
      <w:r>
        <w:rPr>
          <w:spacing w:val="-5"/>
          <w:sz w:val="18"/>
        </w:rPr>
        <w:t>值</w:t>
      </w:r>
      <w:r>
        <w:rPr>
          <w:rFonts w:ascii="Times New Roman" w:hAnsi="Times New Roman" w:eastAsia="Times New Roman"/>
          <w:spacing w:val="-2"/>
          <w:sz w:val="18"/>
        </w:rPr>
        <w:t>&gt;40</w:t>
      </w:r>
      <w:r>
        <w:rPr>
          <w:rFonts w:ascii="Times New Roman" w:hAnsi="Times New Roman" w:eastAsia="Times New Roman"/>
          <w:spacing w:val="-5"/>
          <w:sz w:val="18"/>
        </w:rPr>
        <w:t> </w:t>
      </w:r>
      <w:r>
        <w:rPr>
          <w:spacing w:val="17"/>
          <w:sz w:val="18"/>
        </w:rPr>
        <w:t>或无</w:t>
      </w:r>
      <w:r>
        <w:rPr>
          <w:rFonts w:ascii="Times New Roman" w:hAnsi="Times New Roman" w:eastAsia="Times New Roman"/>
          <w:sz w:val="18"/>
        </w:rPr>
        <w:t>FAM</w:t>
      </w:r>
      <w:r>
        <w:rPr>
          <w:rFonts w:ascii="Times New Roman" w:hAnsi="Times New Roman" w:eastAsia="Times New Roman"/>
          <w:spacing w:val="-6"/>
          <w:sz w:val="18"/>
        </w:rPr>
        <w:t> </w:t>
      </w:r>
      <w:r>
        <w:rPr>
          <w:rFonts w:ascii="Times New Roman" w:hAnsi="Times New Roman" w:eastAsia="Times New Roman"/>
          <w:sz w:val="18"/>
        </w:rPr>
        <w:t>Ct</w:t>
      </w:r>
      <w:r>
        <w:rPr>
          <w:rFonts w:ascii="Times New Roman" w:hAnsi="Times New Roman" w:eastAsia="Times New Roman"/>
          <w:spacing w:val="-7"/>
          <w:sz w:val="18"/>
        </w:rPr>
        <w:t> </w:t>
      </w:r>
      <w:r>
        <w:rPr>
          <w:spacing w:val="-8"/>
          <w:sz w:val="18"/>
        </w:rPr>
        <w:t>值的样本，同时，内标检测为阳性</w:t>
      </w:r>
      <w:r>
        <w:rPr>
          <w:sz w:val="18"/>
        </w:rPr>
        <w:t>（</w:t>
      </w:r>
      <w:r>
        <w:rPr>
          <w:rFonts w:ascii="Times New Roman" w:hAnsi="Times New Roman" w:eastAsia="Times New Roman"/>
          <w:sz w:val="18"/>
        </w:rPr>
        <w:t>Ct</w:t>
      </w:r>
      <w:r>
        <w:rPr>
          <w:rFonts w:ascii="Times New Roman" w:hAnsi="Times New Roman" w:eastAsia="Times New Roman"/>
          <w:spacing w:val="-9"/>
          <w:sz w:val="18"/>
        </w:rPr>
        <w:t> </w:t>
      </w:r>
      <w:r>
        <w:rPr>
          <w:spacing w:val="-3"/>
          <w:sz w:val="18"/>
        </w:rPr>
        <w:t>值</w:t>
      </w:r>
      <w:r>
        <w:rPr>
          <w:rFonts w:ascii="Times New Roman" w:hAnsi="Times New Roman" w:eastAsia="Times New Roman"/>
          <w:spacing w:val="-6"/>
          <w:sz w:val="18"/>
        </w:rPr>
        <w:t>≤40</w:t>
      </w:r>
      <w:r>
        <w:rPr>
          <w:spacing w:val="-6"/>
          <w:sz w:val="18"/>
        </w:rPr>
        <w:t>）</w:t>
      </w:r>
      <w:r>
        <w:rPr>
          <w:spacing w:val="-7"/>
          <w:sz w:val="18"/>
        </w:rPr>
        <w:t>，报告为甲型流感病毒阴性，低于试剂盒的</w:t>
      </w:r>
      <w:r>
        <w:rPr>
          <w:spacing w:val="-6"/>
          <w:sz w:val="18"/>
        </w:rPr>
        <w:t>检测下限</w:t>
      </w:r>
      <w:r>
        <w:rPr>
          <w:spacing w:val="-5"/>
          <w:sz w:val="18"/>
        </w:rPr>
        <w:t>（如图二所示</w:t>
      </w:r>
      <w:r>
        <w:rPr>
          <w:spacing w:val="-10"/>
          <w:sz w:val="18"/>
        </w:rPr>
        <w:t>）</w:t>
      </w:r>
      <w:r>
        <w:rPr>
          <w:spacing w:val="4"/>
          <w:sz w:val="18"/>
        </w:rPr>
        <w:t>。若内标</w:t>
      </w:r>
      <w:r>
        <w:rPr>
          <w:rFonts w:ascii="Times New Roman" w:hAnsi="Times New Roman" w:eastAsia="Times New Roman"/>
          <w:sz w:val="18"/>
        </w:rPr>
        <w:t>Ct</w:t>
      </w:r>
      <w:r>
        <w:rPr>
          <w:rFonts w:ascii="Times New Roman" w:hAnsi="Times New Roman" w:eastAsia="Times New Roman"/>
          <w:spacing w:val="-9"/>
          <w:sz w:val="18"/>
        </w:rPr>
        <w:t> </w:t>
      </w:r>
      <w:r>
        <w:rPr>
          <w:spacing w:val="-3"/>
          <w:sz w:val="18"/>
        </w:rPr>
        <w:t>值</w:t>
      </w:r>
      <w:r>
        <w:rPr>
          <w:rFonts w:ascii="Times New Roman" w:hAnsi="Times New Roman" w:eastAsia="Times New Roman"/>
          <w:sz w:val="18"/>
        </w:rPr>
        <w:t>&gt;40</w:t>
      </w:r>
      <w:r>
        <w:rPr>
          <w:rFonts w:ascii="Times New Roman" w:hAnsi="Times New Roman" w:eastAsia="Times New Roman"/>
          <w:spacing w:val="-7"/>
          <w:sz w:val="18"/>
        </w:rPr>
        <w:t> </w:t>
      </w:r>
      <w:r>
        <w:rPr>
          <w:spacing w:val="-7"/>
          <w:sz w:val="18"/>
        </w:rPr>
        <w:t>或无显示</w:t>
      </w:r>
      <w:r>
        <w:rPr>
          <w:spacing w:val="-3"/>
          <w:sz w:val="18"/>
        </w:rPr>
        <w:t>（</w:t>
      </w:r>
      <w:r>
        <w:rPr>
          <w:spacing w:val="-5"/>
          <w:sz w:val="18"/>
        </w:rPr>
        <w:t>如图三所示</w:t>
      </w:r>
      <w:r>
        <w:rPr>
          <w:spacing w:val="-9"/>
          <w:sz w:val="18"/>
        </w:rPr>
        <w:t>）</w:t>
      </w:r>
      <w:r>
        <w:rPr>
          <w:spacing w:val="-8"/>
          <w:sz w:val="18"/>
        </w:rPr>
        <w:t>，则该样本的检测结果无效，应查找并排除原因，并对此样</w:t>
      </w:r>
      <w:r>
        <w:rPr>
          <w:spacing w:val="-5"/>
          <w:sz w:val="18"/>
        </w:rPr>
        <w:t>本进行重复试验</w:t>
      </w:r>
      <w:r>
        <w:rPr>
          <w:spacing w:val="-3"/>
          <w:sz w:val="18"/>
        </w:rPr>
        <w:t>（</w:t>
      </w:r>
      <w:r>
        <w:rPr>
          <w:spacing w:val="-5"/>
          <w:sz w:val="18"/>
        </w:rPr>
        <w:t>若重复试验的检测结果仍无效，请与本公司联系）</w:t>
      </w:r>
      <w:r>
        <w:rPr>
          <w:sz w:val="18"/>
        </w:rPr>
        <w:t>。</w:t>
      </w:r>
    </w:p>
    <w:p>
      <w:pPr>
        <w:pStyle w:val="BodyText"/>
        <w:tabs>
          <w:tab w:pos="4249" w:val="left" w:leader="none"/>
          <w:tab w:pos="7686" w:val="left" w:leader="none"/>
        </w:tabs>
        <w:spacing w:line="240" w:lineRule="auto" w:before="22"/>
        <w:ind w:left="899"/>
      </w:pPr>
      <w:r>
        <w:rPr>
          <w:spacing w:val="-5"/>
        </w:rPr>
        <w:t>图</w:t>
      </w:r>
      <w:r>
        <w:rPr>
          <w:spacing w:val="-3"/>
        </w:rPr>
        <w:t>一</w:t>
      </w:r>
      <w:r>
        <w:rPr>
          <w:rFonts w:ascii="Times New Roman" w:eastAsia="Times New Roman"/>
          <w:spacing w:val="-5"/>
        </w:rPr>
        <w:t>.</w:t>
      </w:r>
      <w:r>
        <w:rPr>
          <w:spacing w:val="-5"/>
        </w:rPr>
        <w:t>阳</w:t>
      </w:r>
      <w:r>
        <w:rPr>
          <w:spacing w:val="-3"/>
        </w:rPr>
        <w:t>性</w:t>
      </w:r>
      <w:r>
        <w:rPr>
          <w:spacing w:val="-5"/>
        </w:rPr>
        <w:t>样本</w:t>
      </w:r>
      <w:r>
        <w:rPr>
          <w:spacing w:val="-3"/>
        </w:rPr>
        <w:t>扩</w:t>
      </w:r>
      <w:r>
        <w:rPr>
          <w:spacing w:val="-5"/>
        </w:rPr>
        <w:t>增曲</w:t>
      </w:r>
      <w:r>
        <w:rPr/>
        <w:t>线</w:t>
        <w:tab/>
      </w:r>
      <w:r>
        <w:rPr>
          <w:spacing w:val="-5"/>
        </w:rPr>
        <w:t>图</w:t>
      </w:r>
      <w:r>
        <w:rPr>
          <w:spacing w:val="-3"/>
        </w:rPr>
        <w:t>二</w:t>
      </w:r>
      <w:r>
        <w:rPr>
          <w:rFonts w:ascii="Times New Roman" w:eastAsia="Times New Roman"/>
        </w:rPr>
        <w:t>.</w:t>
      </w:r>
      <w:r>
        <w:rPr>
          <w:rFonts w:ascii="Times New Roman" w:eastAsia="Times New Roman"/>
          <w:spacing w:val="39"/>
        </w:rPr>
        <w:t> </w:t>
      </w:r>
      <w:r>
        <w:rPr>
          <w:spacing w:val="-5"/>
        </w:rPr>
        <w:t>阴</w:t>
      </w:r>
      <w:r>
        <w:rPr>
          <w:spacing w:val="-3"/>
        </w:rPr>
        <w:t>性</w:t>
      </w:r>
      <w:r>
        <w:rPr>
          <w:spacing w:val="-5"/>
        </w:rPr>
        <w:t>样本</w:t>
      </w:r>
      <w:r>
        <w:rPr>
          <w:spacing w:val="-3"/>
        </w:rPr>
        <w:t>扩</w:t>
      </w:r>
      <w:r>
        <w:rPr>
          <w:spacing w:val="-5"/>
        </w:rPr>
        <w:t>增曲</w:t>
      </w:r>
      <w:r>
        <w:rPr/>
        <w:t>线</w:t>
        <w:tab/>
      </w:r>
      <w:r>
        <w:rPr>
          <w:spacing w:val="-5"/>
        </w:rPr>
        <w:t>图</w:t>
      </w:r>
      <w:r>
        <w:rPr>
          <w:spacing w:val="-3"/>
        </w:rPr>
        <w:t>三</w:t>
      </w:r>
      <w:r>
        <w:rPr>
          <w:rFonts w:ascii="Times New Roman" w:eastAsia="Times New Roman"/>
        </w:rPr>
        <w:t>.</w:t>
      </w:r>
      <w:r>
        <w:rPr>
          <w:rFonts w:ascii="Times New Roman" w:eastAsia="Times New Roman"/>
          <w:spacing w:val="39"/>
        </w:rPr>
        <w:t> </w:t>
      </w:r>
      <w:r>
        <w:rPr>
          <w:spacing w:val="-5"/>
        </w:rPr>
        <w:t>无</w:t>
      </w:r>
      <w:r>
        <w:rPr>
          <w:spacing w:val="-3"/>
        </w:rPr>
        <w:t>效</w:t>
      </w:r>
      <w:r>
        <w:rPr>
          <w:spacing w:val="-5"/>
        </w:rPr>
        <w:t>样本</w:t>
      </w:r>
      <w:r>
        <w:rPr>
          <w:spacing w:val="-3"/>
        </w:rPr>
        <w:t>扩</w:t>
      </w:r>
      <w:r>
        <w:rPr>
          <w:spacing w:val="-5"/>
        </w:rPr>
        <w:t>增曲</w:t>
      </w:r>
      <w:r>
        <w:rPr/>
        <w:t>线</w:t>
      </w:r>
    </w:p>
    <w:p>
      <w:pPr>
        <w:pStyle w:val="Heading1"/>
        <w:spacing w:line="215" w:lineRule="exact" w:before="21"/>
      </w:pPr>
      <w:r>
        <w:rPr/>
        <w:t>【检测方法的局限性】</w:t>
      </w:r>
    </w:p>
    <w:p>
      <w:pPr>
        <w:pStyle w:val="ListParagraph"/>
        <w:numPr>
          <w:ilvl w:val="0"/>
          <w:numId w:val="6"/>
        </w:numPr>
        <w:tabs>
          <w:tab w:pos="324" w:val="left" w:leader="none"/>
        </w:tabs>
        <w:spacing w:line="200" w:lineRule="exact" w:before="0" w:after="0"/>
        <w:ind w:left="323" w:right="0" w:hanging="217"/>
        <w:jc w:val="left"/>
        <w:rPr>
          <w:rFonts w:ascii="Times New Roman" w:eastAsia="Times New Roman"/>
          <w:sz w:val="18"/>
        </w:rPr>
      </w:pPr>
      <w:r>
        <w:rPr>
          <w:spacing w:val="-5"/>
          <w:sz w:val="18"/>
        </w:rPr>
        <w:t>本试剂盒的检测结果仅供临床参考，对患者的临床诊治应结合其症状</w:t>
      </w:r>
      <w:r>
        <w:rPr>
          <w:rFonts w:ascii="Times New Roman" w:eastAsia="Times New Roman"/>
          <w:sz w:val="18"/>
        </w:rPr>
        <w:t>/</w:t>
      </w:r>
      <w:r>
        <w:rPr>
          <w:spacing w:val="-5"/>
          <w:sz w:val="18"/>
        </w:rPr>
        <w:t>体征、病史、其它实验室检查及治疗反应等情况综合考虑。</w:t>
      </w:r>
    </w:p>
    <w:p>
      <w:pPr>
        <w:pStyle w:val="ListParagraph"/>
        <w:numPr>
          <w:ilvl w:val="0"/>
          <w:numId w:val="6"/>
        </w:numPr>
        <w:tabs>
          <w:tab w:pos="324" w:val="left" w:leader="none"/>
        </w:tabs>
        <w:spacing w:line="200" w:lineRule="exact" w:before="0" w:after="0"/>
        <w:ind w:left="323" w:right="0" w:hanging="217"/>
        <w:jc w:val="left"/>
        <w:rPr>
          <w:rFonts w:ascii="Times New Roman" w:eastAsia="Times New Roman"/>
          <w:sz w:val="18"/>
        </w:rPr>
      </w:pPr>
      <w:r>
        <w:rPr>
          <w:spacing w:val="-5"/>
          <w:sz w:val="18"/>
        </w:rPr>
        <w:t>有关假阴性结果的可能性分析</w:t>
      </w:r>
    </w:p>
    <w:p>
      <w:pPr>
        <w:pStyle w:val="BodyText"/>
        <w:spacing w:line="208" w:lineRule="auto" w:before="8"/>
        <w:ind w:left="467" w:right="3421"/>
      </w:pPr>
      <w:r>
        <w:rPr/>
        <w:pict>
          <v:group style="position:absolute;margin-left:52.321301pt;margin-top:.471301pt;width:9.3pt;height:29.3pt;mso-position-horizontal-relative:page;mso-position-vertical-relative:paragraph;z-index:251662336" coordorigin="1046,9" coordsize="186,586">
            <v:shape style="position:absolute;left:1049;top:-11142;width:180;height:580" coordorigin="1049,-11142" coordsize="180,580" path="m1229,102l1222,137,1203,166,1174,185,1139,192,1104,185,1075,166,1056,137,1049,102,1056,67,1075,38,1104,19,1139,12,1174,19,1203,38,1222,67,1229,102m1229,302l1222,337,1203,366,1174,385,1139,392,1104,385,1075,366,1056,337,1049,302,1056,267,1075,238,1104,219,1139,212,1174,219,1203,238,1222,267,1229,302m1229,502l1222,537,1203,566,1174,585,1139,592,1104,585,1075,566,1056,537,1049,502,1056,467,1075,438,1104,419,1139,412,1174,419,1203,438,1222,467,1229,502e" filled="false" stroked="true" strokeweight=".2574pt" strokecolor="#000000">
              <v:path arrowok="t"/>
              <v:stroke dashstyle="solid"/>
            </v:shape>
            <v:shape style="position:absolute;left:1046;top:9;width:186;height:586" type="#_x0000_t202" filled="false" stroked="false">
              <v:textbox inset="0,0,0,0">
                <w:txbxContent>
                  <w:p>
                    <w:pPr>
                      <w:spacing w:before="2"/>
                      <w:ind w:left="55" w:right="0" w:firstLine="0"/>
                      <w:jc w:val="left"/>
                      <w:rPr>
                        <w:sz w:val="15"/>
                      </w:rPr>
                    </w:pPr>
                    <w:r>
                      <w:rPr>
                        <w:w w:val="99"/>
                        <w:sz w:val="15"/>
                      </w:rPr>
                      <w:t>1</w:t>
                    </w:r>
                  </w:p>
                  <w:p>
                    <w:pPr>
                      <w:spacing w:before="10"/>
                      <w:ind w:left="55" w:right="0" w:firstLine="0"/>
                      <w:jc w:val="left"/>
                      <w:rPr>
                        <w:sz w:val="15"/>
                      </w:rPr>
                    </w:pPr>
                    <w:r>
                      <w:rPr>
                        <w:w w:val="99"/>
                        <w:sz w:val="15"/>
                      </w:rPr>
                      <w:t>2</w:t>
                    </w:r>
                  </w:p>
                  <w:p>
                    <w:pPr>
                      <w:spacing w:line="182" w:lineRule="exact" w:before="7"/>
                      <w:ind w:left="55" w:right="0" w:firstLine="0"/>
                      <w:jc w:val="left"/>
                      <w:rPr>
                        <w:sz w:val="15"/>
                      </w:rPr>
                    </w:pPr>
                    <w:r>
                      <w:rPr>
                        <w:w w:val="99"/>
                        <w:sz w:val="15"/>
                      </w:rPr>
                      <w:t>3</w:t>
                    </w:r>
                  </w:p>
                </w:txbxContent>
              </v:textbox>
              <w10:wrap type="none"/>
            </v:shape>
            <w10:wrap type="none"/>
          </v:group>
        </w:pict>
      </w:r>
      <w:r>
        <w:rPr>
          <w:spacing w:val="-5"/>
        </w:rPr>
        <w:t>不合理的样本采集、处理、运送、样本中病毒滴度过低均有可能导致假阴性结果。 甲型流感病毒待测靶序列的变异或其他原因导致的序列改变可能会导致假阴性结果。不合理的试剂保存可能会导致假阴性结果。</w:t>
      </w:r>
    </w:p>
    <w:p>
      <w:pPr>
        <w:pStyle w:val="BodyText"/>
        <w:spacing w:line="190" w:lineRule="exact"/>
        <w:ind w:left="248"/>
      </w:pPr>
      <w:r>
        <w:rPr/>
        <w:t>④ 未经验证的其他干扰或</w:t>
      </w:r>
      <w:r>
        <w:rPr>
          <w:rFonts w:ascii="Times New Roman" w:hAnsi="Times New Roman" w:eastAsia="Times New Roman"/>
        </w:rPr>
        <w:t>PCR </w:t>
      </w:r>
      <w:r>
        <w:rPr/>
        <w:t>抑制因子，可能会导致假阴性结果。</w:t>
      </w:r>
    </w:p>
    <w:p>
      <w:pPr>
        <w:pStyle w:val="ListParagraph"/>
        <w:numPr>
          <w:ilvl w:val="0"/>
          <w:numId w:val="6"/>
        </w:numPr>
        <w:tabs>
          <w:tab w:pos="324" w:val="left" w:leader="none"/>
        </w:tabs>
        <w:spacing w:line="200" w:lineRule="exact" w:before="0" w:after="0"/>
        <w:ind w:left="323" w:right="0" w:hanging="217"/>
        <w:jc w:val="left"/>
        <w:rPr>
          <w:rFonts w:ascii="Times New Roman" w:eastAsia="Times New Roman"/>
          <w:sz w:val="18"/>
        </w:rPr>
      </w:pPr>
      <w:r>
        <w:rPr>
          <w:spacing w:val="-5"/>
          <w:sz w:val="18"/>
        </w:rPr>
        <w:t>样本处理过程出现交叉污染，会造成假阳性结果。</w:t>
      </w:r>
    </w:p>
    <w:p>
      <w:pPr>
        <w:pStyle w:val="ListParagraph"/>
        <w:numPr>
          <w:ilvl w:val="0"/>
          <w:numId w:val="6"/>
        </w:numPr>
        <w:tabs>
          <w:tab w:pos="324" w:val="left" w:leader="none"/>
        </w:tabs>
        <w:spacing w:line="206" w:lineRule="auto" w:before="11" w:after="0"/>
        <w:ind w:left="460" w:right="111" w:hanging="353"/>
        <w:jc w:val="left"/>
        <w:rPr>
          <w:rFonts w:ascii="Times New Roman" w:eastAsia="Times New Roman"/>
          <w:sz w:val="18"/>
        </w:rPr>
      </w:pPr>
      <w:r>
        <w:rPr>
          <w:spacing w:val="-11"/>
          <w:sz w:val="18"/>
        </w:rPr>
        <w:t>临床实验室应严格按照《临床基因扩增实验室工作规范》以及《全国流感</w:t>
      </w:r>
      <w:r>
        <w:rPr>
          <w:rFonts w:ascii="Times New Roman" w:eastAsia="Times New Roman"/>
          <w:sz w:val="18"/>
        </w:rPr>
        <w:t>/</w:t>
      </w:r>
      <w:r>
        <w:rPr>
          <w:spacing w:val="-8"/>
          <w:sz w:val="18"/>
        </w:rPr>
        <w:t>人禽流感监测实施方案》中的要求配备设备及操作人员， </w:t>
      </w:r>
      <w:r>
        <w:rPr>
          <w:spacing w:val="-5"/>
          <w:sz w:val="18"/>
        </w:rPr>
        <w:t>应严格按照说明书要求进行操作。</w:t>
      </w:r>
    </w:p>
    <w:p>
      <w:pPr>
        <w:pStyle w:val="Heading1"/>
        <w:spacing w:line="193" w:lineRule="exact"/>
      </w:pPr>
      <w:r>
        <w:rPr/>
        <w:t>【产品性能指标】</w:t>
      </w:r>
    </w:p>
    <w:p>
      <w:pPr>
        <w:pStyle w:val="ListParagraph"/>
        <w:numPr>
          <w:ilvl w:val="0"/>
          <w:numId w:val="7"/>
        </w:numPr>
        <w:tabs>
          <w:tab w:pos="245" w:val="left" w:leader="none"/>
        </w:tabs>
        <w:spacing w:line="200" w:lineRule="exact" w:before="0" w:after="0"/>
        <w:ind w:left="244" w:right="0" w:hanging="138"/>
        <w:jc w:val="left"/>
        <w:rPr>
          <w:sz w:val="18"/>
        </w:rPr>
      </w:pPr>
      <w:r>
        <w:rPr>
          <w:sz w:val="18"/>
        </w:rPr>
        <w:t>准确性及特异性</w:t>
      </w:r>
    </w:p>
    <w:p>
      <w:pPr>
        <w:pStyle w:val="BodyText"/>
        <w:spacing w:line="199" w:lineRule="exact"/>
        <w:ind w:left="467"/>
      </w:pPr>
      <w:r>
        <w:rPr>
          <w:spacing w:val="-3"/>
        </w:rPr>
        <w:t>本试剂盒中采用的引物探针是根据 </w:t>
      </w:r>
      <w:r>
        <w:rPr>
          <w:rFonts w:ascii="Times New Roman" w:eastAsia="Times New Roman"/>
        </w:rPr>
        <w:t>2009</w:t>
      </w:r>
      <w:r>
        <w:rPr>
          <w:rFonts w:ascii="Times New Roman" w:eastAsia="Times New Roman"/>
          <w:spacing w:val="1"/>
        </w:rPr>
        <w:t> </w:t>
      </w:r>
      <w:r>
        <w:rPr>
          <w:spacing w:val="-15"/>
        </w:rPr>
        <w:t>年至 </w:t>
      </w:r>
      <w:r>
        <w:rPr>
          <w:rFonts w:ascii="Times New Roman" w:eastAsia="Times New Roman"/>
        </w:rPr>
        <w:t>2014</w:t>
      </w:r>
      <w:r>
        <w:rPr>
          <w:rFonts w:ascii="Times New Roman" w:eastAsia="Times New Roman"/>
          <w:spacing w:val="1"/>
        </w:rPr>
        <w:t> </w:t>
      </w:r>
      <w:r>
        <w:rPr/>
        <w:t>年全球人甲型流感病毒已知基因序列以及和它同源性高的禽流感基因序列</w:t>
      </w:r>
    </w:p>
    <w:p>
      <w:pPr>
        <w:pStyle w:val="BodyText"/>
        <w:spacing w:line="208" w:lineRule="auto" w:before="8"/>
        <w:ind w:left="107" w:right="204"/>
      </w:pPr>
      <w:r>
        <w:rPr>
          <w:spacing w:val="-6"/>
        </w:rPr>
        <w:t>设计而成，确保对目的基因片段有较高的检出率。本试剂盒与腺病毒 </w:t>
      </w:r>
      <w:r>
        <w:rPr/>
        <w:t>3</w:t>
      </w:r>
      <w:r>
        <w:rPr>
          <w:spacing w:val="-16"/>
        </w:rPr>
        <w:t> 型、腺病毒 </w:t>
      </w:r>
      <w:r>
        <w:rPr/>
        <w:t>7</w:t>
      </w:r>
      <w:r>
        <w:rPr>
          <w:spacing w:val="-14"/>
        </w:rPr>
        <w:t> 型、肠道病毒 </w:t>
      </w:r>
      <w:r>
        <w:rPr/>
        <w:t>71</w:t>
      </w:r>
      <w:r>
        <w:rPr>
          <w:spacing w:val="-10"/>
        </w:rPr>
        <w:t> 型、肺炎衣原体、肺炎支原</w:t>
      </w:r>
      <w:r>
        <w:rPr/>
        <w:t>体、2</w:t>
      </w:r>
      <w:r>
        <w:rPr>
          <w:spacing w:val="-6"/>
        </w:rPr>
        <w:t> 型人副流感病毒、</w:t>
      </w:r>
      <w:r>
        <w:rPr/>
        <w:t>1A</w:t>
      </w:r>
      <w:r>
        <w:rPr>
          <w:spacing w:val="-6"/>
        </w:rPr>
        <w:t> 型鼻病毒、流行性腮腺炎病毒、百日咳杆菌、结核分枝杆菌、流感嗜血杆菌、嗜肺军团菌、</w:t>
      </w:r>
      <w:r>
        <w:rPr/>
        <w:t>Q</w:t>
      </w:r>
      <w:r>
        <w:rPr>
          <w:spacing w:val="-8"/>
        </w:rPr>
        <w:t> 热立克</w:t>
      </w:r>
    </w:p>
    <w:p>
      <w:pPr>
        <w:spacing w:after="0" w:line="208" w:lineRule="auto"/>
        <w:sectPr>
          <w:pgSz w:w="11910" w:h="16840"/>
          <w:pgMar w:header="462" w:footer="460" w:top="660" w:bottom="640" w:left="800" w:right="700"/>
        </w:sectPr>
      </w:pPr>
    </w:p>
    <w:p>
      <w:pPr>
        <w:pStyle w:val="BodyText"/>
        <w:spacing w:line="240" w:lineRule="auto" w:before="5"/>
        <w:ind w:left="0"/>
        <w:rPr>
          <w:sz w:val="3"/>
        </w:rPr>
      </w:pPr>
    </w:p>
    <w:p>
      <w:pPr>
        <w:pStyle w:val="BodyText"/>
        <w:spacing w:line="20" w:lineRule="exact"/>
        <w:ind w:left="99"/>
        <w:rPr>
          <w:sz w:val="2"/>
        </w:rPr>
      </w:pPr>
      <w:r>
        <w:rPr>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sz w:val="2"/>
        </w:rPr>
      </w:r>
    </w:p>
    <w:p>
      <w:pPr>
        <w:pStyle w:val="BodyText"/>
        <w:spacing w:line="208" w:lineRule="auto"/>
        <w:ind w:left="107" w:right="207"/>
      </w:pPr>
      <w:r>
        <w:rPr/>
        <w:t>次体、肺炎链球菌、唾液链球菌、人类冠状病毒、脑膜炎奈瑟菌、金黄色葡萄球菌和化脓链球菌</w:t>
      </w:r>
      <w:r>
        <w:rPr>
          <w:color w:val="070707"/>
        </w:rPr>
        <w:t>等病原体感染样本无</w:t>
      </w:r>
      <w:r>
        <w:rPr/>
        <w:t>交叉反应。检测企业阴阳性工作参考品，阴、阳性符合率均为 </w:t>
      </w:r>
      <w:r>
        <w:rPr>
          <w:rFonts w:ascii="Times New Roman" w:eastAsia="Times New Roman"/>
        </w:rPr>
        <w:t>100%</w:t>
      </w:r>
      <w:r>
        <w:rPr/>
        <w:t>。</w:t>
      </w:r>
    </w:p>
    <w:p>
      <w:pPr>
        <w:pStyle w:val="ListParagraph"/>
        <w:numPr>
          <w:ilvl w:val="0"/>
          <w:numId w:val="7"/>
        </w:numPr>
        <w:tabs>
          <w:tab w:pos="245" w:val="left" w:leader="none"/>
        </w:tabs>
        <w:spacing w:line="191" w:lineRule="exact" w:before="0" w:after="0"/>
        <w:ind w:left="244" w:right="0" w:hanging="138"/>
        <w:jc w:val="left"/>
        <w:rPr>
          <w:sz w:val="18"/>
        </w:rPr>
      </w:pPr>
      <w:r>
        <w:rPr>
          <w:sz w:val="18"/>
        </w:rPr>
        <w:t>精密度</w:t>
      </w:r>
    </w:p>
    <w:p>
      <w:pPr>
        <w:pStyle w:val="BodyText"/>
        <w:ind w:left="467"/>
      </w:pPr>
      <w:r>
        <w:rPr/>
        <w:t>批内、批间与日内、日间重复性好，检测结果 </w:t>
      </w:r>
      <w:r>
        <w:rPr>
          <w:rFonts w:ascii="Times New Roman" w:hAnsi="Times New Roman" w:eastAsia="Times New Roman"/>
        </w:rPr>
        <w:t>Ct </w:t>
      </w:r>
      <w:r>
        <w:rPr/>
        <w:t>值的变异系数（</w:t>
      </w:r>
      <w:r>
        <w:rPr>
          <w:rFonts w:ascii="Times New Roman" w:hAnsi="Times New Roman" w:eastAsia="Times New Roman"/>
        </w:rPr>
        <w:t>CV%</w:t>
      </w:r>
      <w:r>
        <w:rPr/>
        <w:t>）≤</w:t>
      </w:r>
      <w:r>
        <w:rPr>
          <w:rFonts w:ascii="Times New Roman" w:hAnsi="Times New Roman" w:eastAsia="Times New Roman"/>
        </w:rPr>
        <w:t>5%</w:t>
      </w:r>
      <w:r>
        <w:rPr/>
        <w:t>。</w:t>
      </w:r>
    </w:p>
    <w:p>
      <w:pPr>
        <w:pStyle w:val="ListParagraph"/>
        <w:numPr>
          <w:ilvl w:val="0"/>
          <w:numId w:val="7"/>
        </w:numPr>
        <w:tabs>
          <w:tab w:pos="245" w:val="left" w:leader="none"/>
        </w:tabs>
        <w:spacing w:line="203" w:lineRule="exact" w:before="0" w:after="0"/>
        <w:ind w:left="244" w:right="0" w:hanging="138"/>
        <w:jc w:val="left"/>
        <w:rPr>
          <w:sz w:val="18"/>
        </w:rPr>
      </w:pPr>
      <w:r>
        <w:rPr>
          <w:sz w:val="18"/>
        </w:rPr>
        <w:t>最低检测限</w:t>
      </w:r>
    </w:p>
    <w:p>
      <w:pPr>
        <w:pStyle w:val="BodyText"/>
        <w:spacing w:line="201" w:lineRule="auto" w:before="17"/>
        <w:ind w:left="107" w:right="6851" w:firstLine="360"/>
      </w:pPr>
      <w:r>
        <w:rPr>
          <w:position w:val="1"/>
        </w:rPr>
        <w:t>本试剂盒最低检测限为 </w:t>
      </w:r>
      <w:r>
        <w:rPr>
          <w:rFonts w:ascii="Times New Roman" w:eastAsia="Times New Roman"/>
          <w:position w:val="1"/>
        </w:rPr>
        <w:t>6.5TCID</w:t>
      </w:r>
      <w:r>
        <w:rPr>
          <w:rFonts w:ascii="Times New Roman" w:eastAsia="Times New Roman"/>
          <w:position w:val="1"/>
          <w:vertAlign w:val="subscript"/>
        </w:rPr>
        <w:t>50</w:t>
      </w:r>
      <w:r>
        <w:rPr>
          <w:rFonts w:ascii="Times New Roman" w:eastAsia="Times New Roman"/>
          <w:position w:val="1"/>
          <w:vertAlign w:val="baseline"/>
        </w:rPr>
        <w:t>/ml</w:t>
      </w:r>
      <w:r>
        <w:rPr>
          <w:position w:val="1"/>
          <w:vertAlign w:val="baseline"/>
        </w:rPr>
        <w:t>。</w:t>
      </w:r>
      <w:r>
        <w:rPr>
          <w:rFonts w:ascii="Times New Roman" w:eastAsia="Times New Roman"/>
          <w:vertAlign w:val="baseline"/>
        </w:rPr>
        <w:t>4.</w:t>
      </w:r>
      <w:r>
        <w:rPr>
          <w:vertAlign w:val="baseline"/>
        </w:rPr>
        <w:t>干扰物质</w:t>
      </w:r>
    </w:p>
    <w:p>
      <w:pPr>
        <w:pStyle w:val="BodyText"/>
        <w:spacing w:line="206" w:lineRule="auto" w:before="3"/>
        <w:ind w:left="248" w:right="108" w:firstLine="216"/>
      </w:pPr>
      <w:r>
        <w:rPr>
          <w:spacing w:val="-2"/>
        </w:rPr>
        <w:t>样本中含有羟甲唑啉</w:t>
      </w:r>
      <w:r>
        <w:rPr>
          <w:spacing w:val="-3"/>
        </w:rPr>
        <w:t>（</w:t>
      </w:r>
      <w:r>
        <w:rPr>
          <w:rFonts w:ascii="Times New Roman" w:hAnsi="Times New Roman" w:eastAsia="Times New Roman"/>
          <w:spacing w:val="1"/>
        </w:rPr>
        <w:t>2</w:t>
      </w:r>
      <w:r>
        <w:rPr>
          <w:rFonts w:ascii="Times New Roman" w:hAnsi="Times New Roman" w:eastAsia="Times New Roman"/>
          <w:spacing w:val="-2"/>
        </w:rPr>
        <w:t>00</w:t>
      </w:r>
      <w:r>
        <w:rPr>
          <w:rFonts w:ascii="Times New Roman" w:hAnsi="Times New Roman" w:eastAsia="Times New Roman"/>
          <w:spacing w:val="-1"/>
        </w:rPr>
        <w:t>μ</w:t>
      </w:r>
      <w:r>
        <w:rPr>
          <w:rFonts w:ascii="Times New Roman" w:hAnsi="Times New Roman" w:eastAsia="Times New Roman"/>
          <w:spacing w:val="-2"/>
        </w:rPr>
        <w:t>g</w:t>
      </w:r>
      <w:r>
        <w:rPr>
          <w:rFonts w:ascii="Times New Roman" w:hAnsi="Times New Roman" w:eastAsia="Times New Roman"/>
        </w:rPr>
        <w:t>/</w:t>
      </w:r>
      <w:r>
        <w:rPr>
          <w:rFonts w:ascii="Times New Roman" w:hAnsi="Times New Roman" w:eastAsia="Times New Roman"/>
          <w:spacing w:val="-1"/>
        </w:rPr>
        <w:t>m</w:t>
      </w:r>
      <w:r>
        <w:rPr>
          <w:rFonts w:ascii="Times New Roman" w:hAnsi="Times New Roman" w:eastAsia="Times New Roman"/>
          <w:spacing w:val="2"/>
        </w:rPr>
        <w:t>l</w:t>
      </w:r>
      <w:r>
        <w:rPr>
          <w:spacing w:val="-17"/>
        </w:rPr>
        <w:t>）</w:t>
      </w:r>
      <w:r>
        <w:rPr>
          <w:spacing w:val="-8"/>
        </w:rPr>
        <w:t>、倍氯米松</w:t>
      </w:r>
      <w:r>
        <w:rPr>
          <w:spacing w:val="-3"/>
        </w:rPr>
        <w:t>（</w:t>
      </w:r>
      <w:r>
        <w:rPr>
          <w:rFonts w:ascii="Times New Roman" w:hAnsi="Times New Roman" w:eastAsia="Times New Roman"/>
          <w:spacing w:val="1"/>
        </w:rPr>
        <w:t>2</w:t>
      </w:r>
      <w:r>
        <w:rPr>
          <w:rFonts w:ascii="Times New Roman" w:hAnsi="Times New Roman" w:eastAsia="Times New Roman"/>
          <w:spacing w:val="-2"/>
        </w:rPr>
        <w:t>0</w:t>
      </w:r>
      <w:r>
        <w:rPr>
          <w:rFonts w:ascii="Times New Roman" w:hAnsi="Times New Roman" w:eastAsia="Times New Roman"/>
          <w:spacing w:val="1"/>
        </w:rPr>
        <w:t>0</w:t>
      </w:r>
      <w:r>
        <w:rPr>
          <w:rFonts w:ascii="Times New Roman" w:hAnsi="Times New Roman" w:eastAsia="Times New Roman"/>
          <w:spacing w:val="-1"/>
        </w:rPr>
        <w:t>μ</w:t>
      </w:r>
      <w:r>
        <w:rPr>
          <w:rFonts w:ascii="Times New Roman" w:hAnsi="Times New Roman" w:eastAsia="Times New Roman"/>
          <w:spacing w:val="-2"/>
        </w:rPr>
        <w:t>g</w:t>
      </w:r>
      <w:r>
        <w:rPr>
          <w:rFonts w:ascii="Times New Roman" w:hAnsi="Times New Roman" w:eastAsia="Times New Roman"/>
        </w:rPr>
        <w:t>/</w:t>
      </w:r>
      <w:r>
        <w:rPr>
          <w:rFonts w:ascii="Times New Roman" w:hAnsi="Times New Roman" w:eastAsia="Times New Roman"/>
          <w:spacing w:val="-1"/>
        </w:rPr>
        <w:t>m</w:t>
      </w:r>
      <w:r>
        <w:rPr>
          <w:rFonts w:ascii="Times New Roman" w:hAnsi="Times New Roman" w:eastAsia="Times New Roman"/>
          <w:spacing w:val="2"/>
        </w:rPr>
        <w:t>l</w:t>
      </w:r>
      <w:r>
        <w:rPr>
          <w:spacing w:val="-20"/>
        </w:rPr>
        <w:t>）</w:t>
      </w:r>
      <w:r>
        <w:rPr>
          <w:spacing w:val="-11"/>
        </w:rPr>
        <w:t>、硫磺</w:t>
      </w:r>
      <w:r>
        <w:rPr>
          <w:spacing w:val="-3"/>
        </w:rPr>
        <w:t>（</w:t>
      </w:r>
      <w:r>
        <w:rPr>
          <w:rFonts w:ascii="Times New Roman" w:hAnsi="Times New Roman" w:eastAsia="Times New Roman"/>
          <w:spacing w:val="1"/>
        </w:rPr>
        <w:t>1</w:t>
      </w:r>
      <w:r>
        <w:rPr>
          <w:rFonts w:ascii="Times New Roman" w:hAnsi="Times New Roman" w:eastAsia="Times New Roman"/>
          <w:spacing w:val="-2"/>
        </w:rPr>
        <w:t>00</w:t>
      </w:r>
      <w:r>
        <w:rPr>
          <w:rFonts w:ascii="Times New Roman" w:hAnsi="Times New Roman" w:eastAsia="Times New Roman"/>
          <w:spacing w:val="1"/>
        </w:rPr>
        <w:t>μ</w:t>
      </w:r>
      <w:r>
        <w:rPr>
          <w:rFonts w:ascii="Times New Roman" w:hAnsi="Times New Roman" w:eastAsia="Times New Roman"/>
          <w:spacing w:val="-2"/>
        </w:rPr>
        <w:t>g</w:t>
      </w:r>
      <w:r>
        <w:rPr>
          <w:rFonts w:ascii="Times New Roman" w:hAnsi="Times New Roman" w:eastAsia="Times New Roman"/>
        </w:rPr>
        <w:t>/</w:t>
      </w:r>
      <w:r>
        <w:rPr>
          <w:rFonts w:ascii="Times New Roman" w:hAnsi="Times New Roman" w:eastAsia="Times New Roman"/>
          <w:spacing w:val="-1"/>
        </w:rPr>
        <w:t>m</w:t>
      </w:r>
      <w:r>
        <w:rPr>
          <w:rFonts w:ascii="Times New Roman" w:hAnsi="Times New Roman" w:eastAsia="Times New Roman"/>
        </w:rPr>
        <w:t>l</w:t>
      </w:r>
      <w:r>
        <w:rPr>
          <w:spacing w:val="-17"/>
        </w:rPr>
        <w:t>）</w:t>
      </w:r>
      <w:r>
        <w:rPr>
          <w:spacing w:val="-9"/>
        </w:rPr>
        <w:t>、薄荷脑</w:t>
      </w:r>
      <w:r>
        <w:rPr/>
        <w:t>（</w:t>
      </w:r>
      <w:r>
        <w:rPr>
          <w:rFonts w:ascii="Times New Roman" w:hAnsi="Times New Roman" w:eastAsia="Times New Roman"/>
          <w:spacing w:val="1"/>
        </w:rPr>
        <w:t>1</w:t>
      </w:r>
      <w:r>
        <w:rPr>
          <w:rFonts w:ascii="Times New Roman" w:hAnsi="Times New Roman" w:eastAsia="Times New Roman"/>
          <w:spacing w:val="-2"/>
        </w:rPr>
        <w:t>00</w:t>
      </w:r>
      <w:r>
        <w:rPr>
          <w:rFonts w:ascii="Times New Roman" w:hAnsi="Times New Roman" w:eastAsia="Times New Roman"/>
          <w:spacing w:val="-1"/>
        </w:rPr>
        <w:t>μ</w:t>
      </w:r>
      <w:r>
        <w:rPr>
          <w:rFonts w:ascii="Times New Roman" w:hAnsi="Times New Roman" w:eastAsia="Times New Roman"/>
          <w:spacing w:val="-2"/>
        </w:rPr>
        <w:t>g</w:t>
      </w:r>
      <w:r>
        <w:rPr>
          <w:rFonts w:ascii="Times New Roman" w:hAnsi="Times New Roman" w:eastAsia="Times New Roman"/>
        </w:rPr>
        <w:t>/</w:t>
      </w:r>
      <w:r>
        <w:rPr>
          <w:rFonts w:ascii="Times New Roman" w:hAnsi="Times New Roman" w:eastAsia="Times New Roman"/>
          <w:spacing w:val="-1"/>
        </w:rPr>
        <w:t>m</w:t>
      </w:r>
      <w:r>
        <w:rPr>
          <w:rFonts w:ascii="Times New Roman" w:hAnsi="Times New Roman" w:eastAsia="Times New Roman"/>
          <w:spacing w:val="2"/>
        </w:rPr>
        <w:t>l</w:t>
      </w:r>
      <w:r>
        <w:rPr>
          <w:spacing w:val="-17"/>
        </w:rPr>
        <w:t>）</w:t>
      </w:r>
      <w:r>
        <w:rPr>
          <w:spacing w:val="-8"/>
        </w:rPr>
        <w:t>、扎那米韦</w:t>
      </w:r>
      <w:r>
        <w:rPr>
          <w:spacing w:val="-3"/>
        </w:rPr>
        <w:t>（</w:t>
      </w:r>
      <w:r>
        <w:rPr>
          <w:rFonts w:ascii="Times New Roman" w:hAnsi="Times New Roman" w:eastAsia="Times New Roman"/>
          <w:spacing w:val="1"/>
        </w:rPr>
        <w:t>2</w:t>
      </w:r>
      <w:r>
        <w:rPr>
          <w:rFonts w:ascii="Times New Roman" w:hAnsi="Times New Roman" w:eastAsia="Times New Roman"/>
          <w:spacing w:val="-2"/>
        </w:rPr>
        <w:t>0</w:t>
      </w:r>
      <w:r>
        <w:rPr>
          <w:rFonts w:ascii="Times New Roman" w:hAnsi="Times New Roman" w:eastAsia="Times New Roman"/>
          <w:spacing w:val="1"/>
        </w:rPr>
        <w:t>0</w:t>
      </w:r>
      <w:r>
        <w:rPr>
          <w:rFonts w:ascii="Times New Roman" w:hAnsi="Times New Roman" w:eastAsia="Times New Roman"/>
          <w:spacing w:val="-1"/>
        </w:rPr>
        <w:t>μ</w:t>
      </w:r>
      <w:r>
        <w:rPr>
          <w:rFonts w:ascii="Times New Roman" w:hAnsi="Times New Roman" w:eastAsia="Times New Roman"/>
          <w:spacing w:val="-2"/>
        </w:rPr>
        <w:t>g</w:t>
      </w:r>
      <w:r>
        <w:rPr>
          <w:rFonts w:ascii="Times New Roman" w:hAnsi="Times New Roman" w:eastAsia="Times New Roman"/>
        </w:rPr>
        <w:t>/</w:t>
      </w:r>
      <w:r>
        <w:rPr>
          <w:rFonts w:ascii="Times New Roman" w:hAnsi="Times New Roman" w:eastAsia="Times New Roman"/>
          <w:spacing w:val="-1"/>
        </w:rPr>
        <w:t>m</w:t>
      </w:r>
      <w:r>
        <w:rPr>
          <w:rFonts w:ascii="Times New Roman" w:hAnsi="Times New Roman" w:eastAsia="Times New Roman"/>
        </w:rPr>
        <w:t>l</w:t>
      </w:r>
      <w:r>
        <w:rPr>
          <w:spacing w:val="-89"/>
        </w:rPr>
        <w:t>）</w:t>
      </w:r>
      <w:r>
        <w:rPr/>
        <w:t>、纯化粘蛋白（</w:t>
      </w:r>
      <w:r>
        <w:rPr>
          <w:rFonts w:ascii="Times New Roman" w:hAnsi="Times New Roman" w:eastAsia="Times New Roman"/>
        </w:rPr>
        <w:t>200μg/ml</w:t>
      </w:r>
      <w:r>
        <w:rPr/>
        <w:t>）、人血液（</w:t>
      </w:r>
      <w:r>
        <w:rPr>
          <w:spacing w:val="-16"/>
        </w:rPr>
        <w:t>小于 </w:t>
      </w:r>
      <w:r>
        <w:rPr>
          <w:rFonts w:ascii="Times New Roman" w:hAnsi="Times New Roman" w:eastAsia="Times New Roman"/>
        </w:rPr>
        <w:t>20%,v/v</w:t>
      </w:r>
      <w:r>
        <w:rPr/>
        <w:t>），</w:t>
      </w:r>
      <w:r>
        <w:rPr>
          <w:spacing w:val="-1"/>
        </w:rPr>
        <w:t>等对本试剂盒的检测无明显影响。样本中分别加入一定比例的治疗药物， 如常见抗感冒药物、糖皮质激素、抗生素等对本试剂盒的检测无影响。</w:t>
      </w:r>
    </w:p>
    <w:p>
      <w:pPr>
        <w:pStyle w:val="Heading1"/>
        <w:spacing w:line="195" w:lineRule="exact"/>
      </w:pPr>
      <w:r>
        <w:rPr/>
        <w:t>【注意事项】</w:t>
      </w:r>
    </w:p>
    <w:p>
      <w:pPr>
        <w:pStyle w:val="ListParagraph"/>
        <w:numPr>
          <w:ilvl w:val="1"/>
          <w:numId w:val="7"/>
        </w:numPr>
        <w:tabs>
          <w:tab w:pos="412" w:val="left" w:leader="none"/>
        </w:tabs>
        <w:spacing w:line="199" w:lineRule="exact" w:before="0" w:after="0"/>
        <w:ind w:left="412" w:right="0" w:hanging="219"/>
        <w:jc w:val="left"/>
        <w:rPr>
          <w:sz w:val="18"/>
        </w:rPr>
      </w:pPr>
      <w:r>
        <w:rPr>
          <w:spacing w:val="-5"/>
          <w:sz w:val="18"/>
        </w:rPr>
        <w:t>本品仅用于体外检测，使用前请仔细阅读本说明书。</w:t>
      </w:r>
    </w:p>
    <w:p>
      <w:pPr>
        <w:pStyle w:val="ListParagraph"/>
        <w:numPr>
          <w:ilvl w:val="1"/>
          <w:numId w:val="7"/>
        </w:numPr>
        <w:tabs>
          <w:tab w:pos="412" w:val="left" w:leader="none"/>
        </w:tabs>
        <w:spacing w:line="200" w:lineRule="exact" w:before="0" w:after="0"/>
        <w:ind w:left="412" w:right="0" w:hanging="219"/>
        <w:jc w:val="left"/>
        <w:rPr>
          <w:sz w:val="18"/>
        </w:rPr>
      </w:pPr>
      <w:r>
        <w:rPr>
          <w:spacing w:val="-5"/>
          <w:sz w:val="18"/>
        </w:rPr>
        <w:t>实验前请熟悉和掌握需使用的各种仪器的操作方法和注意事项，对每次实验进行质量控制。</w:t>
      </w:r>
    </w:p>
    <w:p>
      <w:pPr>
        <w:pStyle w:val="ListParagraph"/>
        <w:numPr>
          <w:ilvl w:val="1"/>
          <w:numId w:val="7"/>
        </w:numPr>
        <w:tabs>
          <w:tab w:pos="415" w:val="left" w:leader="none"/>
        </w:tabs>
        <w:spacing w:line="206" w:lineRule="auto" w:before="11" w:after="0"/>
        <w:ind w:left="460" w:right="200" w:hanging="264"/>
        <w:jc w:val="left"/>
        <w:rPr>
          <w:sz w:val="18"/>
        </w:rPr>
      </w:pPr>
      <w:r>
        <w:rPr>
          <w:spacing w:val="-5"/>
          <w:sz w:val="18"/>
        </w:rPr>
        <w:t>实验室管理应严格按照</w:t>
      </w:r>
      <w:r>
        <w:rPr>
          <w:rFonts w:ascii="Times New Roman" w:eastAsia="Times New Roman"/>
          <w:spacing w:val="-3"/>
          <w:sz w:val="18"/>
        </w:rPr>
        <w:t>PCR</w:t>
      </w:r>
      <w:r>
        <w:rPr>
          <w:spacing w:val="-9"/>
          <w:sz w:val="18"/>
        </w:rPr>
        <w:t>基因扩增实验室的管理规范，实验人员必须进行专业培训，实验过程严格分区进行，所用消耗品应灭</w:t>
      </w:r>
      <w:r>
        <w:rPr>
          <w:spacing w:val="-5"/>
          <w:sz w:val="18"/>
        </w:rPr>
        <w:t>菌后一次性使用，实验操作的每个阶段使用专用的仪器和设备，各区各阶段用品不能交叉使用。</w:t>
      </w:r>
    </w:p>
    <w:p>
      <w:pPr>
        <w:pStyle w:val="ListParagraph"/>
        <w:numPr>
          <w:ilvl w:val="1"/>
          <w:numId w:val="7"/>
        </w:numPr>
        <w:tabs>
          <w:tab w:pos="331" w:val="left" w:leader="none"/>
        </w:tabs>
        <w:spacing w:line="208" w:lineRule="auto" w:before="0" w:after="0"/>
        <w:ind w:left="460" w:right="111" w:hanging="264"/>
        <w:jc w:val="left"/>
        <w:rPr>
          <w:sz w:val="18"/>
        </w:rPr>
      </w:pPr>
      <w:r>
        <w:rPr>
          <w:spacing w:val="-9"/>
          <w:sz w:val="18"/>
        </w:rPr>
        <w:t>所有检测样品应视为具有传染性物质，实验过程中穿工作服，戴一次性手套并经常替换手套以避免样品间的交叉污染；样本操作、</w:t>
      </w:r>
      <w:r>
        <w:rPr>
          <w:spacing w:val="-7"/>
          <w:sz w:val="18"/>
        </w:rPr>
        <w:t>废弃物处理均需符合相关法规要求：卫生部《微生物生物医学实验室生物安全通用准则》和《医疗废物管理条例》。</w:t>
      </w:r>
    </w:p>
    <w:p>
      <w:pPr>
        <w:pStyle w:val="ListParagraph"/>
        <w:numPr>
          <w:ilvl w:val="1"/>
          <w:numId w:val="7"/>
        </w:numPr>
        <w:tabs>
          <w:tab w:pos="415" w:val="left" w:leader="none"/>
        </w:tabs>
        <w:spacing w:line="208" w:lineRule="auto" w:before="0" w:after="0"/>
        <w:ind w:left="460" w:right="195" w:hanging="264"/>
        <w:jc w:val="both"/>
        <w:rPr>
          <w:sz w:val="18"/>
        </w:rPr>
      </w:pPr>
      <w:r>
        <w:rPr>
          <w:spacing w:val="-9"/>
          <w:sz w:val="18"/>
        </w:rPr>
        <w:t>所有的试剂在使用前，均需在室温下充分融化、混匀后使用。提取样本核酸前，请确保提取试剂</w:t>
      </w:r>
      <w:r>
        <w:rPr>
          <w:rFonts w:ascii="Times New Roman" w:hAnsi="Times New Roman" w:eastAsia="Times New Roman"/>
          <w:sz w:val="18"/>
        </w:rPr>
        <w:t>1</w:t>
      </w:r>
      <w:r>
        <w:rPr>
          <w:spacing w:val="-15"/>
          <w:sz w:val="18"/>
        </w:rPr>
        <w:t>、</w:t>
      </w:r>
      <w:r>
        <w:rPr>
          <w:rFonts w:ascii="Times New Roman" w:hAnsi="Times New Roman" w:eastAsia="Times New Roman"/>
          <w:sz w:val="18"/>
        </w:rPr>
        <w:t>2</w:t>
      </w:r>
      <w:r>
        <w:rPr>
          <w:spacing w:val="-15"/>
          <w:sz w:val="18"/>
        </w:rPr>
        <w:t>、</w:t>
      </w:r>
      <w:r>
        <w:rPr>
          <w:rFonts w:ascii="Times New Roman" w:hAnsi="Times New Roman" w:eastAsia="Times New Roman"/>
          <w:sz w:val="18"/>
        </w:rPr>
        <w:t>3</w:t>
      </w:r>
      <w:r>
        <w:rPr>
          <w:spacing w:val="-15"/>
          <w:sz w:val="18"/>
        </w:rPr>
        <w:t>、</w:t>
      </w:r>
      <w:r>
        <w:rPr>
          <w:rFonts w:ascii="Times New Roman" w:hAnsi="Times New Roman" w:eastAsia="Times New Roman"/>
          <w:sz w:val="18"/>
        </w:rPr>
        <w:t>4</w:t>
      </w:r>
      <w:r>
        <w:rPr>
          <w:spacing w:val="-5"/>
          <w:sz w:val="18"/>
        </w:rPr>
        <w:t>的温度平衡至室温或</w:t>
      </w:r>
      <w:r>
        <w:rPr>
          <w:spacing w:val="-7"/>
          <w:sz w:val="18"/>
        </w:rPr>
        <w:t>以上，建议室温放置</w:t>
      </w:r>
      <w:r>
        <w:rPr>
          <w:rFonts w:ascii="Times New Roman" w:hAnsi="Times New Roman" w:eastAsia="Times New Roman"/>
          <w:sz w:val="18"/>
        </w:rPr>
        <w:t>1</w:t>
      </w:r>
      <w:r>
        <w:rPr>
          <w:spacing w:val="-5"/>
          <w:sz w:val="18"/>
        </w:rPr>
        <w:t>小时以上或置于</w:t>
      </w:r>
      <w:r>
        <w:rPr>
          <w:rFonts w:ascii="Times New Roman" w:hAnsi="Times New Roman" w:eastAsia="Times New Roman"/>
          <w:sz w:val="18"/>
        </w:rPr>
        <w:t>30</w:t>
      </w:r>
      <w:r>
        <w:rPr>
          <w:spacing w:val="-7"/>
          <w:sz w:val="18"/>
        </w:rPr>
        <w:t>℃ 水浴</w:t>
      </w:r>
      <w:r>
        <w:rPr>
          <w:rFonts w:ascii="Times New Roman" w:hAnsi="Times New Roman" w:eastAsia="Times New Roman"/>
          <w:sz w:val="18"/>
        </w:rPr>
        <w:t>30</w:t>
      </w:r>
      <w:r>
        <w:rPr>
          <w:spacing w:val="-7"/>
          <w:sz w:val="18"/>
        </w:rPr>
        <w:t>分钟以上。静置的提取试剂</w:t>
      </w:r>
      <w:r>
        <w:rPr>
          <w:rFonts w:ascii="Times New Roman" w:hAnsi="Times New Roman" w:eastAsia="Times New Roman"/>
          <w:sz w:val="18"/>
        </w:rPr>
        <w:t>1</w:t>
      </w:r>
      <w:r>
        <w:rPr>
          <w:spacing w:val="-7"/>
          <w:sz w:val="18"/>
        </w:rPr>
        <w:t>会形成棕色沉淀，使用前须充分混匀。甲型流感</w:t>
      </w:r>
      <w:r>
        <w:rPr>
          <w:spacing w:val="-5"/>
          <w:sz w:val="18"/>
        </w:rPr>
        <w:t>病毒 增强剂易粘着于管壁，使用前请瞬时离心数秒。</w:t>
      </w:r>
    </w:p>
    <w:p>
      <w:pPr>
        <w:pStyle w:val="ListParagraph"/>
        <w:numPr>
          <w:ilvl w:val="1"/>
          <w:numId w:val="7"/>
        </w:numPr>
        <w:tabs>
          <w:tab w:pos="415" w:val="left" w:leader="none"/>
        </w:tabs>
        <w:spacing w:line="190" w:lineRule="exact" w:before="0" w:after="0"/>
        <w:ind w:left="414" w:right="0" w:hanging="220"/>
        <w:jc w:val="both"/>
        <w:rPr>
          <w:sz w:val="18"/>
        </w:rPr>
      </w:pPr>
      <w:r>
        <w:rPr>
          <w:spacing w:val="4"/>
          <w:sz w:val="18"/>
        </w:rPr>
        <w:t>若实时荧光</w:t>
      </w:r>
      <w:r>
        <w:rPr>
          <w:rFonts w:ascii="Times New Roman" w:eastAsia="Times New Roman"/>
          <w:sz w:val="18"/>
        </w:rPr>
        <w:t>PCR</w:t>
      </w:r>
      <w:r>
        <w:rPr>
          <w:rFonts w:ascii="Times New Roman" w:eastAsia="Times New Roman"/>
          <w:spacing w:val="-8"/>
          <w:sz w:val="18"/>
        </w:rPr>
        <w:t> </w:t>
      </w:r>
      <w:r>
        <w:rPr>
          <w:spacing w:val="-6"/>
          <w:sz w:val="18"/>
        </w:rPr>
        <w:t>仪仅有双通道 </w:t>
      </w:r>
      <w:r>
        <w:rPr>
          <w:rFonts w:ascii="Times New Roman" w:eastAsia="Times New Roman"/>
          <w:spacing w:val="-3"/>
          <w:sz w:val="18"/>
        </w:rPr>
        <w:t>(</w:t>
      </w:r>
      <w:r>
        <w:rPr>
          <w:spacing w:val="40"/>
          <w:sz w:val="18"/>
        </w:rPr>
        <w:t>如</w:t>
      </w:r>
      <w:r>
        <w:rPr>
          <w:rFonts w:ascii="Times New Roman" w:eastAsia="Times New Roman"/>
          <w:spacing w:val="-6"/>
          <w:sz w:val="18"/>
        </w:rPr>
        <w:t>FAM</w:t>
      </w:r>
      <w:r>
        <w:rPr>
          <w:rFonts w:ascii="Times New Roman" w:eastAsia="Times New Roman"/>
          <w:spacing w:val="-2"/>
          <w:sz w:val="18"/>
        </w:rPr>
        <w:t> </w:t>
      </w:r>
      <w:r>
        <w:rPr>
          <w:spacing w:val="-5"/>
          <w:sz w:val="18"/>
        </w:rPr>
        <w:t>和 </w:t>
      </w:r>
      <w:r>
        <w:rPr>
          <w:rFonts w:ascii="Times New Roman" w:eastAsia="Times New Roman"/>
          <w:spacing w:val="-3"/>
          <w:sz w:val="18"/>
        </w:rPr>
        <w:t>ROX)</w:t>
      </w:r>
      <w:r>
        <w:rPr>
          <w:spacing w:val="-10"/>
          <w:sz w:val="18"/>
        </w:rPr>
        <w:t>，可忽略内标监测，则 </w:t>
      </w:r>
      <w:r>
        <w:rPr>
          <w:rFonts w:ascii="Times New Roman" w:eastAsia="Times New Roman"/>
          <w:sz w:val="18"/>
        </w:rPr>
        <w:t>1.2</w:t>
      </w:r>
      <w:r>
        <w:rPr>
          <w:rFonts w:ascii="Times New Roman" w:eastAsia="Times New Roman"/>
          <w:spacing w:val="-6"/>
          <w:sz w:val="18"/>
        </w:rPr>
        <w:t> </w:t>
      </w:r>
      <w:r>
        <w:rPr>
          <w:spacing w:val="-5"/>
          <w:sz w:val="18"/>
        </w:rPr>
        <w:t>步骤中请不要加内标，以免引起多色荧光干扰。</w:t>
      </w:r>
    </w:p>
    <w:p>
      <w:pPr>
        <w:pStyle w:val="ListParagraph"/>
        <w:numPr>
          <w:ilvl w:val="1"/>
          <w:numId w:val="7"/>
        </w:numPr>
        <w:tabs>
          <w:tab w:pos="415" w:val="left" w:leader="none"/>
        </w:tabs>
        <w:spacing w:line="208" w:lineRule="auto" w:before="7" w:after="0"/>
        <w:ind w:left="460" w:right="202" w:hanging="264"/>
        <w:jc w:val="left"/>
        <w:rPr>
          <w:sz w:val="18"/>
        </w:rPr>
      </w:pPr>
      <w:r>
        <w:rPr>
          <w:spacing w:val="-6"/>
          <w:sz w:val="18"/>
        </w:rPr>
        <w:t>对于检测为阴性的样本，应确定甲型流感病毒 内标的扩增信号是否正常，以保证实验操作和检测试剂的正常使用以及抑制样本</w:t>
      </w:r>
      <w:r>
        <w:rPr>
          <w:spacing w:val="-5"/>
          <w:sz w:val="18"/>
        </w:rPr>
        <w:t>的出现，避免假阴性结果；对于阳性检测样本，甲型流感病毒内标的扩增信号可不予考虑。</w:t>
      </w:r>
    </w:p>
    <w:p>
      <w:pPr>
        <w:pStyle w:val="ListParagraph"/>
        <w:numPr>
          <w:ilvl w:val="1"/>
          <w:numId w:val="7"/>
        </w:numPr>
        <w:tabs>
          <w:tab w:pos="412" w:val="left" w:leader="none"/>
        </w:tabs>
        <w:spacing w:line="206" w:lineRule="auto" w:before="1" w:after="0"/>
        <w:ind w:left="460" w:right="106" w:hanging="264"/>
        <w:jc w:val="left"/>
        <w:rPr>
          <w:sz w:val="18"/>
        </w:rPr>
      </w:pPr>
      <w:r>
        <w:rPr>
          <w:spacing w:val="-3"/>
          <w:sz w:val="18"/>
        </w:rPr>
        <w:t>由于甲型流感病毒 为</w:t>
      </w:r>
      <w:r>
        <w:rPr>
          <w:rFonts w:ascii="Times New Roman" w:eastAsia="Times New Roman"/>
          <w:sz w:val="18"/>
        </w:rPr>
        <w:t>RNA</w:t>
      </w:r>
      <w:r>
        <w:rPr>
          <w:rFonts w:ascii="Times New Roman" w:eastAsia="Times New Roman"/>
          <w:spacing w:val="-7"/>
          <w:sz w:val="18"/>
        </w:rPr>
        <w:t> </w:t>
      </w:r>
      <w:r>
        <w:rPr>
          <w:spacing w:val="-15"/>
          <w:sz w:val="18"/>
        </w:rPr>
        <w:t>病毒，操作过程中应特别注意防止 </w:t>
      </w:r>
      <w:r>
        <w:rPr>
          <w:rFonts w:ascii="Times New Roman" w:eastAsia="Times New Roman"/>
          <w:sz w:val="18"/>
        </w:rPr>
        <w:t>RNase</w:t>
      </w:r>
      <w:r>
        <w:rPr>
          <w:rFonts w:ascii="Times New Roman" w:eastAsia="Times New Roman"/>
          <w:spacing w:val="-8"/>
          <w:sz w:val="18"/>
        </w:rPr>
        <w:t> </w:t>
      </w:r>
      <w:r>
        <w:rPr>
          <w:spacing w:val="40"/>
          <w:sz w:val="18"/>
        </w:rPr>
        <w:t>对</w:t>
      </w:r>
      <w:r>
        <w:rPr>
          <w:rFonts w:ascii="Times New Roman" w:eastAsia="Times New Roman"/>
          <w:sz w:val="18"/>
        </w:rPr>
        <w:t>RNA</w:t>
      </w:r>
      <w:r>
        <w:rPr>
          <w:rFonts w:ascii="Times New Roman" w:eastAsia="Times New Roman"/>
          <w:spacing w:val="-6"/>
          <w:sz w:val="18"/>
        </w:rPr>
        <w:t> </w:t>
      </w:r>
      <w:r>
        <w:rPr>
          <w:spacing w:val="-15"/>
          <w:sz w:val="18"/>
        </w:rPr>
        <w:t>的降解作用，所有使用的器皿、加样枪等均为专用， </w:t>
      </w:r>
      <w:r>
        <w:rPr>
          <w:spacing w:val="-5"/>
          <w:sz w:val="18"/>
        </w:rPr>
        <w:t>离心管、</w:t>
      </w:r>
      <w:r>
        <w:rPr>
          <w:rFonts w:ascii="Times New Roman" w:eastAsia="Times New Roman"/>
          <w:sz w:val="18"/>
        </w:rPr>
        <w:t>PCR</w:t>
      </w:r>
      <w:r>
        <w:rPr>
          <w:rFonts w:ascii="Times New Roman" w:eastAsia="Times New Roman"/>
          <w:spacing w:val="-8"/>
          <w:sz w:val="18"/>
        </w:rPr>
        <w:t> </w:t>
      </w:r>
      <w:r>
        <w:rPr>
          <w:spacing w:val="-2"/>
          <w:sz w:val="18"/>
        </w:rPr>
        <w:t>管、吸嘴一次性耗材等均为</w:t>
      </w:r>
      <w:r>
        <w:rPr>
          <w:rFonts w:ascii="Times New Roman" w:eastAsia="Times New Roman"/>
          <w:spacing w:val="-3"/>
          <w:sz w:val="18"/>
        </w:rPr>
        <w:t>DNase</w:t>
      </w:r>
      <w:r>
        <w:rPr>
          <w:spacing w:val="-5"/>
          <w:sz w:val="18"/>
        </w:rPr>
        <w:t>、</w:t>
      </w:r>
      <w:r>
        <w:rPr>
          <w:rFonts w:ascii="Times New Roman" w:eastAsia="Times New Roman"/>
          <w:sz w:val="18"/>
        </w:rPr>
        <w:t>RNase</w:t>
      </w:r>
      <w:r>
        <w:rPr>
          <w:rFonts w:ascii="Times New Roman" w:eastAsia="Times New Roman"/>
          <w:spacing w:val="-8"/>
          <w:sz w:val="18"/>
        </w:rPr>
        <w:t> </w:t>
      </w:r>
      <w:r>
        <w:rPr>
          <w:rFonts w:ascii="Times New Roman" w:eastAsia="Times New Roman"/>
          <w:sz w:val="18"/>
        </w:rPr>
        <w:t>Free</w:t>
      </w:r>
      <w:r>
        <w:rPr>
          <w:rFonts w:ascii="Times New Roman" w:eastAsia="Times New Roman"/>
          <w:spacing w:val="-3"/>
          <w:sz w:val="18"/>
        </w:rPr>
        <w:t> </w:t>
      </w:r>
      <w:r>
        <w:rPr>
          <w:spacing w:val="-3"/>
          <w:sz w:val="18"/>
        </w:rPr>
        <w:t>的。</w:t>
      </w:r>
    </w:p>
    <w:p>
      <w:pPr>
        <w:pStyle w:val="Heading1"/>
      </w:pPr>
      <w:r>
        <w:rPr/>
        <w:t>【参考文献】</w:t>
      </w:r>
    </w:p>
    <w:p>
      <w:pPr>
        <w:pStyle w:val="ListParagraph"/>
        <w:numPr>
          <w:ilvl w:val="0"/>
          <w:numId w:val="8"/>
        </w:numPr>
        <w:tabs>
          <w:tab w:pos="468" w:val="left" w:leader="none"/>
        </w:tabs>
        <w:spacing w:line="230" w:lineRule="auto" w:before="0" w:after="0"/>
        <w:ind w:left="388" w:right="160" w:hanging="180"/>
        <w:jc w:val="left"/>
        <w:rPr>
          <w:rFonts w:ascii="Times New Roman"/>
          <w:sz w:val="18"/>
        </w:rPr>
      </w:pPr>
      <w:r>
        <w:rPr>
          <w:rFonts w:ascii="Times New Roman"/>
          <w:sz w:val="18"/>
        </w:rPr>
        <w:t>Yuki Furuse, Akira Suzuki, Taro </w:t>
      </w:r>
      <w:r>
        <w:rPr>
          <w:rFonts w:ascii="Times New Roman"/>
          <w:spacing w:val="-3"/>
          <w:sz w:val="18"/>
        </w:rPr>
        <w:t>Kamigaki, </w:t>
      </w:r>
      <w:r>
        <w:rPr>
          <w:rFonts w:ascii="Times New Roman"/>
          <w:sz w:val="18"/>
        </w:rPr>
        <w:t>et al. Evolution of the M gene of the </w:t>
      </w:r>
      <w:r>
        <w:rPr>
          <w:rFonts w:ascii="Times New Roman"/>
          <w:spacing w:val="-3"/>
          <w:sz w:val="18"/>
        </w:rPr>
        <w:t>influenza </w:t>
      </w:r>
      <w:r>
        <w:rPr>
          <w:rFonts w:ascii="Times New Roman"/>
          <w:sz w:val="18"/>
        </w:rPr>
        <w:t>A virus in different host </w:t>
      </w:r>
      <w:r>
        <w:rPr>
          <w:rFonts w:ascii="Times New Roman"/>
          <w:spacing w:val="-3"/>
          <w:sz w:val="18"/>
        </w:rPr>
        <w:t>species: large-scale sequence analysis. </w:t>
      </w:r>
      <w:r>
        <w:rPr>
          <w:rFonts w:ascii="Times New Roman"/>
          <w:sz w:val="18"/>
        </w:rPr>
        <w:t>Virology Journal. 2009, 6:67</w:t>
      </w:r>
      <w:r>
        <w:rPr>
          <w:rFonts w:ascii="Times New Roman"/>
          <w:spacing w:val="-8"/>
          <w:sz w:val="18"/>
        </w:rPr>
        <w:t> </w:t>
      </w:r>
      <w:r>
        <w:rPr>
          <w:rFonts w:ascii="Times New Roman"/>
          <w:sz w:val="18"/>
        </w:rPr>
        <w:t>doi:10.1186/1743-422X-6-67.</w:t>
      </w:r>
    </w:p>
    <w:p>
      <w:pPr>
        <w:pStyle w:val="ListParagraph"/>
        <w:numPr>
          <w:ilvl w:val="0"/>
          <w:numId w:val="8"/>
        </w:numPr>
        <w:tabs>
          <w:tab w:pos="456" w:val="left" w:leader="none"/>
        </w:tabs>
        <w:spacing w:line="232" w:lineRule="auto" w:before="0" w:after="0"/>
        <w:ind w:left="388" w:right="149" w:hanging="180"/>
        <w:jc w:val="left"/>
        <w:rPr>
          <w:rFonts w:ascii="Times New Roman"/>
          <w:sz w:val="18"/>
        </w:rPr>
      </w:pPr>
      <w:r>
        <w:rPr>
          <w:rFonts w:ascii="Times New Roman"/>
          <w:sz w:val="18"/>
        </w:rPr>
        <w:t>Thanh Tran </w:t>
      </w:r>
      <w:r>
        <w:rPr>
          <w:rFonts w:ascii="Times New Roman"/>
          <w:spacing w:val="-3"/>
          <w:sz w:val="18"/>
        </w:rPr>
        <w:t>Tan1, </w:t>
      </w:r>
      <w:r>
        <w:rPr>
          <w:rFonts w:ascii="Times New Roman"/>
          <w:sz w:val="18"/>
        </w:rPr>
        <w:t>Hana Apsari Pawestri, Ngoc Nghiem </w:t>
      </w:r>
      <w:r>
        <w:rPr>
          <w:rFonts w:ascii="Times New Roman"/>
          <w:spacing w:val="-3"/>
          <w:sz w:val="18"/>
        </w:rPr>
        <w:t>My, </w:t>
      </w:r>
      <w:r>
        <w:rPr>
          <w:rFonts w:ascii="Times New Roman"/>
          <w:sz w:val="18"/>
        </w:rPr>
        <w:t>et al. A real-time </w:t>
      </w:r>
      <w:r>
        <w:rPr>
          <w:rFonts w:ascii="Times New Roman"/>
          <w:spacing w:val="-6"/>
          <w:sz w:val="18"/>
        </w:rPr>
        <w:t>RT-PCR </w:t>
      </w:r>
      <w:r>
        <w:rPr>
          <w:rFonts w:ascii="Times New Roman"/>
          <w:sz w:val="18"/>
        </w:rPr>
        <w:t>for detection of clade 1 and 2 H5N1 Influenza A virus using LNA </w:t>
      </w:r>
      <w:r>
        <w:rPr>
          <w:rFonts w:ascii="Times New Roman"/>
          <w:spacing w:val="-3"/>
          <w:sz w:val="18"/>
        </w:rPr>
        <w:t>TaqMan </w:t>
      </w:r>
      <w:r>
        <w:rPr>
          <w:rFonts w:ascii="Times New Roman"/>
          <w:sz w:val="18"/>
        </w:rPr>
        <w:t>probes. Virology Journal 2010,</w:t>
      </w:r>
      <w:r>
        <w:rPr>
          <w:rFonts w:ascii="Times New Roman"/>
          <w:spacing w:val="-9"/>
          <w:sz w:val="18"/>
        </w:rPr>
        <w:t> </w:t>
      </w:r>
      <w:r>
        <w:rPr>
          <w:rFonts w:ascii="Times New Roman"/>
          <w:sz w:val="18"/>
        </w:rPr>
        <w:t>7:46.</w:t>
      </w:r>
    </w:p>
    <w:p>
      <w:pPr>
        <w:pStyle w:val="ListParagraph"/>
        <w:numPr>
          <w:ilvl w:val="0"/>
          <w:numId w:val="8"/>
        </w:numPr>
        <w:tabs>
          <w:tab w:pos="475" w:val="left" w:leader="none"/>
        </w:tabs>
        <w:spacing w:line="230" w:lineRule="auto" w:before="0" w:after="0"/>
        <w:ind w:left="388" w:right="165" w:hanging="180"/>
        <w:jc w:val="left"/>
        <w:rPr>
          <w:rFonts w:ascii="Times New Roman" w:hAnsi="Times New Roman"/>
          <w:sz w:val="18"/>
        </w:rPr>
      </w:pPr>
      <w:r>
        <w:rPr>
          <w:rFonts w:ascii="Times New Roman" w:hAnsi="Times New Roman"/>
          <w:sz w:val="18"/>
        </w:rPr>
        <w:t>Núria </w:t>
      </w:r>
      <w:r>
        <w:rPr>
          <w:rFonts w:ascii="Times New Roman" w:hAnsi="Times New Roman"/>
          <w:spacing w:val="-3"/>
          <w:sz w:val="18"/>
        </w:rPr>
        <w:t>Busquets Martí, </w:t>
      </w:r>
      <w:r>
        <w:rPr>
          <w:rFonts w:ascii="Times New Roman" w:hAnsi="Times New Roman"/>
          <w:sz w:val="18"/>
        </w:rPr>
        <w:t>Erika Serrano Del pozo, Ana Alba Casals, et al. </w:t>
      </w:r>
      <w:r>
        <w:rPr>
          <w:rFonts w:ascii="Times New Roman" w:hAnsi="Times New Roman"/>
          <w:spacing w:val="-3"/>
          <w:sz w:val="18"/>
        </w:rPr>
        <w:t>False-Positive </w:t>
      </w:r>
      <w:r>
        <w:rPr>
          <w:rFonts w:ascii="Times New Roman" w:hAnsi="Times New Roman"/>
          <w:sz w:val="18"/>
        </w:rPr>
        <w:t>Results </w:t>
      </w:r>
      <w:r>
        <w:rPr>
          <w:rFonts w:ascii="Times New Roman" w:hAnsi="Times New Roman"/>
          <w:spacing w:val="-3"/>
          <w:sz w:val="18"/>
        </w:rPr>
        <w:t>Obtained </w:t>
      </w:r>
      <w:r>
        <w:rPr>
          <w:rFonts w:ascii="Times New Roman" w:hAnsi="Times New Roman"/>
          <w:sz w:val="18"/>
        </w:rPr>
        <w:t>by Following a Commonly Used </w:t>
      </w:r>
      <w:r>
        <w:rPr>
          <w:rFonts w:ascii="Times New Roman" w:hAnsi="Times New Roman"/>
          <w:spacing w:val="-3"/>
          <w:sz w:val="18"/>
        </w:rPr>
        <w:t>Reverse</w:t>
      </w:r>
      <w:r>
        <w:rPr>
          <w:rFonts w:ascii="Times New Roman" w:hAnsi="Times New Roman"/>
          <w:spacing w:val="-10"/>
          <w:sz w:val="18"/>
        </w:rPr>
        <w:t> </w:t>
      </w:r>
      <w:r>
        <w:rPr>
          <w:rFonts w:ascii="Times New Roman" w:hAnsi="Times New Roman"/>
          <w:spacing w:val="-3"/>
          <w:sz w:val="18"/>
        </w:rPr>
        <w:t>Transcription-PCR</w:t>
      </w:r>
      <w:r>
        <w:rPr>
          <w:rFonts w:ascii="Times New Roman" w:hAnsi="Times New Roman"/>
          <w:spacing w:val="-8"/>
          <w:sz w:val="18"/>
        </w:rPr>
        <w:t> </w:t>
      </w:r>
      <w:r>
        <w:rPr>
          <w:rFonts w:ascii="Times New Roman" w:hAnsi="Times New Roman"/>
          <w:sz w:val="18"/>
        </w:rPr>
        <w:t>Protocol</w:t>
      </w:r>
      <w:r>
        <w:rPr>
          <w:rFonts w:ascii="Times New Roman" w:hAnsi="Times New Roman"/>
          <w:spacing w:val="-11"/>
          <w:sz w:val="18"/>
        </w:rPr>
        <w:t> </w:t>
      </w:r>
      <w:r>
        <w:rPr>
          <w:rFonts w:ascii="Times New Roman" w:hAnsi="Times New Roman"/>
          <w:sz w:val="18"/>
        </w:rPr>
        <w:t>for</w:t>
      </w:r>
      <w:r>
        <w:rPr>
          <w:rFonts w:ascii="Times New Roman" w:hAnsi="Times New Roman"/>
          <w:spacing w:val="-6"/>
          <w:sz w:val="18"/>
        </w:rPr>
        <w:t> </w:t>
      </w:r>
      <w:r>
        <w:rPr>
          <w:rFonts w:ascii="Times New Roman" w:hAnsi="Times New Roman"/>
          <w:sz w:val="18"/>
        </w:rPr>
        <w:t>Detection</w:t>
      </w:r>
      <w:r>
        <w:rPr>
          <w:rFonts w:ascii="Times New Roman" w:hAnsi="Times New Roman"/>
          <w:spacing w:val="-7"/>
          <w:sz w:val="18"/>
        </w:rPr>
        <w:t> </w:t>
      </w:r>
      <w:r>
        <w:rPr>
          <w:rFonts w:ascii="Times New Roman" w:hAnsi="Times New Roman"/>
          <w:sz w:val="18"/>
        </w:rPr>
        <w:t>of</w:t>
      </w:r>
      <w:r>
        <w:rPr>
          <w:rFonts w:ascii="Times New Roman" w:hAnsi="Times New Roman"/>
          <w:spacing w:val="-7"/>
          <w:sz w:val="18"/>
        </w:rPr>
        <w:t> </w:t>
      </w:r>
      <w:r>
        <w:rPr>
          <w:rFonts w:ascii="Times New Roman" w:hAnsi="Times New Roman"/>
          <w:sz w:val="18"/>
        </w:rPr>
        <w:t>Influenza</w:t>
      </w:r>
      <w:r>
        <w:rPr>
          <w:rFonts w:ascii="Times New Roman" w:hAnsi="Times New Roman"/>
          <w:spacing w:val="-9"/>
          <w:sz w:val="18"/>
        </w:rPr>
        <w:t> </w:t>
      </w:r>
      <w:r>
        <w:rPr>
          <w:rFonts w:ascii="Times New Roman" w:hAnsi="Times New Roman"/>
          <w:sz w:val="18"/>
        </w:rPr>
        <w:t>A</w:t>
      </w:r>
      <w:r>
        <w:rPr>
          <w:rFonts w:ascii="Times New Roman" w:hAnsi="Times New Roman"/>
          <w:spacing w:val="-5"/>
          <w:sz w:val="18"/>
        </w:rPr>
        <w:t> </w:t>
      </w:r>
      <w:r>
        <w:rPr>
          <w:rFonts w:ascii="Times New Roman" w:hAnsi="Times New Roman"/>
          <w:spacing w:val="-3"/>
          <w:sz w:val="18"/>
        </w:rPr>
        <w:t>Virus.</w:t>
      </w:r>
      <w:r>
        <w:rPr>
          <w:rFonts w:ascii="Times New Roman" w:hAnsi="Times New Roman"/>
          <w:spacing w:val="-5"/>
          <w:sz w:val="18"/>
        </w:rPr>
        <w:t> </w:t>
      </w:r>
      <w:r>
        <w:rPr>
          <w:rFonts w:ascii="Times New Roman" w:hAnsi="Times New Roman"/>
          <w:sz w:val="18"/>
        </w:rPr>
        <w:t>J</w:t>
      </w:r>
      <w:r>
        <w:rPr>
          <w:rFonts w:ascii="Times New Roman" w:hAnsi="Times New Roman"/>
          <w:spacing w:val="-7"/>
          <w:sz w:val="18"/>
        </w:rPr>
        <w:t> </w:t>
      </w:r>
      <w:r>
        <w:rPr>
          <w:rFonts w:ascii="Times New Roman" w:hAnsi="Times New Roman"/>
          <w:sz w:val="18"/>
        </w:rPr>
        <w:t>Clin</w:t>
      </w:r>
      <w:r>
        <w:rPr>
          <w:rFonts w:ascii="Times New Roman" w:hAnsi="Times New Roman"/>
          <w:spacing w:val="-7"/>
          <w:sz w:val="18"/>
        </w:rPr>
        <w:t> </w:t>
      </w:r>
      <w:r>
        <w:rPr>
          <w:rFonts w:ascii="Times New Roman" w:hAnsi="Times New Roman"/>
          <w:sz w:val="18"/>
        </w:rPr>
        <w:t>Microbiol.</w:t>
      </w:r>
      <w:r>
        <w:rPr>
          <w:rFonts w:ascii="Times New Roman" w:hAnsi="Times New Roman"/>
          <w:spacing w:val="-11"/>
          <w:sz w:val="18"/>
        </w:rPr>
        <w:t> </w:t>
      </w:r>
      <w:r>
        <w:rPr>
          <w:rFonts w:ascii="Times New Roman" w:hAnsi="Times New Roman"/>
          <w:sz w:val="18"/>
        </w:rPr>
        <w:t>2006</w:t>
      </w:r>
      <w:r>
        <w:rPr>
          <w:rFonts w:ascii="Times New Roman" w:hAnsi="Times New Roman"/>
          <w:spacing w:val="-7"/>
          <w:sz w:val="18"/>
        </w:rPr>
        <w:t> </w:t>
      </w:r>
      <w:r>
        <w:rPr>
          <w:rFonts w:ascii="Times New Roman" w:hAnsi="Times New Roman"/>
          <w:spacing w:val="-3"/>
          <w:sz w:val="18"/>
        </w:rPr>
        <w:t>October;</w:t>
      </w:r>
      <w:r>
        <w:rPr>
          <w:rFonts w:ascii="Times New Roman" w:hAnsi="Times New Roman"/>
          <w:spacing w:val="-5"/>
          <w:sz w:val="18"/>
        </w:rPr>
        <w:t> </w:t>
      </w:r>
      <w:r>
        <w:rPr>
          <w:rFonts w:ascii="Times New Roman" w:hAnsi="Times New Roman"/>
          <w:sz w:val="18"/>
        </w:rPr>
        <w:t>44(10):</w:t>
      </w:r>
      <w:r>
        <w:rPr>
          <w:rFonts w:ascii="Times New Roman" w:hAnsi="Times New Roman"/>
          <w:spacing w:val="-9"/>
          <w:sz w:val="18"/>
        </w:rPr>
        <w:t> </w:t>
      </w:r>
      <w:r>
        <w:rPr>
          <w:rFonts w:ascii="Times New Roman" w:hAnsi="Times New Roman"/>
          <w:sz w:val="18"/>
        </w:rPr>
        <w:t>3845.</w:t>
      </w:r>
    </w:p>
    <w:p>
      <w:pPr>
        <w:pStyle w:val="ListParagraph"/>
        <w:numPr>
          <w:ilvl w:val="0"/>
          <w:numId w:val="8"/>
        </w:numPr>
        <w:tabs>
          <w:tab w:pos="496" w:val="left" w:leader="none"/>
        </w:tabs>
        <w:spacing w:line="200" w:lineRule="exact" w:before="0" w:after="0"/>
        <w:ind w:left="496" w:right="0" w:hanging="289"/>
        <w:jc w:val="left"/>
        <w:rPr>
          <w:sz w:val="18"/>
        </w:rPr>
      </w:pPr>
      <w:r>
        <w:rPr>
          <w:spacing w:val="-5"/>
          <w:sz w:val="18"/>
        </w:rPr>
        <w:t>卫生部，《人感染高致病性禽流感标本采集及实验室检测技术方案》，</w:t>
      </w:r>
      <w:r>
        <w:rPr>
          <w:rFonts w:ascii="Times New Roman" w:eastAsia="Times New Roman"/>
          <w:sz w:val="18"/>
        </w:rPr>
        <w:t>2008</w:t>
      </w:r>
      <w:r>
        <w:rPr>
          <w:rFonts w:ascii="Times New Roman" w:eastAsia="Times New Roman"/>
          <w:spacing w:val="-7"/>
          <w:sz w:val="18"/>
        </w:rPr>
        <w:t> </w:t>
      </w:r>
      <w:r>
        <w:rPr>
          <w:spacing w:val="-26"/>
          <w:sz w:val="18"/>
        </w:rPr>
        <w:t>年 </w:t>
      </w:r>
      <w:r>
        <w:rPr>
          <w:rFonts w:ascii="Times New Roman" w:eastAsia="Times New Roman"/>
          <w:sz w:val="18"/>
        </w:rPr>
        <w:t>5</w:t>
      </w:r>
      <w:r>
        <w:rPr>
          <w:rFonts w:ascii="Times New Roman" w:eastAsia="Times New Roman"/>
          <w:spacing w:val="-3"/>
          <w:sz w:val="18"/>
        </w:rPr>
        <w:t> </w:t>
      </w:r>
      <w:r>
        <w:rPr>
          <w:spacing w:val="-3"/>
          <w:sz w:val="18"/>
        </w:rPr>
        <w:t>月。</w:t>
      </w:r>
    </w:p>
    <w:p>
      <w:pPr>
        <w:pStyle w:val="ListParagraph"/>
        <w:numPr>
          <w:ilvl w:val="0"/>
          <w:numId w:val="8"/>
        </w:numPr>
        <w:tabs>
          <w:tab w:pos="508" w:val="left" w:leader="none"/>
        </w:tabs>
        <w:spacing w:line="200" w:lineRule="exact" w:before="0" w:after="0"/>
        <w:ind w:left="508" w:right="0" w:hanging="301"/>
        <w:jc w:val="left"/>
        <w:rPr>
          <w:sz w:val="18"/>
        </w:rPr>
      </w:pPr>
      <w:hyperlink r:id="rId8">
        <w:r>
          <w:rPr>
            <w:sz w:val="18"/>
          </w:rPr>
          <w:t>李金明</w:t>
        </w:r>
      </w:hyperlink>
      <w:r>
        <w:rPr>
          <w:sz w:val="18"/>
        </w:rPr>
        <w:t>，</w:t>
      </w:r>
      <w:r>
        <w:rPr>
          <w:rFonts w:ascii="Times New Roman" w:eastAsia="Times New Roman"/>
          <w:sz w:val="18"/>
        </w:rPr>
        <w:t>RNA </w:t>
      </w:r>
      <w:r>
        <w:rPr>
          <w:spacing w:val="-5"/>
          <w:sz w:val="18"/>
        </w:rPr>
        <w:t>病毒扩增检测的质控品和标准品研究进展，《</w:t>
      </w:r>
      <w:hyperlink r:id="rId9">
        <w:r>
          <w:rPr>
            <w:sz w:val="18"/>
          </w:rPr>
          <w:t>中华检验医学杂志</w:t>
        </w:r>
      </w:hyperlink>
      <w:r>
        <w:rPr>
          <w:spacing w:val="-45"/>
          <w:sz w:val="18"/>
        </w:rPr>
        <w:t>》，</w:t>
      </w:r>
      <w:r>
        <w:rPr>
          <w:rFonts w:ascii="Times New Roman" w:eastAsia="Times New Roman"/>
          <w:sz w:val="18"/>
        </w:rPr>
        <w:t>2004</w:t>
      </w:r>
      <w:r>
        <w:rPr>
          <w:rFonts w:ascii="Times New Roman" w:eastAsia="Times New Roman"/>
          <w:spacing w:val="-3"/>
          <w:sz w:val="18"/>
        </w:rPr>
        <w:t> </w:t>
      </w:r>
      <w:r>
        <w:rPr>
          <w:spacing w:val="-12"/>
          <w:sz w:val="18"/>
        </w:rPr>
        <w:t>年 第 </w:t>
      </w:r>
      <w:r>
        <w:rPr>
          <w:rFonts w:ascii="Times New Roman" w:eastAsia="Times New Roman"/>
          <w:sz w:val="18"/>
        </w:rPr>
        <w:t>27</w:t>
      </w:r>
      <w:r>
        <w:rPr>
          <w:rFonts w:ascii="Times New Roman" w:eastAsia="Times New Roman"/>
          <w:spacing w:val="-3"/>
          <w:sz w:val="18"/>
        </w:rPr>
        <w:t> </w:t>
      </w:r>
      <w:r>
        <w:rPr>
          <w:spacing w:val="-15"/>
          <w:sz w:val="18"/>
        </w:rPr>
        <w:t>卷第 </w:t>
      </w:r>
      <w:r>
        <w:rPr>
          <w:rFonts w:ascii="Times New Roman" w:eastAsia="Times New Roman"/>
          <w:sz w:val="18"/>
        </w:rPr>
        <w:t>12</w:t>
      </w:r>
      <w:r>
        <w:rPr>
          <w:rFonts w:ascii="Times New Roman" w:eastAsia="Times New Roman"/>
          <w:spacing w:val="-1"/>
          <w:sz w:val="18"/>
        </w:rPr>
        <w:t> </w:t>
      </w:r>
      <w:r>
        <w:rPr>
          <w:sz w:val="18"/>
        </w:rPr>
        <w:t>期。</w:t>
      </w:r>
    </w:p>
    <w:p>
      <w:pPr>
        <w:pStyle w:val="Heading1"/>
      </w:pPr>
      <w:r>
        <w:rPr/>
        <w:t>【基本信息】</w:t>
      </w:r>
    </w:p>
    <w:p>
      <w:pPr>
        <w:pStyle w:val="BodyText"/>
        <w:spacing w:line="206" w:lineRule="auto" w:before="7"/>
        <w:ind w:left="635" w:right="5764"/>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2972" w:val="left" w:leader="none"/>
        </w:tabs>
        <w:spacing w:line="194" w:lineRule="exact"/>
        <w:ind w:left="635"/>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199" w:lineRule="exact"/>
        <w:ind w:left="635"/>
      </w:pPr>
      <w:r>
        <w:rPr/>
        <w:t>售后服务单位名称：圣湘生物科技股份有限公司</w:t>
      </w:r>
    </w:p>
    <w:p>
      <w:pPr>
        <w:pStyle w:val="BodyText"/>
        <w:tabs>
          <w:tab w:pos="2972" w:val="left" w:leader="none"/>
        </w:tabs>
        <w:ind w:left="635"/>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194" w:lineRule="exact"/>
        <w:ind w:left="635"/>
      </w:pPr>
      <w:r>
        <w:rPr>
          <w:spacing w:val="-8"/>
        </w:rPr>
        <w:t>生产地址：长沙高新技术产业开发区麓松路 </w:t>
      </w:r>
      <w:r>
        <w:rPr>
          <w:rFonts w:ascii="Times New Roman" w:eastAsia="Times New Roman"/>
        </w:rPr>
        <w:t>680</w:t>
      </w:r>
      <w:r>
        <w:rPr>
          <w:rFonts w:ascii="Times New Roman" w:eastAsia="Times New Roman"/>
          <w:spacing w:val="-7"/>
        </w:rPr>
        <w:t> </w:t>
      </w:r>
      <w:r>
        <w:rPr/>
        <w:t>号</w:t>
      </w:r>
    </w:p>
    <w:p>
      <w:pPr>
        <w:pStyle w:val="BodyText"/>
        <w:spacing w:line="193" w:lineRule="exact"/>
        <w:ind w:left="635"/>
      </w:pPr>
      <w:r>
        <w:rPr>
          <w:spacing w:val="-8"/>
        </w:rPr>
        <w:t>生产许可证编号：湘食药监械生产许 </w:t>
      </w:r>
      <w:r>
        <w:rPr>
          <w:rFonts w:ascii="Times New Roman" w:eastAsia="Times New Roman"/>
        </w:rPr>
        <w:t>20150036</w:t>
      </w:r>
      <w:r>
        <w:rPr>
          <w:rFonts w:ascii="Times New Roman" w:eastAsia="Times New Roman"/>
          <w:spacing w:val="-2"/>
        </w:rPr>
        <w:t> </w:t>
      </w:r>
      <w:r>
        <w:rPr/>
        <w:t>号</w:t>
      </w:r>
    </w:p>
    <w:p>
      <w:pPr>
        <w:pStyle w:val="Heading1"/>
        <w:spacing w:line="215" w:lineRule="exact"/>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20163401704</w:t>
      </w:r>
    </w:p>
    <w:p>
      <w:pPr>
        <w:spacing w:before="29"/>
        <w:ind w:left="10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10 </w:t>
      </w:r>
      <w:r>
        <w:rPr>
          <w:b/>
          <w:sz w:val="18"/>
        </w:rPr>
        <w:t>月 </w:t>
      </w:r>
      <w:r>
        <w:rPr>
          <w:rFonts w:ascii="Times New Roman" w:eastAsia="Times New Roman"/>
          <w:b/>
          <w:sz w:val="18"/>
        </w:rPr>
        <w:t>10 </w:t>
      </w:r>
      <w:r>
        <w:rPr>
          <w:b/>
          <w:sz w:val="18"/>
        </w:rPr>
        <w:t>日</w:t>
      </w:r>
    </w:p>
    <w:p>
      <w:pPr>
        <w:spacing w:line="215" w:lineRule="exact" w:before="21"/>
        <w:ind w:left="107" w:right="0" w:firstLine="0"/>
        <w:jc w:val="left"/>
        <w:rPr>
          <w:b/>
          <w:sz w:val="18"/>
        </w:rPr>
      </w:pPr>
      <w:r>
        <w:rPr>
          <w:b/>
          <w:spacing w:val="-5"/>
          <w:w w:val="95"/>
          <w:sz w:val="18"/>
        </w:rPr>
        <w:t>【生产日期】</w:t>
      </w:r>
      <w:r>
        <w:rPr>
          <w:rFonts w:ascii="Times New Roman" w:eastAsia="Times New Roman"/>
          <w:b/>
          <w:spacing w:val="-3"/>
          <w:w w:val="95"/>
          <w:sz w:val="18"/>
        </w:rPr>
        <w:t>:</w:t>
      </w:r>
      <w:r>
        <w:rPr>
          <w:b/>
          <w:spacing w:val="-5"/>
          <w:w w:val="95"/>
          <w:sz w:val="18"/>
        </w:rPr>
        <w:t>请见外包装盒</w:t>
      </w:r>
    </w:p>
    <w:p>
      <w:pPr>
        <w:spacing w:line="215" w:lineRule="exact" w:before="0"/>
        <w:ind w:left="107" w:right="0" w:firstLine="0"/>
        <w:jc w:val="left"/>
        <w:rPr>
          <w:b/>
          <w:sz w:val="18"/>
        </w:rPr>
      </w:pPr>
      <w:r>
        <w:rPr>
          <w:b/>
          <w:spacing w:val="-5"/>
          <w:w w:val="95"/>
          <w:sz w:val="18"/>
        </w:rPr>
        <w:t>【失效日期】</w:t>
      </w:r>
      <w:r>
        <w:rPr>
          <w:rFonts w:ascii="Times New Roman" w:eastAsia="Times New Roman"/>
          <w:b/>
          <w:spacing w:val="-3"/>
          <w:w w:val="95"/>
          <w:sz w:val="18"/>
        </w:rPr>
        <w:t>:</w:t>
      </w:r>
      <w:r>
        <w:rPr>
          <w:b/>
          <w:spacing w:val="-5"/>
          <w:w w:val="95"/>
          <w:sz w:val="18"/>
        </w:rPr>
        <w:t>请见外包装盒</w:t>
      </w:r>
    </w:p>
    <w:sectPr>
      <w:pgSz w:w="11910" w:h="16840"/>
      <w:pgMar w:header="462" w:footer="460" w:top="660" w:bottom="640" w:left="80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46.800003pt;margin-top:807.915649pt;width:126.2pt;height:11pt;mso-position-horizontal-relative:page;mso-position-vertical-relative:page;z-index:-252147712" type="#_x0000_t202" filled="false" stroked="false">
          <v:textbox inset="0,0,0,0">
            <w:txbxContent>
              <w:p>
                <w:pPr>
                  <w:pStyle w:val="BodyText"/>
                  <w:spacing w:line="220" w:lineRule="exact"/>
                  <w:ind w:left="20"/>
                </w:pPr>
                <w:r>
                  <w:rPr>
                    <w:spacing w:val="-5"/>
                  </w:rPr>
                  <w:t>甲型流感病毒通用型产品说明书</w:t>
                </w:r>
              </w:p>
            </w:txbxContent>
          </v:textbox>
          <w10:wrap type="none"/>
        </v:shape>
      </w:pict>
    </w:r>
    <w:r>
      <w:rPr/>
      <w:pict>
        <v:shape style="position:absolute;margin-left:538.23999pt;margin-top:810.030029pt;width:8.5pt;height:12pt;mso-position-horizontal-relative:page;mso-position-vertical-relative:page;z-index:-252146688" type="#_x0000_t202" filled="false" stroked="false">
          <v:textbox inset="0,0,0,0">
            <w:txbxContent>
              <w:p>
                <w:pPr>
                  <w:pStyle w:val="BodyText"/>
                  <w:spacing w:line="240" w:lineRule="auto" w:before="12"/>
                  <w:ind w:left="4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3.359009pt;margin-top:23.11565pt;width:107.85pt;height:11pt;mso-position-horizontal-relative:page;mso-position-vertical-relative:page;z-index:-252148736" type="#_x0000_t202" filled="false" stroked="false">
          <v:textbox inset="0,0,0,0">
            <w:txbxContent>
              <w:p>
                <w:pPr>
                  <w:pStyle w:val="BodyText"/>
                  <w:spacing w:line="220" w:lineRule="exact"/>
                  <w:ind w:left="20"/>
                </w:pPr>
                <w:r>
                  <w:rPr>
                    <w:spacing w:val="-5"/>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388" w:hanging="260"/>
        <w:jc w:val="left"/>
      </w:pPr>
      <w:rPr>
        <w:rFonts w:hint="default" w:ascii="Times New Roman" w:hAnsi="Times New Roman" w:eastAsia="Times New Roman" w:cs="Times New Roman"/>
        <w:spacing w:val="-2"/>
        <w:w w:val="100"/>
        <w:sz w:val="18"/>
        <w:szCs w:val="18"/>
        <w:lang w:val="zh-CN" w:eastAsia="zh-CN" w:bidi="zh-CN"/>
      </w:rPr>
    </w:lvl>
    <w:lvl w:ilvl="1">
      <w:start w:val="0"/>
      <w:numFmt w:val="bullet"/>
      <w:lvlText w:val="•"/>
      <w:lvlJc w:val="left"/>
      <w:pPr>
        <w:ind w:left="1382" w:hanging="260"/>
      </w:pPr>
      <w:rPr>
        <w:rFonts w:hint="default"/>
        <w:lang w:val="zh-CN" w:eastAsia="zh-CN" w:bidi="zh-CN"/>
      </w:rPr>
    </w:lvl>
    <w:lvl w:ilvl="2">
      <w:start w:val="0"/>
      <w:numFmt w:val="bullet"/>
      <w:lvlText w:val="•"/>
      <w:lvlJc w:val="left"/>
      <w:pPr>
        <w:ind w:left="2385" w:hanging="260"/>
      </w:pPr>
      <w:rPr>
        <w:rFonts w:hint="default"/>
        <w:lang w:val="zh-CN" w:eastAsia="zh-CN" w:bidi="zh-CN"/>
      </w:rPr>
    </w:lvl>
    <w:lvl w:ilvl="3">
      <w:start w:val="0"/>
      <w:numFmt w:val="bullet"/>
      <w:lvlText w:val="•"/>
      <w:lvlJc w:val="left"/>
      <w:pPr>
        <w:ind w:left="3387" w:hanging="260"/>
      </w:pPr>
      <w:rPr>
        <w:rFonts w:hint="default"/>
        <w:lang w:val="zh-CN" w:eastAsia="zh-CN" w:bidi="zh-CN"/>
      </w:rPr>
    </w:lvl>
    <w:lvl w:ilvl="4">
      <w:start w:val="0"/>
      <w:numFmt w:val="bullet"/>
      <w:lvlText w:val="•"/>
      <w:lvlJc w:val="left"/>
      <w:pPr>
        <w:ind w:left="4390" w:hanging="260"/>
      </w:pPr>
      <w:rPr>
        <w:rFonts w:hint="default"/>
        <w:lang w:val="zh-CN" w:eastAsia="zh-CN" w:bidi="zh-CN"/>
      </w:rPr>
    </w:lvl>
    <w:lvl w:ilvl="5">
      <w:start w:val="0"/>
      <w:numFmt w:val="bullet"/>
      <w:lvlText w:val="•"/>
      <w:lvlJc w:val="left"/>
      <w:pPr>
        <w:ind w:left="5393" w:hanging="260"/>
      </w:pPr>
      <w:rPr>
        <w:rFonts w:hint="default"/>
        <w:lang w:val="zh-CN" w:eastAsia="zh-CN" w:bidi="zh-CN"/>
      </w:rPr>
    </w:lvl>
    <w:lvl w:ilvl="6">
      <w:start w:val="0"/>
      <w:numFmt w:val="bullet"/>
      <w:lvlText w:val="•"/>
      <w:lvlJc w:val="left"/>
      <w:pPr>
        <w:ind w:left="6395" w:hanging="260"/>
      </w:pPr>
      <w:rPr>
        <w:rFonts w:hint="default"/>
        <w:lang w:val="zh-CN" w:eastAsia="zh-CN" w:bidi="zh-CN"/>
      </w:rPr>
    </w:lvl>
    <w:lvl w:ilvl="7">
      <w:start w:val="0"/>
      <w:numFmt w:val="bullet"/>
      <w:lvlText w:val="•"/>
      <w:lvlJc w:val="left"/>
      <w:pPr>
        <w:ind w:left="7398" w:hanging="260"/>
      </w:pPr>
      <w:rPr>
        <w:rFonts w:hint="default"/>
        <w:lang w:val="zh-CN" w:eastAsia="zh-CN" w:bidi="zh-CN"/>
      </w:rPr>
    </w:lvl>
    <w:lvl w:ilvl="8">
      <w:start w:val="0"/>
      <w:numFmt w:val="bullet"/>
      <w:lvlText w:val="•"/>
      <w:lvlJc w:val="left"/>
      <w:pPr>
        <w:ind w:left="8400" w:hanging="260"/>
      </w:pPr>
      <w:rPr>
        <w:rFonts w:hint="default"/>
        <w:lang w:val="zh-CN" w:eastAsia="zh-CN" w:bidi="zh-CN"/>
      </w:rPr>
    </w:lvl>
  </w:abstractNum>
  <w:abstractNum w:abstractNumId="6">
    <w:multiLevelType w:val="hybridMultilevel"/>
    <w:lvl w:ilvl="0">
      <w:start w:val="1"/>
      <w:numFmt w:val="decimal"/>
      <w:lvlText w:val="%1."/>
      <w:lvlJc w:val="left"/>
      <w:pPr>
        <w:ind w:left="244" w:hanging="138"/>
        <w:jc w:val="left"/>
      </w:pPr>
      <w:rPr>
        <w:rFonts w:hint="default" w:ascii="Times New Roman" w:hAnsi="Times New Roman" w:eastAsia="Times New Roman" w:cs="Times New Roman"/>
        <w:spacing w:val="-2"/>
        <w:w w:val="100"/>
        <w:sz w:val="16"/>
        <w:szCs w:val="16"/>
        <w:lang w:val="zh-CN" w:eastAsia="zh-CN" w:bidi="zh-CN"/>
      </w:rPr>
    </w:lvl>
    <w:lvl w:ilvl="1">
      <w:start w:val="1"/>
      <w:numFmt w:val="decimal"/>
      <w:lvlText w:val="%2."/>
      <w:lvlJc w:val="left"/>
      <w:pPr>
        <w:ind w:left="412" w:hanging="219"/>
        <w:jc w:val="left"/>
      </w:pPr>
      <w:rPr>
        <w:rFonts w:hint="default" w:ascii="Times New Roman" w:hAnsi="Times New Roman" w:eastAsia="Times New Roman" w:cs="Times New Roman"/>
        <w:spacing w:val="-6"/>
        <w:w w:val="100"/>
        <w:sz w:val="18"/>
        <w:szCs w:val="18"/>
        <w:lang w:val="zh-CN" w:eastAsia="zh-CN" w:bidi="zh-CN"/>
      </w:rPr>
    </w:lvl>
    <w:lvl w:ilvl="2">
      <w:start w:val="0"/>
      <w:numFmt w:val="bullet"/>
      <w:lvlText w:val="•"/>
      <w:lvlJc w:val="left"/>
      <w:pPr>
        <w:ind w:left="1529" w:hanging="219"/>
      </w:pPr>
      <w:rPr>
        <w:rFonts w:hint="default"/>
        <w:lang w:val="zh-CN" w:eastAsia="zh-CN" w:bidi="zh-CN"/>
      </w:rPr>
    </w:lvl>
    <w:lvl w:ilvl="3">
      <w:start w:val="0"/>
      <w:numFmt w:val="bullet"/>
      <w:lvlText w:val="•"/>
      <w:lvlJc w:val="left"/>
      <w:pPr>
        <w:ind w:left="2639" w:hanging="219"/>
      </w:pPr>
      <w:rPr>
        <w:rFonts w:hint="default"/>
        <w:lang w:val="zh-CN" w:eastAsia="zh-CN" w:bidi="zh-CN"/>
      </w:rPr>
    </w:lvl>
    <w:lvl w:ilvl="4">
      <w:start w:val="0"/>
      <w:numFmt w:val="bullet"/>
      <w:lvlText w:val="•"/>
      <w:lvlJc w:val="left"/>
      <w:pPr>
        <w:ind w:left="3748" w:hanging="219"/>
      </w:pPr>
      <w:rPr>
        <w:rFonts w:hint="default"/>
        <w:lang w:val="zh-CN" w:eastAsia="zh-CN" w:bidi="zh-CN"/>
      </w:rPr>
    </w:lvl>
    <w:lvl w:ilvl="5">
      <w:start w:val="0"/>
      <w:numFmt w:val="bullet"/>
      <w:lvlText w:val="•"/>
      <w:lvlJc w:val="left"/>
      <w:pPr>
        <w:ind w:left="4858" w:hanging="219"/>
      </w:pPr>
      <w:rPr>
        <w:rFonts w:hint="default"/>
        <w:lang w:val="zh-CN" w:eastAsia="zh-CN" w:bidi="zh-CN"/>
      </w:rPr>
    </w:lvl>
    <w:lvl w:ilvl="6">
      <w:start w:val="0"/>
      <w:numFmt w:val="bullet"/>
      <w:lvlText w:val="•"/>
      <w:lvlJc w:val="left"/>
      <w:pPr>
        <w:ind w:left="5967" w:hanging="219"/>
      </w:pPr>
      <w:rPr>
        <w:rFonts w:hint="default"/>
        <w:lang w:val="zh-CN" w:eastAsia="zh-CN" w:bidi="zh-CN"/>
      </w:rPr>
    </w:lvl>
    <w:lvl w:ilvl="7">
      <w:start w:val="0"/>
      <w:numFmt w:val="bullet"/>
      <w:lvlText w:val="•"/>
      <w:lvlJc w:val="left"/>
      <w:pPr>
        <w:ind w:left="7077" w:hanging="219"/>
      </w:pPr>
      <w:rPr>
        <w:rFonts w:hint="default"/>
        <w:lang w:val="zh-CN" w:eastAsia="zh-CN" w:bidi="zh-CN"/>
      </w:rPr>
    </w:lvl>
    <w:lvl w:ilvl="8">
      <w:start w:val="0"/>
      <w:numFmt w:val="bullet"/>
      <w:lvlText w:val="•"/>
      <w:lvlJc w:val="left"/>
      <w:pPr>
        <w:ind w:left="8186" w:hanging="219"/>
      </w:pPr>
      <w:rPr>
        <w:rFonts w:hint="default"/>
        <w:lang w:val="zh-CN" w:eastAsia="zh-CN" w:bidi="zh-CN"/>
      </w:rPr>
    </w:lvl>
  </w:abstractNum>
  <w:abstractNum w:abstractNumId="5">
    <w:multiLevelType w:val="hybridMultilevel"/>
    <w:lvl w:ilvl="0">
      <w:start w:val="1"/>
      <w:numFmt w:val="decimal"/>
      <w:lvlText w:val="%1."/>
      <w:lvlJc w:val="left"/>
      <w:pPr>
        <w:ind w:left="323" w:hanging="216"/>
        <w:jc w:val="left"/>
      </w:pPr>
      <w:rPr>
        <w:rFonts w:hint="default"/>
        <w:b/>
        <w:bCs/>
        <w:spacing w:val="-8"/>
        <w:w w:val="100"/>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5"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1"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8" w:hanging="216"/>
      </w:pPr>
      <w:rPr>
        <w:rFonts w:hint="default"/>
        <w:lang w:val="zh-CN" w:eastAsia="zh-CN" w:bidi="zh-CN"/>
      </w:rPr>
    </w:lvl>
  </w:abstractNum>
  <w:abstractNum w:abstractNumId="4">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5"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1"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8" w:hanging="216"/>
      </w:pPr>
      <w:rPr>
        <w:rFonts w:hint="default"/>
        <w:lang w:val="zh-CN" w:eastAsia="zh-CN" w:bidi="zh-CN"/>
      </w:rPr>
    </w:lvl>
  </w:abstractNum>
  <w:abstractNum w:abstractNumId="3">
    <w:multiLevelType w:val="hybridMultilevel"/>
    <w:lvl w:ilvl="0">
      <w:start w:val="1"/>
      <w:numFmt w:val="decimal"/>
      <w:lvlText w:val="%1."/>
      <w:lvlJc w:val="left"/>
      <w:pPr>
        <w:ind w:left="32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368" w:hanging="262"/>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420" w:hanging="262"/>
      </w:pPr>
      <w:rPr>
        <w:rFonts w:hint="default"/>
        <w:lang w:val="zh-CN" w:eastAsia="zh-CN" w:bidi="zh-CN"/>
      </w:rPr>
    </w:lvl>
    <w:lvl w:ilvl="3">
      <w:start w:val="0"/>
      <w:numFmt w:val="bullet"/>
      <w:lvlText w:val="•"/>
      <w:lvlJc w:val="left"/>
      <w:pPr>
        <w:ind w:left="460" w:hanging="262"/>
      </w:pPr>
      <w:rPr>
        <w:rFonts w:hint="default"/>
        <w:lang w:val="zh-CN" w:eastAsia="zh-CN" w:bidi="zh-CN"/>
      </w:rPr>
    </w:lvl>
    <w:lvl w:ilvl="4">
      <w:start w:val="0"/>
      <w:numFmt w:val="bullet"/>
      <w:lvlText w:val="•"/>
      <w:lvlJc w:val="left"/>
      <w:pPr>
        <w:ind w:left="500" w:hanging="262"/>
      </w:pPr>
      <w:rPr>
        <w:rFonts w:hint="default"/>
        <w:lang w:val="zh-CN" w:eastAsia="zh-CN" w:bidi="zh-CN"/>
      </w:rPr>
    </w:lvl>
    <w:lvl w:ilvl="5">
      <w:start w:val="0"/>
      <w:numFmt w:val="bullet"/>
      <w:lvlText w:val="•"/>
      <w:lvlJc w:val="left"/>
      <w:pPr>
        <w:ind w:left="2151" w:hanging="262"/>
      </w:pPr>
      <w:rPr>
        <w:rFonts w:hint="default"/>
        <w:lang w:val="zh-CN" w:eastAsia="zh-CN" w:bidi="zh-CN"/>
      </w:rPr>
    </w:lvl>
    <w:lvl w:ilvl="6">
      <w:start w:val="0"/>
      <w:numFmt w:val="bullet"/>
      <w:lvlText w:val="•"/>
      <w:lvlJc w:val="left"/>
      <w:pPr>
        <w:ind w:left="3802" w:hanging="262"/>
      </w:pPr>
      <w:rPr>
        <w:rFonts w:hint="default"/>
        <w:lang w:val="zh-CN" w:eastAsia="zh-CN" w:bidi="zh-CN"/>
      </w:rPr>
    </w:lvl>
    <w:lvl w:ilvl="7">
      <w:start w:val="0"/>
      <w:numFmt w:val="bullet"/>
      <w:lvlText w:val="•"/>
      <w:lvlJc w:val="left"/>
      <w:pPr>
        <w:ind w:left="5453" w:hanging="262"/>
      </w:pPr>
      <w:rPr>
        <w:rFonts w:hint="default"/>
        <w:lang w:val="zh-CN" w:eastAsia="zh-CN" w:bidi="zh-CN"/>
      </w:rPr>
    </w:lvl>
    <w:lvl w:ilvl="8">
      <w:start w:val="0"/>
      <w:numFmt w:val="bullet"/>
      <w:lvlText w:val="•"/>
      <w:lvlJc w:val="left"/>
      <w:pPr>
        <w:ind w:left="7104" w:hanging="262"/>
      </w:pPr>
      <w:rPr>
        <w:rFonts w:hint="default"/>
        <w:lang w:val="zh-CN" w:eastAsia="zh-CN" w:bidi="zh-CN"/>
      </w:rPr>
    </w:lvl>
  </w:abstractNum>
  <w:abstractNum w:abstractNumId="2">
    <w:multiLevelType w:val="hybridMultilevel"/>
    <w:lvl w:ilvl="0">
      <w:start w:val="1"/>
      <w:numFmt w:val="decimal"/>
      <w:lvlText w:val="%1."/>
      <w:lvlJc w:val="left"/>
      <w:pPr>
        <w:ind w:left="412"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418" w:hanging="216"/>
      </w:pPr>
      <w:rPr>
        <w:rFonts w:hint="default"/>
        <w:lang w:val="zh-CN" w:eastAsia="zh-CN" w:bidi="zh-CN"/>
      </w:rPr>
    </w:lvl>
    <w:lvl w:ilvl="2">
      <w:start w:val="0"/>
      <w:numFmt w:val="bullet"/>
      <w:lvlText w:val="•"/>
      <w:lvlJc w:val="left"/>
      <w:pPr>
        <w:ind w:left="2417" w:hanging="216"/>
      </w:pPr>
      <w:rPr>
        <w:rFonts w:hint="default"/>
        <w:lang w:val="zh-CN" w:eastAsia="zh-CN" w:bidi="zh-CN"/>
      </w:rPr>
    </w:lvl>
    <w:lvl w:ilvl="3">
      <w:start w:val="0"/>
      <w:numFmt w:val="bullet"/>
      <w:lvlText w:val="•"/>
      <w:lvlJc w:val="left"/>
      <w:pPr>
        <w:ind w:left="3415" w:hanging="216"/>
      </w:pPr>
      <w:rPr>
        <w:rFonts w:hint="default"/>
        <w:lang w:val="zh-CN" w:eastAsia="zh-CN" w:bidi="zh-CN"/>
      </w:rPr>
    </w:lvl>
    <w:lvl w:ilvl="4">
      <w:start w:val="0"/>
      <w:numFmt w:val="bullet"/>
      <w:lvlText w:val="•"/>
      <w:lvlJc w:val="left"/>
      <w:pPr>
        <w:ind w:left="4414" w:hanging="216"/>
      </w:pPr>
      <w:rPr>
        <w:rFonts w:hint="default"/>
        <w:lang w:val="zh-CN" w:eastAsia="zh-CN" w:bidi="zh-CN"/>
      </w:rPr>
    </w:lvl>
    <w:lvl w:ilvl="5">
      <w:start w:val="0"/>
      <w:numFmt w:val="bullet"/>
      <w:lvlText w:val="•"/>
      <w:lvlJc w:val="left"/>
      <w:pPr>
        <w:ind w:left="5413" w:hanging="216"/>
      </w:pPr>
      <w:rPr>
        <w:rFonts w:hint="default"/>
        <w:lang w:val="zh-CN" w:eastAsia="zh-CN" w:bidi="zh-CN"/>
      </w:rPr>
    </w:lvl>
    <w:lvl w:ilvl="6">
      <w:start w:val="0"/>
      <w:numFmt w:val="bullet"/>
      <w:lvlText w:val="•"/>
      <w:lvlJc w:val="left"/>
      <w:pPr>
        <w:ind w:left="6411" w:hanging="216"/>
      </w:pPr>
      <w:rPr>
        <w:rFonts w:hint="default"/>
        <w:lang w:val="zh-CN" w:eastAsia="zh-CN" w:bidi="zh-CN"/>
      </w:rPr>
    </w:lvl>
    <w:lvl w:ilvl="7">
      <w:start w:val="0"/>
      <w:numFmt w:val="bullet"/>
      <w:lvlText w:val="•"/>
      <w:lvlJc w:val="left"/>
      <w:pPr>
        <w:ind w:left="7410" w:hanging="216"/>
      </w:pPr>
      <w:rPr>
        <w:rFonts w:hint="default"/>
        <w:lang w:val="zh-CN" w:eastAsia="zh-CN" w:bidi="zh-CN"/>
      </w:rPr>
    </w:lvl>
    <w:lvl w:ilvl="8">
      <w:start w:val="0"/>
      <w:numFmt w:val="bullet"/>
      <w:lvlText w:val="•"/>
      <w:lvlJc w:val="left"/>
      <w:pPr>
        <w:ind w:left="8408" w:hanging="216"/>
      </w:pPr>
      <w:rPr>
        <w:rFonts w:hint="default"/>
        <w:lang w:val="zh-CN" w:eastAsia="zh-CN" w:bidi="zh-CN"/>
      </w:rPr>
    </w:lvl>
  </w:abstractNum>
  <w:abstractNum w:abstractNumId="1">
    <w:multiLevelType w:val="hybridMultilevel"/>
    <w:lvl w:ilvl="0">
      <w:start w:val="1"/>
      <w:numFmt w:val="decimal"/>
      <w:lvlText w:val="%1."/>
      <w:lvlJc w:val="left"/>
      <w:pPr>
        <w:ind w:left="594"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580" w:hanging="135"/>
      </w:pPr>
      <w:rPr>
        <w:rFonts w:hint="default"/>
        <w:lang w:val="zh-CN" w:eastAsia="zh-CN" w:bidi="zh-CN"/>
      </w:rPr>
    </w:lvl>
    <w:lvl w:ilvl="2">
      <w:start w:val="0"/>
      <w:numFmt w:val="bullet"/>
      <w:lvlText w:val="•"/>
      <w:lvlJc w:val="left"/>
      <w:pPr>
        <w:ind w:left="2561" w:hanging="135"/>
      </w:pPr>
      <w:rPr>
        <w:rFonts w:hint="default"/>
        <w:lang w:val="zh-CN" w:eastAsia="zh-CN" w:bidi="zh-CN"/>
      </w:rPr>
    </w:lvl>
    <w:lvl w:ilvl="3">
      <w:start w:val="0"/>
      <w:numFmt w:val="bullet"/>
      <w:lvlText w:val="•"/>
      <w:lvlJc w:val="left"/>
      <w:pPr>
        <w:ind w:left="3541" w:hanging="135"/>
      </w:pPr>
      <w:rPr>
        <w:rFonts w:hint="default"/>
        <w:lang w:val="zh-CN" w:eastAsia="zh-CN" w:bidi="zh-CN"/>
      </w:rPr>
    </w:lvl>
    <w:lvl w:ilvl="4">
      <w:start w:val="0"/>
      <w:numFmt w:val="bullet"/>
      <w:lvlText w:val="•"/>
      <w:lvlJc w:val="left"/>
      <w:pPr>
        <w:ind w:left="4522" w:hanging="135"/>
      </w:pPr>
      <w:rPr>
        <w:rFonts w:hint="default"/>
        <w:lang w:val="zh-CN" w:eastAsia="zh-CN" w:bidi="zh-CN"/>
      </w:rPr>
    </w:lvl>
    <w:lvl w:ilvl="5">
      <w:start w:val="0"/>
      <w:numFmt w:val="bullet"/>
      <w:lvlText w:val="•"/>
      <w:lvlJc w:val="left"/>
      <w:pPr>
        <w:ind w:left="5503" w:hanging="135"/>
      </w:pPr>
      <w:rPr>
        <w:rFonts w:hint="default"/>
        <w:lang w:val="zh-CN" w:eastAsia="zh-CN" w:bidi="zh-CN"/>
      </w:rPr>
    </w:lvl>
    <w:lvl w:ilvl="6">
      <w:start w:val="0"/>
      <w:numFmt w:val="bullet"/>
      <w:lvlText w:val="•"/>
      <w:lvlJc w:val="left"/>
      <w:pPr>
        <w:ind w:left="6483" w:hanging="135"/>
      </w:pPr>
      <w:rPr>
        <w:rFonts w:hint="default"/>
        <w:lang w:val="zh-CN" w:eastAsia="zh-CN" w:bidi="zh-CN"/>
      </w:rPr>
    </w:lvl>
    <w:lvl w:ilvl="7">
      <w:start w:val="0"/>
      <w:numFmt w:val="bullet"/>
      <w:lvlText w:val="•"/>
      <w:lvlJc w:val="left"/>
      <w:pPr>
        <w:ind w:left="7464" w:hanging="135"/>
      </w:pPr>
      <w:rPr>
        <w:rFonts w:hint="default"/>
        <w:lang w:val="zh-CN" w:eastAsia="zh-CN" w:bidi="zh-CN"/>
      </w:rPr>
    </w:lvl>
    <w:lvl w:ilvl="8">
      <w:start w:val="0"/>
      <w:numFmt w:val="bullet"/>
      <w:lvlText w:val="•"/>
      <w:lvlJc w:val="left"/>
      <w:pPr>
        <w:ind w:left="8444" w:hanging="135"/>
      </w:pPr>
      <w:rPr>
        <w:rFonts w:hint="default"/>
        <w:lang w:val="zh-CN" w:eastAsia="zh-CN" w:bidi="zh-CN"/>
      </w:rPr>
    </w:lvl>
  </w:abstractNum>
  <w:abstractNum w:abstractNumId="0">
    <w:multiLevelType w:val="hybridMultilevel"/>
    <w:lvl w:ilvl="0">
      <w:start w:val="1"/>
      <w:numFmt w:val="decimal"/>
      <w:lvlText w:val="%1）"/>
      <w:lvlJc w:val="left"/>
      <w:pPr>
        <w:ind w:left="734" w:hanging="270"/>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706" w:hanging="270"/>
      </w:pPr>
      <w:rPr>
        <w:rFonts w:hint="default"/>
        <w:lang w:val="zh-CN" w:eastAsia="zh-CN" w:bidi="zh-CN"/>
      </w:rPr>
    </w:lvl>
    <w:lvl w:ilvl="2">
      <w:start w:val="0"/>
      <w:numFmt w:val="bullet"/>
      <w:lvlText w:val="•"/>
      <w:lvlJc w:val="left"/>
      <w:pPr>
        <w:ind w:left="2673" w:hanging="270"/>
      </w:pPr>
      <w:rPr>
        <w:rFonts w:hint="default"/>
        <w:lang w:val="zh-CN" w:eastAsia="zh-CN" w:bidi="zh-CN"/>
      </w:rPr>
    </w:lvl>
    <w:lvl w:ilvl="3">
      <w:start w:val="0"/>
      <w:numFmt w:val="bullet"/>
      <w:lvlText w:val="•"/>
      <w:lvlJc w:val="left"/>
      <w:pPr>
        <w:ind w:left="3639" w:hanging="270"/>
      </w:pPr>
      <w:rPr>
        <w:rFonts w:hint="default"/>
        <w:lang w:val="zh-CN" w:eastAsia="zh-CN" w:bidi="zh-CN"/>
      </w:rPr>
    </w:lvl>
    <w:lvl w:ilvl="4">
      <w:start w:val="0"/>
      <w:numFmt w:val="bullet"/>
      <w:lvlText w:val="•"/>
      <w:lvlJc w:val="left"/>
      <w:pPr>
        <w:ind w:left="4606" w:hanging="270"/>
      </w:pPr>
      <w:rPr>
        <w:rFonts w:hint="default"/>
        <w:lang w:val="zh-CN" w:eastAsia="zh-CN" w:bidi="zh-CN"/>
      </w:rPr>
    </w:lvl>
    <w:lvl w:ilvl="5">
      <w:start w:val="0"/>
      <w:numFmt w:val="bullet"/>
      <w:lvlText w:val="•"/>
      <w:lvlJc w:val="left"/>
      <w:pPr>
        <w:ind w:left="5573" w:hanging="270"/>
      </w:pPr>
      <w:rPr>
        <w:rFonts w:hint="default"/>
        <w:lang w:val="zh-CN" w:eastAsia="zh-CN" w:bidi="zh-CN"/>
      </w:rPr>
    </w:lvl>
    <w:lvl w:ilvl="6">
      <w:start w:val="0"/>
      <w:numFmt w:val="bullet"/>
      <w:lvlText w:val="•"/>
      <w:lvlJc w:val="left"/>
      <w:pPr>
        <w:ind w:left="6539" w:hanging="270"/>
      </w:pPr>
      <w:rPr>
        <w:rFonts w:hint="default"/>
        <w:lang w:val="zh-CN" w:eastAsia="zh-CN" w:bidi="zh-CN"/>
      </w:rPr>
    </w:lvl>
    <w:lvl w:ilvl="7">
      <w:start w:val="0"/>
      <w:numFmt w:val="bullet"/>
      <w:lvlText w:val="•"/>
      <w:lvlJc w:val="left"/>
      <w:pPr>
        <w:ind w:left="7506" w:hanging="270"/>
      </w:pPr>
      <w:rPr>
        <w:rFonts w:hint="default"/>
        <w:lang w:val="zh-CN" w:eastAsia="zh-CN" w:bidi="zh-CN"/>
      </w:rPr>
    </w:lvl>
    <w:lvl w:ilvl="8">
      <w:start w:val="0"/>
      <w:numFmt w:val="bullet"/>
      <w:lvlText w:val="•"/>
      <w:lvlJc w:val="left"/>
      <w:pPr>
        <w:ind w:left="8472" w:hanging="270"/>
      </w:pPr>
      <w:rPr>
        <w:rFonts w:hint="default"/>
        <w:lang w:val="zh-CN" w:eastAsia="zh-CN" w:bidi="zh-CN"/>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200" w:lineRule="exact"/>
      <w:ind w:left="460"/>
    </w:pPr>
    <w:rPr>
      <w:rFonts w:ascii="宋体" w:hAnsi="宋体" w:eastAsia="宋体" w:cs="宋体"/>
      <w:sz w:val="18"/>
      <w:szCs w:val="18"/>
      <w:lang w:val="zh-CN" w:eastAsia="zh-CN" w:bidi="zh-CN"/>
    </w:rPr>
  </w:style>
  <w:style w:styleId="Heading1" w:type="paragraph">
    <w:name w:val="Heading 1"/>
    <w:basedOn w:val="Normal"/>
    <w:uiPriority w:val="1"/>
    <w:qFormat/>
    <w:pPr>
      <w:spacing w:line="200" w:lineRule="exact"/>
      <w:ind w:left="10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200" w:lineRule="exact"/>
      <w:ind w:left="323" w:hanging="217"/>
    </w:pPr>
    <w:rPr>
      <w:rFonts w:ascii="宋体" w:hAnsi="宋体" w:eastAsia="宋体" w:cs="宋体"/>
      <w:lang w:val="zh-CN" w:eastAsia="zh-CN" w:bidi="zh-CN"/>
    </w:rPr>
  </w:style>
  <w:style w:styleId="TableParagraph" w:type="paragraph">
    <w:name w:val="Table Paragraph"/>
    <w:basedOn w:val="Normal"/>
    <w:uiPriority w:val="1"/>
    <w:qFormat/>
    <w:pPr>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cholar.ilib.cn/Class.aspx?Query=%E6%9D%8E%E9%87%91%E6%98%8E" TargetMode="External"/><Relationship Id="rId9" Type="http://schemas.openxmlformats.org/officeDocument/2006/relationships/hyperlink" Target="http://scholar.ilib.cn/P-QCode%7Ezhyxjy.html"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陈晓亮</dc:creator>
  <dc:title>资料4</dc:title>
  <dcterms:created xsi:type="dcterms:W3CDTF">2021-04-21T13:46:28Z</dcterms:created>
  <dcterms:modified xsi:type="dcterms:W3CDTF">2021-04-21T13:46:28Z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WPS 文字</vt:lpwstr>
  </property>
  <property fmtid="{D5CDD505-2E9C-101B-9397-08002B2CF9AE}" pid="4" name="LastSaved">
    <vt:filetime>2021-04-21T00:00:00Z</vt:filetime>
  </property>
</Properties>
</file>