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rPr>
      </w:pPr>
    </w:p>
    <w:p>
      <w:pPr>
        <w:pStyle w:val="BodyText"/>
        <w:spacing w:before="1"/>
        <w:ind w:left="0"/>
        <w:rPr>
          <w:rFonts w:ascii="Times New Roman"/>
          <w:sz w:val="17"/>
        </w:rPr>
      </w:pPr>
    </w:p>
    <w:p>
      <w:pPr>
        <w:pStyle w:val="Heading1"/>
        <w:spacing w:line="240" w:lineRule="auto" w:before="1"/>
      </w:pPr>
      <w:r>
        <w:rPr/>
        <w:t>【产品名称】</w:t>
      </w:r>
    </w:p>
    <w:p>
      <w:pPr>
        <w:spacing w:before="93"/>
        <w:ind w:left="387" w:right="0" w:firstLine="0"/>
        <w:jc w:val="left"/>
        <w:rPr>
          <w:b/>
          <w:sz w:val="21"/>
        </w:rPr>
      </w:pPr>
      <w:r>
        <w:rPr/>
        <w:br w:type="column"/>
      </w:r>
      <w:r>
        <w:rPr>
          <w:b/>
          <w:sz w:val="21"/>
        </w:rPr>
        <w:t>乙型肝炎病毒</w:t>
      </w:r>
      <w:r>
        <w:rPr>
          <w:rFonts w:ascii="Times New Roman" w:eastAsia="Times New Roman"/>
          <w:b/>
          <w:sz w:val="21"/>
        </w:rPr>
        <w:t>YMDD</w:t>
      </w:r>
      <w:r>
        <w:rPr>
          <w:b/>
          <w:sz w:val="21"/>
        </w:rPr>
        <w:t>基因突变检测试剂盒（</w:t>
      </w:r>
      <w:r>
        <w:rPr>
          <w:rFonts w:ascii="Times New Roman" w:eastAsia="Times New Roman"/>
          <w:b/>
          <w:sz w:val="21"/>
        </w:rPr>
        <w:t>PCR-</w:t>
      </w:r>
      <w:r>
        <w:rPr>
          <w:b/>
          <w:sz w:val="21"/>
        </w:rPr>
        <w:t>荧光探针法）说明书</w:t>
      </w:r>
    </w:p>
    <w:p>
      <w:pPr>
        <w:spacing w:after="0"/>
        <w:jc w:val="left"/>
        <w:rPr>
          <w:sz w:val="21"/>
        </w:rPr>
        <w:sectPr>
          <w:headerReference w:type="default" r:id="rId5"/>
          <w:footerReference w:type="default" r:id="rId6"/>
          <w:type w:val="continuous"/>
          <w:pgSz w:w="11910" w:h="16840"/>
          <w:pgMar w:header="462" w:footer="426" w:top="660" w:bottom="620" w:left="520" w:right="700"/>
          <w:pgNumType w:start="1"/>
          <w:cols w:num="2" w:equalWidth="0">
            <w:col w:w="1491" w:space="355"/>
            <w:col w:w="8844"/>
          </w:cols>
        </w:sectPr>
      </w:pPr>
    </w:p>
    <w:p>
      <w:pPr>
        <w:pStyle w:val="BodyText"/>
        <w:spacing w:line="205" w:lineRule="exact" w:before="50"/>
        <w:ind w:left="475"/>
        <w:rPr>
          <w:rFonts w:ascii="Times New Roman" w:eastAsia="Times New Roman"/>
        </w:rPr>
      </w:pPr>
      <w:r>
        <w:rPr/>
        <w:pict>
          <v:line style="position:absolute;mso-position-horizontal-relative:page;mso-position-vertical-relative:page;z-index:251658240" from="45.349998pt,35.710026pt" to="549.949998pt,35.710026pt" stroked="true" strokeweight=".72pt" strokecolor="#000000">
            <v:stroke dashstyle="solid"/>
            <w10:wrap type="none"/>
          </v:line>
        </w:pict>
      </w:r>
      <w:r>
        <w:rPr/>
        <w:t>通用名：乙型肝炎病毒</w:t>
      </w:r>
      <w:r>
        <w:rPr>
          <w:rFonts w:ascii="Times New Roman" w:eastAsia="Times New Roman"/>
        </w:rPr>
        <w:t>YMDD </w:t>
      </w:r>
      <w:r>
        <w:rPr/>
        <w:t>基因突变检测试剂盒</w:t>
      </w:r>
      <w:r>
        <w:rPr>
          <w:rFonts w:ascii="Times New Roman" w:eastAsia="Times New Roman"/>
        </w:rPr>
        <w:t>(PCR-</w:t>
      </w:r>
      <w:r>
        <w:rPr/>
        <w:t>荧光探针法</w:t>
      </w:r>
      <w:r>
        <w:rPr>
          <w:rFonts w:ascii="Times New Roman" w:eastAsia="Times New Roman"/>
        </w:rPr>
        <w:t>)</w:t>
      </w:r>
    </w:p>
    <w:p>
      <w:pPr>
        <w:spacing w:line="180" w:lineRule="exact" w:before="0"/>
        <w:ind w:left="387" w:right="0" w:firstLine="0"/>
        <w:jc w:val="left"/>
        <w:rPr>
          <w:sz w:val="18"/>
        </w:rPr>
      </w:pPr>
      <w:r>
        <w:rPr>
          <w:b/>
          <w:sz w:val="18"/>
        </w:rPr>
        <w:t>【包装规格】 </w:t>
      </w:r>
      <w:r>
        <w:rPr>
          <w:rFonts w:ascii="Times New Roman" w:eastAsia="Times New Roman"/>
          <w:sz w:val="18"/>
        </w:rPr>
        <w:t>24 </w:t>
      </w:r>
      <w:r>
        <w:rPr>
          <w:sz w:val="18"/>
        </w:rPr>
        <w:t>人份</w:t>
      </w:r>
      <w:r>
        <w:rPr>
          <w:rFonts w:ascii="Times New Roman" w:eastAsia="Times New Roman"/>
          <w:sz w:val="18"/>
        </w:rPr>
        <w:t>/</w:t>
      </w:r>
      <w:r>
        <w:rPr>
          <w:sz w:val="18"/>
        </w:rPr>
        <w:t>盒</w:t>
      </w:r>
    </w:p>
    <w:p>
      <w:pPr>
        <w:pStyle w:val="Heading1"/>
        <w:spacing w:line="180" w:lineRule="exact"/>
      </w:pPr>
      <w:r>
        <w:rPr/>
        <w:t>【预期用途】</w:t>
      </w:r>
    </w:p>
    <w:p>
      <w:pPr>
        <w:pStyle w:val="BodyText"/>
        <w:spacing w:line="180" w:lineRule="exact"/>
        <w:ind w:left="744"/>
      </w:pPr>
      <w:r>
        <w:rPr/>
        <w:t>本试剂盒适用于定性检测乙型肝炎病毒核酸阳性患者血清样本中的乙型肝炎病毒</w:t>
      </w:r>
      <w:r>
        <w:rPr>
          <w:rFonts w:ascii="Times New Roman" w:eastAsia="Times New Roman"/>
        </w:rPr>
        <w:t>YMDD </w:t>
      </w:r>
      <w:r>
        <w:rPr/>
        <w:t>基因突变。</w:t>
      </w:r>
    </w:p>
    <w:p>
      <w:pPr>
        <w:pStyle w:val="BodyText"/>
        <w:spacing w:line="180" w:lineRule="exact"/>
        <w:ind w:left="744"/>
      </w:pPr>
      <w:r>
        <w:rPr/>
        <w:t>本试剂盒可作为临床对乙型肝炎患者接受拉米夫定抗病毒治疗过程中病毒突变情况检测的参考，用做临床辅助诊断。</w:t>
      </w:r>
    </w:p>
    <w:p>
      <w:pPr>
        <w:pStyle w:val="BodyText"/>
        <w:spacing w:line="187" w:lineRule="auto" w:before="14"/>
        <w:ind w:right="192" w:firstLine="357"/>
        <w:jc w:val="both"/>
      </w:pPr>
      <w:r>
        <w:rPr>
          <w:spacing w:val="-3"/>
        </w:rPr>
        <w:t>乙型肝炎病毒（</w:t>
      </w:r>
      <w:r>
        <w:rPr>
          <w:rFonts w:ascii="Times New Roman" w:eastAsia="Times New Roman"/>
          <w:spacing w:val="-3"/>
        </w:rPr>
        <w:t>Hepatitis </w:t>
      </w:r>
      <w:r>
        <w:rPr>
          <w:rFonts w:ascii="Times New Roman" w:eastAsia="Times New Roman"/>
        </w:rPr>
        <w:t>B </w:t>
      </w:r>
      <w:r>
        <w:rPr>
          <w:rFonts w:ascii="Times New Roman" w:eastAsia="Times New Roman"/>
          <w:spacing w:val="-4"/>
        </w:rPr>
        <w:t>Virus</w:t>
      </w:r>
      <w:r>
        <w:rPr>
          <w:spacing w:val="-4"/>
        </w:rPr>
        <w:t>）</w:t>
      </w:r>
      <w:r>
        <w:rPr>
          <w:spacing w:val="-1"/>
        </w:rPr>
        <w:t>是一种能引起人类急、慢性肝炎的</w:t>
      </w:r>
      <w:r>
        <w:rPr>
          <w:rFonts w:ascii="Times New Roman" w:eastAsia="Times New Roman"/>
        </w:rPr>
        <w:t>DNA </w:t>
      </w:r>
      <w:r>
        <w:rPr>
          <w:spacing w:val="-10"/>
        </w:rPr>
        <w:t>病毒，全长约 </w:t>
      </w:r>
      <w:r>
        <w:rPr>
          <w:rFonts w:ascii="Times New Roman" w:eastAsia="Times New Roman"/>
        </w:rPr>
        <w:t>3.2kb</w:t>
      </w:r>
      <w:r>
        <w:rPr>
          <w:spacing w:val="-3"/>
        </w:rPr>
        <w:t>。拉米夫定（</w:t>
      </w:r>
      <w:r>
        <w:rPr>
          <w:rFonts w:ascii="Times New Roman" w:eastAsia="Times New Roman"/>
          <w:spacing w:val="-3"/>
        </w:rPr>
        <w:t>Lamivudine</w:t>
      </w:r>
      <w:r>
        <w:rPr>
          <w:spacing w:val="-3"/>
        </w:rPr>
        <w:t>）</w:t>
      </w:r>
      <w:r>
        <w:rPr>
          <w:spacing w:val="-2"/>
        </w:rPr>
        <w:t>是一</w:t>
      </w:r>
      <w:r>
        <w:rPr>
          <w:spacing w:val="-5"/>
        </w:rPr>
        <w:t>种核苷类的抗乙型肝炎病毒</w:t>
      </w:r>
      <w:r>
        <w:rPr>
          <w:spacing w:val="-3"/>
        </w:rPr>
        <w:t>（</w:t>
      </w:r>
      <w:r>
        <w:rPr>
          <w:spacing w:val="-4"/>
        </w:rPr>
        <w:t>乙型肝炎病毒</w:t>
      </w:r>
      <w:r>
        <w:rPr>
          <w:spacing w:val="-3"/>
        </w:rPr>
        <w:t>）</w:t>
      </w:r>
      <w:r>
        <w:rPr>
          <w:spacing w:val="-5"/>
        </w:rPr>
        <w:t>的药物，是乙型肝炎病毒复制强有力的抑制剂，长期用药会产生乙型肝炎病毒耐药突</w:t>
      </w:r>
      <w:r>
        <w:rPr>
          <w:spacing w:val="6"/>
        </w:rPr>
        <w:t>变，或称</w:t>
      </w:r>
      <w:r>
        <w:rPr>
          <w:rFonts w:ascii="Times New Roman" w:eastAsia="Times New Roman"/>
        </w:rPr>
        <w:t>YMDD </w:t>
      </w:r>
      <w:r>
        <w:rPr>
          <w:spacing w:val="-5"/>
        </w:rPr>
        <w:t>突变，目前临床一般用分子生物学方法辅助诊断。</w:t>
      </w:r>
    </w:p>
    <w:p>
      <w:pPr>
        <w:pStyle w:val="Heading1"/>
      </w:pPr>
      <w:r>
        <w:rPr/>
        <w:t>【检验原理】</w:t>
      </w:r>
    </w:p>
    <w:p>
      <w:pPr>
        <w:pStyle w:val="BodyText"/>
        <w:spacing w:line="187" w:lineRule="auto" w:before="14"/>
        <w:ind w:right="197" w:firstLine="357"/>
        <w:jc w:val="both"/>
      </w:pPr>
      <w:r>
        <w:rPr>
          <w:spacing w:val="-4"/>
        </w:rPr>
        <w:t>本试剂盒采用磁珠法提取血清样品中的乙型肝炎病毒</w:t>
      </w:r>
      <w:r>
        <w:rPr>
          <w:rFonts w:ascii="Times New Roman" w:eastAsia="Times New Roman"/>
        </w:rPr>
        <w:t>DNA</w:t>
      </w:r>
      <w:r>
        <w:rPr/>
        <w:t>，利用针对乙型肝炎病毒</w:t>
      </w:r>
      <w:r>
        <w:rPr>
          <w:rFonts w:ascii="Times New Roman" w:eastAsia="Times New Roman"/>
        </w:rPr>
        <w:t>YMDD </w:t>
      </w:r>
      <w:r>
        <w:rPr>
          <w:spacing w:val="-5"/>
        </w:rPr>
        <w:t>核酸突变位点设计的特异性引物、</w:t>
      </w:r>
      <w:r>
        <w:rPr/>
        <w:t>特异荧光探针，配以</w:t>
      </w:r>
      <w:r>
        <w:rPr>
          <w:rFonts w:ascii="Times New Roman" w:eastAsia="Times New Roman"/>
        </w:rPr>
        <w:t>PCR </w:t>
      </w:r>
      <w:r>
        <w:rPr/>
        <w:t>反应液，在荧光定量</w:t>
      </w:r>
      <w:r>
        <w:rPr>
          <w:rFonts w:ascii="Times New Roman" w:eastAsia="Times New Roman"/>
        </w:rPr>
        <w:t>PCR </w:t>
      </w:r>
      <w:r>
        <w:rPr>
          <w:spacing w:val="-1"/>
        </w:rPr>
        <w:t>仪上，应用实时荧光定量</w:t>
      </w:r>
      <w:r>
        <w:rPr>
          <w:rFonts w:ascii="Times New Roman" w:eastAsia="Times New Roman"/>
        </w:rPr>
        <w:t>PCR </w:t>
      </w:r>
      <w:r>
        <w:rPr>
          <w:spacing w:val="-5"/>
        </w:rPr>
        <w:t>检测技术，通过荧光信号的变化实现乙型肝炎病</w:t>
      </w:r>
      <w:r>
        <w:rPr>
          <w:spacing w:val="40"/>
        </w:rPr>
        <w:t>毒</w:t>
      </w:r>
      <w:r>
        <w:rPr>
          <w:rFonts w:ascii="Times New Roman" w:eastAsia="Times New Roman"/>
        </w:rPr>
        <w:t>YMDD </w:t>
      </w:r>
      <w:r>
        <w:rPr>
          <w:spacing w:val="-5"/>
        </w:rPr>
        <w:t>突变株检测。</w:t>
      </w:r>
    </w:p>
    <w:p>
      <w:pPr>
        <w:pStyle w:val="BodyText"/>
        <w:spacing w:line="187" w:lineRule="auto" w:before="1"/>
        <w:ind w:right="197" w:firstLine="352"/>
        <w:jc w:val="both"/>
      </w:pPr>
      <w:r>
        <w:rPr>
          <w:spacing w:val="-4"/>
        </w:rPr>
        <w:t>本试剂盒设置了阳性内对照</w:t>
      </w:r>
      <w:r>
        <w:rPr>
          <w:spacing w:val="-3"/>
        </w:rPr>
        <w:t>（</w:t>
      </w:r>
      <w:r>
        <w:rPr>
          <w:spacing w:val="3"/>
        </w:rPr>
        <w:t>乙型肝炎病毒</w:t>
      </w:r>
      <w:r>
        <w:rPr>
          <w:rFonts w:ascii="Times New Roman" w:eastAsia="Times New Roman"/>
        </w:rPr>
        <w:t>YMDD </w:t>
      </w:r>
      <w:r>
        <w:rPr>
          <w:spacing w:val="-3"/>
        </w:rPr>
        <w:t>内标），通过检测内标是否正常来监测待测样本中是否具有</w:t>
      </w:r>
      <w:r>
        <w:rPr>
          <w:rFonts w:ascii="Times New Roman" w:eastAsia="Times New Roman"/>
        </w:rPr>
        <w:t>PCR </w:t>
      </w:r>
      <w:r>
        <w:rPr>
          <w:spacing w:val="-3"/>
        </w:rPr>
        <w:t>抑制物， </w:t>
      </w:r>
      <w:r>
        <w:rPr>
          <w:spacing w:val="17"/>
        </w:rPr>
        <w:t>避免</w:t>
      </w:r>
      <w:r>
        <w:rPr>
          <w:rFonts w:ascii="Times New Roman" w:eastAsia="Times New Roman"/>
        </w:rPr>
        <w:t>PCR </w:t>
      </w:r>
      <w:r>
        <w:rPr>
          <w:spacing w:val="-4"/>
        </w:rPr>
        <w:t>假阴性。</w:t>
      </w:r>
    </w:p>
    <w:p>
      <w:pPr>
        <w:pStyle w:val="BodyText"/>
        <w:spacing w:line="187" w:lineRule="auto"/>
        <w:ind w:right="190" w:firstLine="352"/>
      </w:pPr>
      <w:r>
        <w:rPr>
          <w:spacing w:val="1"/>
        </w:rPr>
        <w:t>本试剂盒设置了</w:t>
      </w:r>
      <w:r>
        <w:rPr>
          <w:rFonts w:ascii="Times New Roman" w:hAnsi="Times New Roman" w:eastAsia="Times New Roman"/>
        </w:rPr>
        <w:t>UNG </w:t>
      </w:r>
      <w:r>
        <w:rPr>
          <w:spacing w:val="-5"/>
        </w:rPr>
        <w:t>酶</w:t>
      </w:r>
      <w:r>
        <w:rPr>
          <w:rFonts w:ascii="Times New Roman" w:hAnsi="Times New Roman" w:eastAsia="Times New Roman"/>
        </w:rPr>
        <w:t>+dUTP </w:t>
      </w:r>
      <w:r>
        <w:rPr>
          <w:spacing w:val="-5"/>
        </w:rPr>
        <w:t>防污染措施，</w:t>
      </w:r>
      <w:r>
        <w:rPr>
          <w:rFonts w:ascii="Times New Roman" w:hAnsi="Times New Roman" w:eastAsia="Times New Roman"/>
        </w:rPr>
        <w:t>PCR </w:t>
      </w:r>
      <w:r>
        <w:rPr>
          <w:spacing w:val="-16"/>
        </w:rPr>
        <w:t>扩增前 </w:t>
      </w:r>
      <w:r>
        <w:rPr>
          <w:rFonts w:ascii="Times New Roman" w:hAnsi="Times New Roman" w:eastAsia="Times New Roman"/>
          <w:spacing w:val="-3"/>
        </w:rPr>
        <w:t>50</w:t>
      </w:r>
      <w:r>
        <w:rPr>
          <w:spacing w:val="1"/>
        </w:rPr>
        <w:t>℃预处理，利用</w:t>
      </w:r>
      <w:r>
        <w:rPr>
          <w:rFonts w:ascii="Times New Roman" w:hAnsi="Times New Roman" w:eastAsia="Times New Roman"/>
        </w:rPr>
        <w:t>UNG </w:t>
      </w:r>
      <w:r>
        <w:rPr>
          <w:spacing w:val="1"/>
        </w:rPr>
        <w:t>酶将可能存在的</w:t>
      </w:r>
      <w:r>
        <w:rPr>
          <w:rFonts w:ascii="Times New Roman" w:hAnsi="Times New Roman" w:eastAsia="Times New Roman"/>
        </w:rPr>
        <w:t>PCR </w:t>
      </w:r>
      <w:r>
        <w:rPr>
          <w:spacing w:val="-5"/>
        </w:rPr>
        <w:t>产物污染充分降解，以排除由此可能引起的假阳性结果。</w:t>
      </w:r>
    </w:p>
    <w:p>
      <w:pPr>
        <w:pStyle w:val="BodyText"/>
        <w:spacing w:line="187" w:lineRule="auto"/>
        <w:ind w:right="197" w:firstLine="357"/>
      </w:pPr>
      <w:r>
        <w:rPr>
          <w:rFonts w:ascii="Times New Roman" w:eastAsia="Times New Roman"/>
        </w:rPr>
        <w:t>PCR </w:t>
      </w:r>
      <w:r>
        <w:rPr>
          <w:spacing w:val="-1"/>
        </w:rPr>
        <w:t>检测体系含有内参比荧光</w:t>
      </w:r>
      <w:r>
        <w:rPr>
          <w:rFonts w:ascii="Times New Roman" w:eastAsia="Times New Roman"/>
          <w:spacing w:val="-3"/>
        </w:rPr>
        <w:t>ROX</w:t>
      </w:r>
      <w:r>
        <w:rPr>
          <w:spacing w:val="-4"/>
        </w:rPr>
        <w:t>，用于校正加样误差和管间差异，便于仪器自动分析报告荧光与内参比荧光</w:t>
      </w:r>
      <w:r>
        <w:rPr>
          <w:rFonts w:ascii="Times New Roman" w:eastAsia="Times New Roman"/>
        </w:rPr>
        <w:t>ROX </w:t>
      </w:r>
      <w:r>
        <w:rPr>
          <w:spacing w:val="-3"/>
        </w:rPr>
        <w:t>的比值， </w:t>
      </w:r>
      <w:r>
        <w:rPr>
          <w:spacing w:val="-5"/>
        </w:rPr>
        <w:t>使检测结果更准确。</w:t>
      </w:r>
    </w:p>
    <w:p>
      <w:pPr>
        <w:pStyle w:val="Heading1"/>
        <w:spacing w:line="183" w:lineRule="exact"/>
      </w:pPr>
      <w:r>
        <w:rPr/>
        <w:t>【主要组成成分】</w:t>
      </w:r>
    </w:p>
    <w:p>
      <w:pPr>
        <w:pStyle w:val="BodyText"/>
        <w:spacing w:line="208" w:lineRule="exact"/>
        <w:ind w:left="744"/>
      </w:pPr>
      <w:r>
        <w:rPr/>
        <w:t>本试剂盒包括磁珠法核酸提取试剂和扩增反应试剂，由以下两个包装盒组成：</w:t>
      </w:r>
    </w:p>
    <w:tbl>
      <w:tblPr>
        <w:tblW w:w="0" w:type="auto"/>
        <w:jc w:val="left"/>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9"/>
        <w:gridCol w:w="630"/>
        <w:gridCol w:w="2776"/>
        <w:gridCol w:w="1345"/>
        <w:gridCol w:w="4222"/>
      </w:tblGrid>
      <w:tr>
        <w:trPr>
          <w:trHeight w:val="194" w:hRule="atLeast"/>
        </w:trPr>
        <w:tc>
          <w:tcPr>
            <w:tcW w:w="1069" w:type="dxa"/>
            <w:tcBorders>
              <w:bottom w:val="single" w:sz="6" w:space="0" w:color="000000"/>
              <w:right w:val="single" w:sz="6" w:space="0" w:color="000000"/>
            </w:tcBorders>
          </w:tcPr>
          <w:p>
            <w:pPr>
              <w:pStyle w:val="TableParagraph"/>
              <w:spacing w:line="240" w:lineRule="auto"/>
              <w:ind w:left="0"/>
              <w:rPr>
                <w:sz w:val="12"/>
              </w:rPr>
            </w:pPr>
          </w:p>
        </w:tc>
        <w:tc>
          <w:tcPr>
            <w:tcW w:w="630" w:type="dxa"/>
            <w:tcBorders>
              <w:left w:val="single" w:sz="6" w:space="0" w:color="000000"/>
              <w:bottom w:val="single" w:sz="6" w:space="0" w:color="000000"/>
              <w:right w:val="single" w:sz="6" w:space="0" w:color="000000"/>
            </w:tcBorders>
          </w:tcPr>
          <w:p>
            <w:pPr>
              <w:pStyle w:val="TableParagraph"/>
              <w:spacing w:line="175" w:lineRule="exact"/>
              <w:ind w:left="114" w:right="100"/>
              <w:jc w:val="center"/>
              <w:rPr>
                <w:rFonts w:ascii="宋体" w:eastAsia="宋体" w:hint="eastAsia"/>
                <w:sz w:val="18"/>
              </w:rPr>
            </w:pPr>
            <w:r>
              <w:rPr>
                <w:rFonts w:ascii="宋体" w:eastAsia="宋体" w:hint="eastAsia"/>
                <w:sz w:val="18"/>
              </w:rPr>
              <w:t>序号</w:t>
            </w:r>
          </w:p>
        </w:tc>
        <w:tc>
          <w:tcPr>
            <w:tcW w:w="2776" w:type="dxa"/>
            <w:tcBorders>
              <w:left w:val="single" w:sz="6" w:space="0" w:color="000000"/>
              <w:bottom w:val="single" w:sz="6" w:space="0" w:color="000000"/>
              <w:right w:val="single" w:sz="6" w:space="0" w:color="000000"/>
            </w:tcBorders>
          </w:tcPr>
          <w:p>
            <w:pPr>
              <w:pStyle w:val="TableParagraph"/>
              <w:spacing w:line="175" w:lineRule="exact"/>
              <w:ind w:left="1007" w:right="994"/>
              <w:jc w:val="center"/>
              <w:rPr>
                <w:rFonts w:ascii="宋体" w:eastAsia="宋体" w:hint="eastAsia"/>
                <w:sz w:val="18"/>
              </w:rPr>
            </w:pPr>
            <w:r>
              <w:rPr>
                <w:rFonts w:ascii="宋体" w:eastAsia="宋体" w:hint="eastAsia"/>
                <w:sz w:val="18"/>
              </w:rPr>
              <w:t>试剂名称</w:t>
            </w:r>
          </w:p>
        </w:tc>
        <w:tc>
          <w:tcPr>
            <w:tcW w:w="1345" w:type="dxa"/>
            <w:tcBorders>
              <w:left w:val="single" w:sz="6" w:space="0" w:color="000000"/>
              <w:bottom w:val="single" w:sz="6" w:space="0" w:color="000000"/>
            </w:tcBorders>
          </w:tcPr>
          <w:p>
            <w:pPr>
              <w:pStyle w:val="TableParagraph"/>
              <w:spacing w:line="175" w:lineRule="exact"/>
              <w:ind w:left="0" w:right="217"/>
              <w:jc w:val="right"/>
              <w:rPr>
                <w:rFonts w:ascii="宋体" w:eastAsia="宋体" w:hint="eastAsia"/>
                <w:sz w:val="18"/>
              </w:rPr>
            </w:pPr>
            <w:r>
              <w:rPr>
                <w:rFonts w:ascii="宋体" w:eastAsia="宋体" w:hint="eastAsia"/>
                <w:sz w:val="18"/>
              </w:rPr>
              <w:t>规格与装量</w:t>
            </w:r>
          </w:p>
        </w:tc>
        <w:tc>
          <w:tcPr>
            <w:tcW w:w="4222" w:type="dxa"/>
            <w:tcBorders>
              <w:bottom w:val="single" w:sz="6" w:space="0" w:color="000000"/>
              <w:right w:val="single" w:sz="6" w:space="0" w:color="000000"/>
            </w:tcBorders>
          </w:tcPr>
          <w:p>
            <w:pPr>
              <w:pStyle w:val="TableParagraph"/>
              <w:spacing w:line="175" w:lineRule="exact"/>
              <w:ind w:left="17"/>
              <w:jc w:val="center"/>
              <w:rPr>
                <w:rFonts w:ascii="宋体" w:eastAsia="宋体" w:hint="eastAsia"/>
                <w:sz w:val="18"/>
              </w:rPr>
            </w:pPr>
            <w:r>
              <w:rPr>
                <w:rFonts w:ascii="宋体" w:eastAsia="宋体" w:hint="eastAsia"/>
                <w:sz w:val="18"/>
              </w:rPr>
              <w:t>主要成分及浓度</w:t>
            </w:r>
          </w:p>
        </w:tc>
      </w:tr>
      <w:tr>
        <w:trPr>
          <w:trHeight w:val="360" w:hRule="atLeast"/>
        </w:trPr>
        <w:tc>
          <w:tcPr>
            <w:tcW w:w="1069" w:type="dxa"/>
            <w:vMerge w:val="restart"/>
            <w:tcBorders>
              <w:top w:val="single" w:sz="6" w:space="0" w:color="000000"/>
              <w:bottom w:val="single" w:sz="6" w:space="0" w:color="000000"/>
              <w:right w:val="single" w:sz="6" w:space="0" w:color="000000"/>
            </w:tcBorders>
          </w:tcPr>
          <w:p>
            <w:pPr>
              <w:pStyle w:val="TableParagraph"/>
              <w:spacing w:line="240" w:lineRule="auto" w:before="2"/>
              <w:ind w:left="0"/>
              <w:rPr>
                <w:rFonts w:ascii="宋体"/>
                <w:sz w:val="23"/>
              </w:rPr>
            </w:pPr>
          </w:p>
          <w:p>
            <w:pPr>
              <w:pStyle w:val="TableParagraph"/>
              <w:spacing w:line="187" w:lineRule="auto" w:before="1"/>
              <w:ind w:left="181" w:right="165" w:firstLine="2"/>
              <w:jc w:val="center"/>
              <w:rPr>
                <w:rFonts w:ascii="宋体" w:eastAsia="宋体" w:hint="eastAsia"/>
                <w:sz w:val="18"/>
              </w:rPr>
            </w:pPr>
            <w:r>
              <w:rPr>
                <w:rFonts w:ascii="宋体" w:eastAsia="宋体" w:hint="eastAsia"/>
                <w:spacing w:val="-3"/>
                <w:sz w:val="18"/>
              </w:rPr>
              <w:t>磁珠法 </w:t>
            </w:r>
            <w:r>
              <w:rPr>
                <w:rFonts w:ascii="宋体" w:eastAsia="宋体" w:hint="eastAsia"/>
                <w:spacing w:val="-8"/>
                <w:sz w:val="18"/>
              </w:rPr>
              <w:t>核酸提取</w:t>
            </w:r>
            <w:r>
              <w:rPr>
                <w:rFonts w:ascii="宋体" w:eastAsia="宋体" w:hint="eastAsia"/>
                <w:spacing w:val="-3"/>
                <w:sz w:val="18"/>
              </w:rPr>
              <w:t>试剂</w:t>
            </w:r>
          </w:p>
        </w:tc>
        <w:tc>
          <w:tcPr>
            <w:tcW w:w="63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51"/>
              <w:ind w:left="13"/>
              <w:jc w:val="center"/>
              <w:rPr>
                <w:sz w:val="18"/>
              </w:rPr>
            </w:pPr>
            <w:r>
              <w:rPr>
                <w:sz w:val="18"/>
              </w:rPr>
              <w:t>1</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39"/>
              <w:ind w:left="798"/>
              <w:rPr>
                <w:sz w:val="18"/>
              </w:rPr>
            </w:pPr>
            <w:r>
              <w:rPr>
                <w:sz w:val="18"/>
              </w:rPr>
              <w:t>DNA</w:t>
            </w:r>
            <w:r>
              <w:rPr>
                <w:rFonts w:ascii="宋体" w:eastAsia="宋体" w:hint="eastAsia"/>
                <w:sz w:val="18"/>
              </w:rPr>
              <w:t>提取溶液</w:t>
            </w:r>
            <w:r>
              <w:rPr>
                <w:sz w:val="18"/>
              </w:rPr>
              <w:t>1</w:t>
            </w:r>
          </w:p>
        </w:tc>
        <w:tc>
          <w:tcPr>
            <w:tcW w:w="1345" w:type="dxa"/>
            <w:tcBorders>
              <w:top w:val="single" w:sz="6" w:space="0" w:color="000000"/>
              <w:left w:val="single" w:sz="6" w:space="0" w:color="000000"/>
              <w:bottom w:val="single" w:sz="6" w:space="0" w:color="000000"/>
            </w:tcBorders>
          </w:tcPr>
          <w:p>
            <w:pPr>
              <w:pStyle w:val="TableParagraph"/>
              <w:spacing w:line="240" w:lineRule="auto" w:before="39"/>
              <w:ind w:left="0" w:right="161"/>
              <w:jc w:val="right"/>
              <w:rPr>
                <w:rFonts w:ascii="宋体" w:hAnsi="宋体" w:eastAsia="宋体" w:hint="eastAsia"/>
                <w:sz w:val="18"/>
              </w:rPr>
            </w:pPr>
            <w:r>
              <w:rPr>
                <w:sz w:val="18"/>
              </w:rPr>
              <w:t>7.2ml/</w:t>
            </w:r>
            <w:r>
              <w:rPr>
                <w:rFonts w:ascii="宋体" w:hAnsi="宋体" w:eastAsia="宋体" w:hint="eastAsia"/>
                <w:sz w:val="18"/>
              </w:rPr>
              <w:t>瓶</w:t>
            </w:r>
            <w:r>
              <w:rPr>
                <w:sz w:val="18"/>
              </w:rPr>
              <w:t>×1</w:t>
            </w:r>
            <w:r>
              <w:rPr>
                <w:rFonts w:ascii="宋体" w:hAnsi="宋体" w:eastAsia="宋体" w:hint="eastAsia"/>
                <w:sz w:val="18"/>
              </w:rPr>
              <w:t>瓶</w:t>
            </w:r>
          </w:p>
        </w:tc>
        <w:tc>
          <w:tcPr>
            <w:tcW w:w="4222" w:type="dxa"/>
            <w:tcBorders>
              <w:top w:val="single" w:sz="6" w:space="0" w:color="000000"/>
              <w:bottom w:val="single" w:sz="6" w:space="0" w:color="000000"/>
              <w:right w:val="single" w:sz="6" w:space="0" w:color="000000"/>
            </w:tcBorders>
          </w:tcPr>
          <w:p>
            <w:pPr>
              <w:pStyle w:val="TableParagraph"/>
              <w:spacing w:line="156" w:lineRule="exact"/>
              <w:ind w:left="24"/>
              <w:jc w:val="center"/>
              <w:rPr>
                <w:rFonts w:ascii="宋体" w:eastAsia="宋体" w:hint="eastAsia"/>
                <w:sz w:val="18"/>
              </w:rPr>
            </w:pPr>
            <w:r>
              <w:rPr>
                <w:rFonts w:ascii="宋体" w:eastAsia="宋体" w:hint="eastAsia"/>
                <w:sz w:val="18"/>
              </w:rPr>
              <w:t>十二烷基硫酸钠</w:t>
            </w:r>
            <w:r>
              <w:rPr>
                <w:sz w:val="18"/>
              </w:rPr>
              <w:t>(0.5%)</w:t>
            </w:r>
            <w:r>
              <w:rPr>
                <w:rFonts w:ascii="宋体" w:eastAsia="宋体" w:hint="eastAsia"/>
                <w:sz w:val="18"/>
              </w:rPr>
              <w:t>、曲拉通</w:t>
            </w:r>
            <w:r>
              <w:rPr>
                <w:sz w:val="18"/>
              </w:rPr>
              <w:t>X-100(2.0%)</w:t>
            </w:r>
            <w:r>
              <w:rPr>
                <w:rFonts w:ascii="宋体" w:eastAsia="宋体" w:hint="eastAsia"/>
                <w:sz w:val="18"/>
              </w:rPr>
              <w:t>、异硫氰</w:t>
            </w:r>
          </w:p>
          <w:p>
            <w:pPr>
              <w:pStyle w:val="TableParagraph"/>
              <w:spacing w:line="184" w:lineRule="exact"/>
              <w:ind w:left="19"/>
              <w:jc w:val="center"/>
              <w:rPr>
                <w:sz w:val="18"/>
              </w:rPr>
            </w:pPr>
            <w:r>
              <w:rPr>
                <w:rFonts w:ascii="宋体" w:eastAsia="宋体" w:hint="eastAsia"/>
                <w:sz w:val="18"/>
              </w:rPr>
              <w:t>酸胍</w:t>
            </w:r>
            <w:r>
              <w:rPr>
                <w:sz w:val="18"/>
              </w:rPr>
              <w:t>(0.2%)</w:t>
            </w:r>
          </w:p>
        </w:tc>
      </w:tr>
      <w:tr>
        <w:trPr>
          <w:trHeight w:val="360" w:hRule="atLeast"/>
        </w:trPr>
        <w:tc>
          <w:tcPr>
            <w:tcW w:w="1069" w:type="dxa"/>
            <w:vMerge/>
            <w:tcBorders>
              <w:top w:val="nil"/>
              <w:bottom w:val="single" w:sz="6" w:space="0" w:color="000000"/>
              <w:right w:val="single" w:sz="6" w:space="0" w:color="000000"/>
            </w:tcBorders>
          </w:tcPr>
          <w:p>
            <w:pPr>
              <w:rPr>
                <w:sz w:val="2"/>
                <w:szCs w:val="2"/>
              </w:rPr>
            </w:pPr>
          </w:p>
        </w:tc>
        <w:tc>
          <w:tcPr>
            <w:tcW w:w="63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51"/>
              <w:ind w:left="13"/>
              <w:jc w:val="center"/>
              <w:rPr>
                <w:sz w:val="18"/>
              </w:rPr>
            </w:pPr>
            <w:r>
              <w:rPr>
                <w:sz w:val="18"/>
              </w:rPr>
              <w:t>2</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1"/>
              <w:ind w:left="798"/>
              <w:rPr>
                <w:sz w:val="18"/>
              </w:rPr>
            </w:pPr>
            <w:r>
              <w:rPr>
                <w:sz w:val="18"/>
              </w:rPr>
              <w:t>DNA</w:t>
            </w:r>
            <w:r>
              <w:rPr>
                <w:rFonts w:ascii="宋体" w:eastAsia="宋体" w:hint="eastAsia"/>
                <w:sz w:val="18"/>
              </w:rPr>
              <w:t>提取溶液</w:t>
            </w:r>
            <w:r>
              <w:rPr>
                <w:sz w:val="18"/>
              </w:rPr>
              <w:t>2</w:t>
            </w:r>
          </w:p>
        </w:tc>
        <w:tc>
          <w:tcPr>
            <w:tcW w:w="1345" w:type="dxa"/>
            <w:tcBorders>
              <w:top w:val="single" w:sz="6" w:space="0" w:color="000000"/>
              <w:left w:val="single" w:sz="6" w:space="0" w:color="000000"/>
              <w:bottom w:val="single" w:sz="6" w:space="0" w:color="000000"/>
            </w:tcBorders>
          </w:tcPr>
          <w:p>
            <w:pPr>
              <w:pStyle w:val="TableParagraph"/>
              <w:spacing w:line="240" w:lineRule="auto" w:before="41"/>
              <w:ind w:left="0" w:right="161"/>
              <w:jc w:val="right"/>
              <w:rPr>
                <w:rFonts w:ascii="宋体" w:hAnsi="宋体" w:eastAsia="宋体" w:hint="eastAsia"/>
                <w:sz w:val="18"/>
              </w:rPr>
            </w:pPr>
            <w:r>
              <w:rPr>
                <w:sz w:val="18"/>
              </w:rPr>
              <w:t>2.4ml/</w:t>
            </w:r>
            <w:r>
              <w:rPr>
                <w:rFonts w:ascii="宋体" w:hAnsi="宋体" w:eastAsia="宋体" w:hint="eastAsia"/>
                <w:sz w:val="18"/>
              </w:rPr>
              <w:t>管</w:t>
            </w:r>
            <w:r>
              <w:rPr>
                <w:sz w:val="18"/>
              </w:rPr>
              <w:t>×1</w:t>
            </w:r>
            <w:r>
              <w:rPr>
                <w:rFonts w:ascii="宋体" w:hAnsi="宋体" w:eastAsia="宋体" w:hint="eastAsia"/>
                <w:sz w:val="18"/>
              </w:rPr>
              <w:t>管</w:t>
            </w:r>
          </w:p>
        </w:tc>
        <w:tc>
          <w:tcPr>
            <w:tcW w:w="4222" w:type="dxa"/>
            <w:tcBorders>
              <w:top w:val="single" w:sz="6" w:space="0" w:color="000000"/>
              <w:bottom w:val="single" w:sz="6" w:space="0" w:color="000000"/>
              <w:right w:val="single" w:sz="6" w:space="0" w:color="000000"/>
            </w:tcBorders>
          </w:tcPr>
          <w:p>
            <w:pPr>
              <w:pStyle w:val="TableParagraph"/>
              <w:spacing w:line="162" w:lineRule="exact"/>
              <w:ind w:left="22"/>
              <w:jc w:val="center"/>
              <w:rPr>
                <w:rFonts w:ascii="宋体" w:eastAsia="宋体" w:hint="eastAsia"/>
                <w:sz w:val="18"/>
              </w:rPr>
            </w:pPr>
            <w:r>
              <w:rPr>
                <w:sz w:val="18"/>
              </w:rPr>
              <w:t>4-</w:t>
            </w:r>
            <w:r>
              <w:rPr>
                <w:rFonts w:ascii="宋体" w:eastAsia="宋体" w:hint="eastAsia"/>
                <w:sz w:val="18"/>
              </w:rPr>
              <w:t>羟乙基哌嗪乙磺酸</w:t>
            </w:r>
            <w:r>
              <w:rPr>
                <w:sz w:val="18"/>
              </w:rPr>
              <w:t>(2.0%)</w:t>
            </w:r>
            <w:r>
              <w:rPr>
                <w:rFonts w:ascii="宋体" w:eastAsia="宋体" w:hint="eastAsia"/>
                <w:sz w:val="18"/>
              </w:rPr>
              <w:t>、氯化钠</w:t>
            </w:r>
            <w:r>
              <w:rPr>
                <w:sz w:val="18"/>
              </w:rPr>
              <w:t>(1.17%)</w:t>
            </w:r>
            <w:r>
              <w:rPr>
                <w:rFonts w:ascii="宋体" w:eastAsia="宋体" w:hint="eastAsia"/>
                <w:sz w:val="18"/>
              </w:rPr>
              <w:t>、磁珠</w:t>
            </w:r>
          </w:p>
          <w:p>
            <w:pPr>
              <w:pStyle w:val="TableParagraph"/>
              <w:spacing w:line="178" w:lineRule="exact"/>
              <w:ind w:left="19"/>
              <w:jc w:val="center"/>
              <w:rPr>
                <w:sz w:val="18"/>
              </w:rPr>
            </w:pPr>
            <w:r>
              <w:rPr>
                <w:sz w:val="18"/>
              </w:rPr>
              <w:t>(0.5%)</w:t>
            </w:r>
          </w:p>
        </w:tc>
      </w:tr>
      <w:tr>
        <w:trPr>
          <w:trHeight w:val="212" w:hRule="atLeast"/>
        </w:trPr>
        <w:tc>
          <w:tcPr>
            <w:tcW w:w="1069" w:type="dxa"/>
            <w:vMerge/>
            <w:tcBorders>
              <w:top w:val="nil"/>
              <w:bottom w:val="single" w:sz="6" w:space="0" w:color="000000"/>
              <w:right w:val="single" w:sz="6" w:space="0" w:color="000000"/>
            </w:tcBorders>
          </w:tcPr>
          <w:p>
            <w:pPr>
              <w:rPr>
                <w:sz w:val="2"/>
                <w:szCs w:val="2"/>
              </w:rPr>
            </w:pPr>
          </w:p>
        </w:tc>
        <w:tc>
          <w:tcPr>
            <w:tcW w:w="630" w:type="dxa"/>
            <w:tcBorders>
              <w:top w:val="single" w:sz="6" w:space="0" w:color="000000"/>
              <w:left w:val="single" w:sz="6" w:space="0" w:color="000000"/>
              <w:bottom w:val="single" w:sz="6" w:space="0" w:color="000000"/>
              <w:right w:val="single" w:sz="6" w:space="0" w:color="000000"/>
            </w:tcBorders>
          </w:tcPr>
          <w:p>
            <w:pPr>
              <w:pStyle w:val="TableParagraph"/>
              <w:spacing w:line="185" w:lineRule="exact"/>
              <w:ind w:left="13"/>
              <w:jc w:val="center"/>
              <w:rPr>
                <w:sz w:val="18"/>
              </w:rPr>
            </w:pPr>
            <w:r>
              <w:rPr>
                <w:sz w:val="18"/>
              </w:rPr>
              <w:t>3</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spacing w:line="192" w:lineRule="exact"/>
              <w:ind w:left="798"/>
              <w:rPr>
                <w:sz w:val="18"/>
              </w:rPr>
            </w:pPr>
            <w:r>
              <w:rPr>
                <w:sz w:val="18"/>
              </w:rPr>
              <w:t>DNA</w:t>
            </w:r>
            <w:r>
              <w:rPr>
                <w:rFonts w:ascii="宋体" w:eastAsia="宋体" w:hint="eastAsia"/>
                <w:sz w:val="18"/>
              </w:rPr>
              <w:t>提取溶液</w:t>
            </w:r>
            <w:r>
              <w:rPr>
                <w:sz w:val="18"/>
              </w:rPr>
              <w:t>3</w:t>
            </w:r>
          </w:p>
        </w:tc>
        <w:tc>
          <w:tcPr>
            <w:tcW w:w="1345" w:type="dxa"/>
            <w:tcBorders>
              <w:top w:val="single" w:sz="6" w:space="0" w:color="000000"/>
              <w:left w:val="single" w:sz="6" w:space="0" w:color="000000"/>
              <w:bottom w:val="single" w:sz="6" w:space="0" w:color="000000"/>
            </w:tcBorders>
          </w:tcPr>
          <w:p>
            <w:pPr>
              <w:pStyle w:val="TableParagraph"/>
              <w:spacing w:line="192" w:lineRule="exact"/>
              <w:ind w:left="0" w:right="116"/>
              <w:jc w:val="right"/>
              <w:rPr>
                <w:rFonts w:ascii="宋体" w:hAnsi="宋体" w:eastAsia="宋体" w:hint="eastAsia"/>
                <w:sz w:val="18"/>
              </w:rPr>
            </w:pPr>
            <w:r>
              <w:rPr>
                <w:sz w:val="18"/>
              </w:rPr>
              <w:t>14.4ml/</w:t>
            </w:r>
            <w:r>
              <w:rPr>
                <w:rFonts w:ascii="宋体" w:hAnsi="宋体" w:eastAsia="宋体" w:hint="eastAsia"/>
                <w:sz w:val="18"/>
              </w:rPr>
              <w:t>瓶</w:t>
            </w:r>
            <w:r>
              <w:rPr>
                <w:sz w:val="18"/>
              </w:rPr>
              <w:t>×1</w:t>
            </w:r>
            <w:r>
              <w:rPr>
                <w:rFonts w:ascii="宋体" w:hAnsi="宋体" w:eastAsia="宋体" w:hint="eastAsia"/>
                <w:sz w:val="18"/>
              </w:rPr>
              <w:t>瓶</w:t>
            </w:r>
          </w:p>
        </w:tc>
        <w:tc>
          <w:tcPr>
            <w:tcW w:w="4222" w:type="dxa"/>
            <w:tcBorders>
              <w:top w:val="single" w:sz="6" w:space="0" w:color="000000"/>
              <w:bottom w:val="single" w:sz="6" w:space="0" w:color="000000"/>
              <w:right w:val="single" w:sz="6" w:space="0" w:color="000000"/>
            </w:tcBorders>
          </w:tcPr>
          <w:p>
            <w:pPr>
              <w:pStyle w:val="TableParagraph"/>
              <w:spacing w:line="192" w:lineRule="exact"/>
              <w:ind w:left="24"/>
              <w:jc w:val="center"/>
              <w:rPr>
                <w:sz w:val="18"/>
              </w:rPr>
            </w:pPr>
            <w:r>
              <w:rPr>
                <w:rFonts w:ascii="宋体" w:eastAsia="宋体" w:hint="eastAsia"/>
                <w:sz w:val="18"/>
              </w:rPr>
              <w:t>曲拉通</w:t>
            </w:r>
            <w:r>
              <w:rPr>
                <w:sz w:val="18"/>
              </w:rPr>
              <w:t>X-100(0.2%)</w:t>
            </w:r>
            <w:r>
              <w:rPr>
                <w:rFonts w:ascii="宋体" w:eastAsia="宋体" w:hint="eastAsia"/>
                <w:sz w:val="18"/>
              </w:rPr>
              <w:t>、氯化钠</w:t>
            </w:r>
            <w:r>
              <w:rPr>
                <w:sz w:val="18"/>
              </w:rPr>
              <w:t>(1.17%)</w:t>
            </w:r>
          </w:p>
        </w:tc>
      </w:tr>
      <w:tr>
        <w:trPr>
          <w:trHeight w:val="180" w:hRule="atLeast"/>
        </w:trPr>
        <w:tc>
          <w:tcPr>
            <w:tcW w:w="1069" w:type="dxa"/>
            <w:vMerge/>
            <w:tcBorders>
              <w:top w:val="nil"/>
              <w:bottom w:val="single" w:sz="6" w:space="0" w:color="000000"/>
              <w:right w:val="single" w:sz="6" w:space="0" w:color="000000"/>
            </w:tcBorders>
          </w:tcPr>
          <w:p>
            <w:pPr>
              <w:rPr>
                <w:sz w:val="2"/>
                <w:szCs w:val="2"/>
              </w:rPr>
            </w:pPr>
          </w:p>
        </w:tc>
        <w:tc>
          <w:tcPr>
            <w:tcW w:w="630" w:type="dxa"/>
            <w:tcBorders>
              <w:top w:val="single" w:sz="6" w:space="0" w:color="000000"/>
              <w:left w:val="single" w:sz="6" w:space="0" w:color="000000"/>
              <w:bottom w:val="single" w:sz="6" w:space="0" w:color="000000"/>
              <w:right w:val="single" w:sz="6" w:space="0" w:color="000000"/>
            </w:tcBorders>
          </w:tcPr>
          <w:p>
            <w:pPr>
              <w:pStyle w:val="TableParagraph"/>
              <w:ind w:left="13"/>
              <w:jc w:val="center"/>
              <w:rPr>
                <w:sz w:val="18"/>
              </w:rPr>
            </w:pPr>
            <w:r>
              <w:rPr>
                <w:sz w:val="18"/>
              </w:rPr>
              <w:t>4</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ind w:left="798"/>
              <w:rPr>
                <w:sz w:val="18"/>
              </w:rPr>
            </w:pPr>
            <w:r>
              <w:rPr>
                <w:sz w:val="18"/>
              </w:rPr>
              <w:t>DNA</w:t>
            </w:r>
            <w:r>
              <w:rPr>
                <w:rFonts w:ascii="宋体" w:eastAsia="宋体" w:hint="eastAsia"/>
                <w:sz w:val="18"/>
              </w:rPr>
              <w:t>提取溶液</w:t>
            </w:r>
            <w:r>
              <w:rPr>
                <w:sz w:val="18"/>
              </w:rPr>
              <w:t>4</w:t>
            </w:r>
          </w:p>
        </w:tc>
        <w:tc>
          <w:tcPr>
            <w:tcW w:w="1345" w:type="dxa"/>
            <w:tcBorders>
              <w:top w:val="single" w:sz="6" w:space="0" w:color="000000"/>
              <w:left w:val="single" w:sz="6" w:space="0" w:color="000000"/>
              <w:bottom w:val="single" w:sz="6" w:space="0" w:color="000000"/>
            </w:tcBorders>
          </w:tcPr>
          <w:p>
            <w:pPr>
              <w:pStyle w:val="TableParagraph"/>
              <w:ind w:left="0" w:right="161"/>
              <w:jc w:val="right"/>
              <w:rPr>
                <w:rFonts w:ascii="宋体" w:hAnsi="宋体" w:eastAsia="宋体" w:hint="eastAsia"/>
                <w:sz w:val="18"/>
              </w:rPr>
            </w:pPr>
            <w:r>
              <w:rPr>
                <w:sz w:val="18"/>
              </w:rPr>
              <w:t>4.8ml/</w:t>
            </w:r>
            <w:r>
              <w:rPr>
                <w:rFonts w:ascii="宋体" w:hAnsi="宋体" w:eastAsia="宋体" w:hint="eastAsia"/>
                <w:sz w:val="18"/>
              </w:rPr>
              <w:t>瓶</w:t>
            </w:r>
            <w:r>
              <w:rPr>
                <w:sz w:val="18"/>
              </w:rPr>
              <w:t>×1</w:t>
            </w:r>
            <w:r>
              <w:rPr>
                <w:rFonts w:ascii="宋体" w:hAnsi="宋体" w:eastAsia="宋体" w:hint="eastAsia"/>
                <w:sz w:val="18"/>
              </w:rPr>
              <w:t>瓶</w:t>
            </w:r>
          </w:p>
        </w:tc>
        <w:tc>
          <w:tcPr>
            <w:tcW w:w="4222" w:type="dxa"/>
            <w:tcBorders>
              <w:top w:val="single" w:sz="6" w:space="0" w:color="000000"/>
              <w:bottom w:val="single" w:sz="6" w:space="0" w:color="000000"/>
              <w:right w:val="single" w:sz="6" w:space="0" w:color="000000"/>
            </w:tcBorders>
          </w:tcPr>
          <w:p>
            <w:pPr>
              <w:pStyle w:val="TableParagraph"/>
              <w:ind w:left="17"/>
              <w:jc w:val="center"/>
              <w:rPr>
                <w:rFonts w:ascii="宋体" w:eastAsia="宋体" w:hint="eastAsia"/>
                <w:sz w:val="18"/>
              </w:rPr>
            </w:pPr>
            <w:r>
              <w:rPr>
                <w:rFonts w:ascii="宋体" w:eastAsia="宋体" w:hint="eastAsia"/>
                <w:sz w:val="18"/>
              </w:rPr>
              <w:t>矿物油</w:t>
            </w:r>
          </w:p>
        </w:tc>
      </w:tr>
      <w:tr>
        <w:trPr>
          <w:trHeight w:val="180" w:hRule="atLeast"/>
        </w:trPr>
        <w:tc>
          <w:tcPr>
            <w:tcW w:w="1069" w:type="dxa"/>
            <w:vMerge w:val="restart"/>
            <w:tcBorders>
              <w:top w:val="single" w:sz="6" w:space="0" w:color="000000"/>
              <w:right w:val="single" w:sz="6" w:space="0" w:color="000000"/>
            </w:tcBorders>
            <w:textDirection w:val="tbRl"/>
          </w:tcPr>
          <w:p>
            <w:pPr>
              <w:pStyle w:val="TableParagraph"/>
              <w:spacing w:line="240" w:lineRule="auto" w:before="3"/>
              <w:ind w:left="0"/>
              <w:rPr>
                <w:rFonts w:ascii="宋体"/>
                <w:sz w:val="26"/>
              </w:rPr>
            </w:pPr>
          </w:p>
          <w:p>
            <w:pPr>
              <w:pStyle w:val="TableParagraph"/>
              <w:spacing w:line="240" w:lineRule="auto"/>
              <w:ind w:left="634"/>
              <w:rPr>
                <w:rFonts w:ascii="宋体" w:eastAsia="宋体" w:hint="eastAsia"/>
                <w:sz w:val="18"/>
              </w:rPr>
            </w:pPr>
            <w:r>
              <w:rPr>
                <w:rFonts w:ascii="宋体" w:eastAsia="宋体" w:hint="eastAsia"/>
                <w:sz w:val="18"/>
              </w:rPr>
              <w:t>扩增反应试剂</w:t>
            </w:r>
          </w:p>
        </w:tc>
        <w:tc>
          <w:tcPr>
            <w:tcW w:w="630" w:type="dxa"/>
            <w:tcBorders>
              <w:top w:val="single" w:sz="6" w:space="0" w:color="000000"/>
              <w:left w:val="single" w:sz="6" w:space="0" w:color="000000"/>
              <w:bottom w:val="single" w:sz="6" w:space="0" w:color="000000"/>
              <w:right w:val="single" w:sz="6" w:space="0" w:color="000000"/>
            </w:tcBorders>
          </w:tcPr>
          <w:p>
            <w:pPr>
              <w:pStyle w:val="TableParagraph"/>
              <w:ind w:left="13"/>
              <w:jc w:val="center"/>
              <w:rPr>
                <w:sz w:val="18"/>
              </w:rPr>
            </w:pPr>
            <w:r>
              <w:rPr>
                <w:sz w:val="18"/>
              </w:rPr>
              <w:t>1</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ind w:left="383"/>
              <w:rPr>
                <w:rFonts w:ascii="宋体" w:eastAsia="宋体" w:hint="eastAsia"/>
                <w:sz w:val="18"/>
              </w:rPr>
            </w:pPr>
            <w:r>
              <w:rPr>
                <w:rFonts w:ascii="宋体" w:eastAsia="宋体" w:hint="eastAsia"/>
                <w:sz w:val="18"/>
              </w:rPr>
              <w:t>乙型肝炎病毒</w:t>
            </w:r>
            <w:r>
              <w:rPr>
                <w:sz w:val="18"/>
              </w:rPr>
              <w:t>YMDD-</w:t>
            </w:r>
            <w:r>
              <w:rPr>
                <w:rFonts w:ascii="宋体" w:eastAsia="宋体" w:hint="eastAsia"/>
                <w:sz w:val="18"/>
              </w:rPr>
              <w:t>内标</w:t>
            </w:r>
          </w:p>
        </w:tc>
        <w:tc>
          <w:tcPr>
            <w:tcW w:w="1345" w:type="dxa"/>
            <w:tcBorders>
              <w:top w:val="single" w:sz="6" w:space="0" w:color="000000"/>
              <w:left w:val="single" w:sz="6" w:space="0" w:color="000000"/>
              <w:bottom w:val="single" w:sz="6" w:space="0" w:color="000000"/>
            </w:tcBorders>
          </w:tcPr>
          <w:p>
            <w:pPr>
              <w:pStyle w:val="TableParagraph"/>
              <w:ind w:left="0" w:right="202"/>
              <w:jc w:val="right"/>
              <w:rPr>
                <w:rFonts w:ascii="宋体" w:hAnsi="宋体" w:eastAsia="宋体" w:hint="eastAsia"/>
                <w:sz w:val="18"/>
              </w:rPr>
            </w:pPr>
            <w:r>
              <w:rPr>
                <w:sz w:val="18"/>
              </w:rPr>
              <w:t>20μl/</w:t>
            </w:r>
            <w:r>
              <w:rPr>
                <w:rFonts w:ascii="宋体" w:hAnsi="宋体" w:eastAsia="宋体" w:hint="eastAsia"/>
                <w:sz w:val="18"/>
              </w:rPr>
              <w:t>管</w:t>
            </w:r>
            <w:r>
              <w:rPr>
                <w:sz w:val="18"/>
              </w:rPr>
              <w:t>×1</w:t>
            </w:r>
            <w:r>
              <w:rPr>
                <w:rFonts w:ascii="宋体" w:hAnsi="宋体" w:eastAsia="宋体" w:hint="eastAsia"/>
                <w:sz w:val="18"/>
              </w:rPr>
              <w:t>管</w:t>
            </w:r>
          </w:p>
        </w:tc>
        <w:tc>
          <w:tcPr>
            <w:tcW w:w="4222" w:type="dxa"/>
            <w:tcBorders>
              <w:top w:val="single" w:sz="6" w:space="0" w:color="000000"/>
              <w:bottom w:val="single" w:sz="6" w:space="0" w:color="000000"/>
              <w:right w:val="single" w:sz="6" w:space="0" w:color="000000"/>
            </w:tcBorders>
          </w:tcPr>
          <w:p>
            <w:pPr>
              <w:pStyle w:val="TableParagraph"/>
              <w:ind w:left="17"/>
              <w:jc w:val="center"/>
              <w:rPr>
                <w:rFonts w:ascii="宋体" w:hAnsi="宋体" w:eastAsia="宋体" w:hint="eastAsia"/>
                <w:sz w:val="18"/>
              </w:rPr>
            </w:pPr>
            <w:r>
              <w:rPr>
                <w:rFonts w:ascii="宋体" w:hAnsi="宋体" w:eastAsia="宋体" w:hint="eastAsia"/>
                <w:sz w:val="18"/>
              </w:rPr>
              <w:t>质粒稀释液（</w:t>
            </w:r>
            <w:r>
              <w:rPr>
                <w:sz w:val="18"/>
              </w:rPr>
              <w:t>4.0</w:t>
            </w:r>
            <w:r>
              <w:rPr>
                <w:rFonts w:ascii="宋体" w:hAnsi="宋体" w:eastAsia="宋体" w:hint="eastAsia"/>
                <w:sz w:val="18"/>
              </w:rPr>
              <w:t>×</w:t>
            </w:r>
            <w:r>
              <w:rPr>
                <w:sz w:val="18"/>
              </w:rPr>
              <w:t>10</w:t>
            </w:r>
            <w:r>
              <w:rPr>
                <w:position w:val="6"/>
                <w:sz w:val="11"/>
              </w:rPr>
              <w:t>5</w:t>
            </w:r>
            <w:r>
              <w:rPr>
                <w:sz w:val="18"/>
              </w:rPr>
              <w:t>copies/ml</w:t>
            </w:r>
            <w:r>
              <w:rPr>
                <w:rFonts w:ascii="宋体" w:hAnsi="宋体" w:eastAsia="宋体" w:hint="eastAsia"/>
                <w:sz w:val="18"/>
              </w:rPr>
              <w:t>）</w:t>
            </w:r>
          </w:p>
        </w:tc>
      </w:tr>
      <w:tr>
        <w:trPr>
          <w:trHeight w:val="539" w:hRule="atLeast"/>
        </w:trPr>
        <w:tc>
          <w:tcPr>
            <w:tcW w:w="1069" w:type="dxa"/>
            <w:vMerge/>
            <w:tcBorders>
              <w:top w:val="nil"/>
              <w:right w:val="single" w:sz="6" w:space="0" w:color="000000"/>
            </w:tcBorders>
            <w:textDirection w:val="tbRl"/>
          </w:tcPr>
          <w:p>
            <w:pPr>
              <w:rPr>
                <w:sz w:val="2"/>
                <w:szCs w:val="2"/>
              </w:rPr>
            </w:pPr>
          </w:p>
        </w:tc>
        <w:tc>
          <w:tcPr>
            <w:tcW w:w="63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141"/>
              <w:ind w:left="13"/>
              <w:jc w:val="center"/>
              <w:rPr>
                <w:sz w:val="18"/>
              </w:rPr>
            </w:pPr>
            <w:r>
              <w:rPr>
                <w:sz w:val="18"/>
              </w:rPr>
              <w:t>2</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129"/>
              <w:ind w:left="0" w:right="158"/>
              <w:jc w:val="right"/>
              <w:rPr>
                <w:rFonts w:ascii="宋体" w:eastAsia="宋体" w:hint="eastAsia"/>
                <w:sz w:val="18"/>
              </w:rPr>
            </w:pPr>
            <w:r>
              <w:rPr>
                <w:rFonts w:ascii="宋体" w:eastAsia="宋体" w:hint="eastAsia"/>
                <w:sz w:val="18"/>
              </w:rPr>
              <w:t>乙型肝炎病毒</w:t>
            </w:r>
            <w:r>
              <w:rPr>
                <w:sz w:val="18"/>
              </w:rPr>
              <w:t>YIDD-PCR</w:t>
            </w:r>
            <w:r>
              <w:rPr>
                <w:rFonts w:ascii="宋体" w:eastAsia="宋体" w:hint="eastAsia"/>
                <w:sz w:val="18"/>
              </w:rPr>
              <w:t>反应液</w:t>
            </w:r>
          </w:p>
        </w:tc>
        <w:tc>
          <w:tcPr>
            <w:tcW w:w="1345" w:type="dxa"/>
            <w:tcBorders>
              <w:top w:val="single" w:sz="6" w:space="0" w:color="000000"/>
              <w:left w:val="single" w:sz="6" w:space="0" w:color="000000"/>
              <w:bottom w:val="single" w:sz="6" w:space="0" w:color="000000"/>
            </w:tcBorders>
          </w:tcPr>
          <w:p>
            <w:pPr>
              <w:pStyle w:val="TableParagraph"/>
              <w:spacing w:line="240" w:lineRule="auto" w:before="129"/>
              <w:ind w:left="0" w:right="159"/>
              <w:jc w:val="right"/>
              <w:rPr>
                <w:rFonts w:ascii="宋体" w:hAnsi="宋体" w:eastAsia="宋体" w:hint="eastAsia"/>
                <w:sz w:val="18"/>
              </w:rPr>
            </w:pPr>
            <w:r>
              <w:rPr>
                <w:sz w:val="18"/>
              </w:rPr>
              <w:t>912μl/</w:t>
            </w:r>
            <w:r>
              <w:rPr>
                <w:rFonts w:ascii="宋体" w:hAnsi="宋体" w:eastAsia="宋体" w:hint="eastAsia"/>
                <w:sz w:val="18"/>
              </w:rPr>
              <w:t>管</w:t>
            </w:r>
            <w:r>
              <w:rPr>
                <w:sz w:val="18"/>
              </w:rPr>
              <w:t>×1</w:t>
            </w:r>
            <w:r>
              <w:rPr>
                <w:rFonts w:ascii="宋体" w:hAnsi="宋体" w:eastAsia="宋体" w:hint="eastAsia"/>
                <w:sz w:val="18"/>
              </w:rPr>
              <w:t>管</w:t>
            </w:r>
          </w:p>
        </w:tc>
        <w:tc>
          <w:tcPr>
            <w:tcW w:w="4222" w:type="dxa"/>
            <w:tcBorders>
              <w:top w:val="single" w:sz="6" w:space="0" w:color="000000"/>
              <w:bottom w:val="single" w:sz="6" w:space="0" w:color="000000"/>
              <w:right w:val="single" w:sz="6" w:space="0" w:color="000000"/>
            </w:tcBorders>
          </w:tcPr>
          <w:p>
            <w:pPr>
              <w:pStyle w:val="TableParagraph"/>
              <w:spacing w:line="187" w:lineRule="auto"/>
              <w:ind w:left="26"/>
              <w:jc w:val="center"/>
              <w:rPr>
                <w:rFonts w:ascii="宋体" w:eastAsia="宋体" w:hint="eastAsia"/>
                <w:sz w:val="18"/>
              </w:rPr>
            </w:pPr>
            <w:r>
              <w:rPr>
                <w:rFonts w:ascii="宋体" w:eastAsia="宋体" w:hint="eastAsia"/>
                <w:spacing w:val="-20"/>
                <w:sz w:val="18"/>
              </w:rPr>
              <w:t>引物</w:t>
            </w:r>
            <w:r>
              <w:rPr>
                <w:rFonts w:ascii="宋体" w:eastAsia="宋体" w:hint="eastAsia"/>
                <w:spacing w:val="-9"/>
                <w:sz w:val="18"/>
              </w:rPr>
              <w:t>（</w:t>
            </w:r>
            <w:r>
              <w:rPr>
                <w:spacing w:val="-9"/>
                <w:sz w:val="18"/>
              </w:rPr>
              <w:t>1.43%</w:t>
            </w:r>
            <w:r>
              <w:rPr>
                <w:rFonts w:ascii="宋体" w:eastAsia="宋体" w:hint="eastAsia"/>
                <w:spacing w:val="-9"/>
                <w:sz w:val="18"/>
              </w:rPr>
              <w:t>）</w:t>
            </w:r>
            <w:r>
              <w:rPr>
                <w:rFonts w:ascii="宋体" w:eastAsia="宋体" w:hint="eastAsia"/>
                <w:spacing w:val="-16"/>
                <w:sz w:val="18"/>
              </w:rPr>
              <w:t>、探针</w:t>
            </w:r>
            <w:r>
              <w:rPr>
                <w:spacing w:val="-3"/>
                <w:sz w:val="18"/>
              </w:rPr>
              <w:t>(0.71%)</w:t>
            </w:r>
            <w:r>
              <w:rPr>
                <w:rFonts w:ascii="宋体" w:eastAsia="宋体" w:hint="eastAsia"/>
                <w:spacing w:val="-39"/>
                <w:sz w:val="18"/>
              </w:rPr>
              <w:t>、</w:t>
            </w:r>
            <w:r>
              <w:rPr>
                <w:spacing w:val="-9"/>
                <w:sz w:val="18"/>
              </w:rPr>
              <w:t>dNTPs</w:t>
            </w:r>
            <w:r>
              <w:rPr>
                <w:rFonts w:ascii="宋体" w:eastAsia="宋体" w:hint="eastAsia"/>
                <w:spacing w:val="-9"/>
                <w:sz w:val="18"/>
              </w:rPr>
              <w:t>（</w:t>
            </w:r>
            <w:r>
              <w:rPr>
                <w:spacing w:val="-9"/>
                <w:sz w:val="18"/>
              </w:rPr>
              <w:t>0.25%</w:t>
            </w:r>
            <w:r>
              <w:rPr>
                <w:rFonts w:ascii="宋体" w:eastAsia="宋体" w:hint="eastAsia"/>
                <w:spacing w:val="-9"/>
                <w:sz w:val="18"/>
              </w:rPr>
              <w:t>）</w:t>
            </w:r>
            <w:r>
              <w:rPr>
                <w:rFonts w:ascii="宋体" w:eastAsia="宋体" w:hint="eastAsia"/>
                <w:spacing w:val="-39"/>
                <w:sz w:val="18"/>
              </w:rPr>
              <w:t>、</w:t>
            </w:r>
            <w:r>
              <w:rPr>
                <w:sz w:val="18"/>
              </w:rPr>
              <w:t>PCR </w:t>
            </w:r>
            <w:r>
              <w:rPr>
                <w:spacing w:val="-6"/>
                <w:sz w:val="18"/>
              </w:rPr>
              <w:t>buffer</w:t>
            </w:r>
            <w:r>
              <w:rPr>
                <w:rFonts w:ascii="宋体" w:eastAsia="宋体" w:hint="eastAsia"/>
                <w:spacing w:val="-6"/>
                <w:sz w:val="18"/>
              </w:rPr>
              <w:t>（</w:t>
            </w:r>
            <w:r>
              <w:rPr>
                <w:spacing w:val="-6"/>
                <w:sz w:val="18"/>
              </w:rPr>
              <w:t>37.5%</w:t>
            </w:r>
            <w:r>
              <w:rPr>
                <w:rFonts w:ascii="宋体" w:eastAsia="宋体" w:hint="eastAsia"/>
                <w:spacing w:val="-6"/>
                <w:sz w:val="18"/>
              </w:rPr>
              <w:t>）</w:t>
            </w:r>
            <w:r>
              <w:rPr>
                <w:rFonts w:ascii="宋体" w:eastAsia="宋体" w:hint="eastAsia"/>
                <w:spacing w:val="-10"/>
                <w:sz w:val="18"/>
              </w:rPr>
              <w:t>、灭菌纯化水</w:t>
            </w:r>
            <w:r>
              <w:rPr>
                <w:rFonts w:ascii="宋体" w:eastAsia="宋体" w:hint="eastAsia"/>
                <w:spacing w:val="-5"/>
                <w:sz w:val="18"/>
              </w:rPr>
              <w:t>（</w:t>
            </w:r>
            <w:r>
              <w:rPr>
                <w:spacing w:val="-5"/>
                <w:sz w:val="18"/>
              </w:rPr>
              <w:t>55.04%</w:t>
            </w:r>
            <w:r>
              <w:rPr>
                <w:rFonts w:ascii="宋体" w:eastAsia="宋体" w:hint="eastAsia"/>
                <w:spacing w:val="-5"/>
                <w:sz w:val="18"/>
              </w:rPr>
              <w:t>）</w:t>
            </w:r>
            <w:r>
              <w:rPr>
                <w:rFonts w:ascii="宋体" w:eastAsia="宋体" w:hint="eastAsia"/>
                <w:spacing w:val="-20"/>
                <w:sz w:val="18"/>
              </w:rPr>
              <w:t>、</w:t>
            </w:r>
            <w:r>
              <w:rPr>
                <w:spacing w:val="-3"/>
                <w:sz w:val="18"/>
              </w:rPr>
              <w:t>ROX</w:t>
            </w:r>
            <w:r>
              <w:rPr>
                <w:rFonts w:ascii="宋体" w:eastAsia="宋体" w:hint="eastAsia"/>
                <w:spacing w:val="-3"/>
                <w:sz w:val="18"/>
              </w:rPr>
              <w:t>溶液</w:t>
            </w:r>
          </w:p>
          <w:p>
            <w:pPr>
              <w:pStyle w:val="TableParagraph"/>
              <w:spacing w:line="171" w:lineRule="exact"/>
              <w:ind w:left="14"/>
              <w:jc w:val="center"/>
              <w:rPr>
                <w:rFonts w:ascii="宋体" w:eastAsia="宋体" w:hint="eastAsia"/>
                <w:sz w:val="18"/>
              </w:rPr>
            </w:pPr>
            <w:r>
              <w:rPr>
                <w:rFonts w:ascii="宋体" w:eastAsia="宋体" w:hint="eastAsia"/>
                <w:sz w:val="18"/>
              </w:rPr>
              <w:t>（</w:t>
            </w:r>
            <w:r>
              <w:rPr>
                <w:sz w:val="18"/>
              </w:rPr>
              <w:t>0.07%</w:t>
            </w:r>
            <w:r>
              <w:rPr>
                <w:rFonts w:ascii="宋体" w:eastAsia="宋体" w:hint="eastAsia"/>
                <w:sz w:val="18"/>
              </w:rPr>
              <w:t>）、酶（</w:t>
            </w:r>
            <w:r>
              <w:rPr>
                <w:sz w:val="18"/>
              </w:rPr>
              <w:t>5%</w:t>
            </w:r>
            <w:r>
              <w:rPr>
                <w:rFonts w:ascii="宋体" w:eastAsia="宋体" w:hint="eastAsia"/>
                <w:sz w:val="18"/>
              </w:rPr>
              <w:t>）</w:t>
            </w:r>
          </w:p>
        </w:tc>
      </w:tr>
      <w:tr>
        <w:trPr>
          <w:trHeight w:val="540" w:hRule="atLeast"/>
        </w:trPr>
        <w:tc>
          <w:tcPr>
            <w:tcW w:w="1069" w:type="dxa"/>
            <w:vMerge/>
            <w:tcBorders>
              <w:top w:val="nil"/>
              <w:right w:val="single" w:sz="6" w:space="0" w:color="000000"/>
            </w:tcBorders>
            <w:textDirection w:val="tbRl"/>
          </w:tcPr>
          <w:p>
            <w:pPr>
              <w:rPr>
                <w:sz w:val="2"/>
                <w:szCs w:val="2"/>
              </w:rPr>
            </w:pPr>
          </w:p>
        </w:tc>
        <w:tc>
          <w:tcPr>
            <w:tcW w:w="63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140"/>
              <w:ind w:left="13"/>
              <w:jc w:val="center"/>
              <w:rPr>
                <w:sz w:val="18"/>
              </w:rPr>
            </w:pPr>
            <w:r>
              <w:rPr>
                <w:sz w:val="18"/>
              </w:rPr>
              <w:t>3</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131"/>
              <w:ind w:left="0" w:right="122"/>
              <w:jc w:val="right"/>
              <w:rPr>
                <w:rFonts w:ascii="宋体" w:eastAsia="宋体" w:hint="eastAsia"/>
                <w:sz w:val="18"/>
              </w:rPr>
            </w:pPr>
            <w:r>
              <w:rPr>
                <w:rFonts w:ascii="宋体" w:eastAsia="宋体" w:hint="eastAsia"/>
                <w:sz w:val="18"/>
              </w:rPr>
              <w:t>乙型肝炎病毒</w:t>
            </w:r>
            <w:r>
              <w:rPr>
                <w:sz w:val="18"/>
              </w:rPr>
              <w:t>YVDD-PCR</w:t>
            </w:r>
            <w:r>
              <w:rPr>
                <w:rFonts w:ascii="宋体" w:eastAsia="宋体" w:hint="eastAsia"/>
                <w:sz w:val="18"/>
              </w:rPr>
              <w:t>反应液</w:t>
            </w:r>
          </w:p>
        </w:tc>
        <w:tc>
          <w:tcPr>
            <w:tcW w:w="1345" w:type="dxa"/>
            <w:tcBorders>
              <w:top w:val="single" w:sz="6" w:space="0" w:color="000000"/>
              <w:left w:val="single" w:sz="6" w:space="0" w:color="000000"/>
              <w:bottom w:val="single" w:sz="6" w:space="0" w:color="000000"/>
            </w:tcBorders>
          </w:tcPr>
          <w:p>
            <w:pPr>
              <w:pStyle w:val="TableParagraph"/>
              <w:spacing w:line="240" w:lineRule="auto" w:before="131"/>
              <w:ind w:left="0" w:right="159"/>
              <w:jc w:val="right"/>
              <w:rPr>
                <w:rFonts w:ascii="宋体" w:hAnsi="宋体" w:eastAsia="宋体" w:hint="eastAsia"/>
                <w:sz w:val="18"/>
              </w:rPr>
            </w:pPr>
            <w:r>
              <w:rPr>
                <w:sz w:val="18"/>
              </w:rPr>
              <w:t>912μl/</w:t>
            </w:r>
            <w:r>
              <w:rPr>
                <w:rFonts w:ascii="宋体" w:hAnsi="宋体" w:eastAsia="宋体" w:hint="eastAsia"/>
                <w:sz w:val="18"/>
              </w:rPr>
              <w:t>管</w:t>
            </w:r>
            <w:r>
              <w:rPr>
                <w:sz w:val="18"/>
              </w:rPr>
              <w:t>×1</w:t>
            </w:r>
            <w:r>
              <w:rPr>
                <w:rFonts w:ascii="宋体" w:hAnsi="宋体" w:eastAsia="宋体" w:hint="eastAsia"/>
                <w:sz w:val="18"/>
              </w:rPr>
              <w:t>管</w:t>
            </w:r>
          </w:p>
        </w:tc>
        <w:tc>
          <w:tcPr>
            <w:tcW w:w="4222" w:type="dxa"/>
            <w:tcBorders>
              <w:top w:val="single" w:sz="6" w:space="0" w:color="000000"/>
              <w:bottom w:val="single" w:sz="6" w:space="0" w:color="000000"/>
              <w:right w:val="single" w:sz="6" w:space="0" w:color="000000"/>
            </w:tcBorders>
          </w:tcPr>
          <w:p>
            <w:pPr>
              <w:pStyle w:val="TableParagraph"/>
              <w:spacing w:line="187" w:lineRule="auto"/>
              <w:ind w:left="29"/>
              <w:jc w:val="center"/>
              <w:rPr>
                <w:rFonts w:ascii="宋体" w:eastAsia="宋体" w:hint="eastAsia"/>
                <w:sz w:val="18"/>
              </w:rPr>
            </w:pPr>
            <w:r>
              <w:rPr>
                <w:rFonts w:ascii="宋体" w:eastAsia="宋体" w:hint="eastAsia"/>
                <w:spacing w:val="-5"/>
                <w:sz w:val="18"/>
              </w:rPr>
              <w:t>引物</w:t>
            </w:r>
            <w:r>
              <w:rPr>
                <w:rFonts w:ascii="宋体" w:eastAsia="宋体" w:hint="eastAsia"/>
                <w:spacing w:val="-4"/>
                <w:sz w:val="18"/>
              </w:rPr>
              <w:t>（</w:t>
            </w:r>
            <w:r>
              <w:rPr>
                <w:spacing w:val="-4"/>
                <w:sz w:val="18"/>
              </w:rPr>
              <w:t>1.63%</w:t>
            </w:r>
            <w:r>
              <w:rPr>
                <w:rFonts w:ascii="宋体" w:eastAsia="宋体" w:hint="eastAsia"/>
                <w:spacing w:val="-4"/>
                <w:sz w:val="18"/>
              </w:rPr>
              <w:t>）</w:t>
            </w:r>
            <w:r>
              <w:rPr>
                <w:rFonts w:ascii="宋体" w:eastAsia="宋体" w:hint="eastAsia"/>
                <w:spacing w:val="-6"/>
                <w:sz w:val="18"/>
              </w:rPr>
              <w:t>、探针</w:t>
            </w:r>
            <w:r>
              <w:rPr>
                <w:spacing w:val="-3"/>
                <w:sz w:val="18"/>
              </w:rPr>
              <w:t>(0.81%)</w:t>
            </w:r>
            <w:r>
              <w:rPr>
                <w:rFonts w:ascii="宋体" w:eastAsia="宋体" w:hint="eastAsia"/>
                <w:spacing w:val="-5"/>
                <w:sz w:val="18"/>
              </w:rPr>
              <w:t>、</w:t>
            </w:r>
            <w:r>
              <w:rPr>
                <w:spacing w:val="-4"/>
                <w:sz w:val="18"/>
              </w:rPr>
              <w:t>dNTPs</w:t>
            </w:r>
            <w:r>
              <w:rPr>
                <w:rFonts w:ascii="宋体" w:eastAsia="宋体" w:hint="eastAsia"/>
                <w:spacing w:val="-4"/>
                <w:sz w:val="18"/>
              </w:rPr>
              <w:t>（</w:t>
            </w:r>
            <w:r>
              <w:rPr>
                <w:spacing w:val="-4"/>
                <w:sz w:val="18"/>
              </w:rPr>
              <w:t>2%</w:t>
            </w:r>
            <w:r>
              <w:rPr>
                <w:rFonts w:ascii="宋体" w:eastAsia="宋体" w:hint="eastAsia"/>
                <w:spacing w:val="-4"/>
                <w:sz w:val="18"/>
              </w:rPr>
              <w:t>）</w:t>
            </w:r>
            <w:r>
              <w:rPr>
                <w:rFonts w:ascii="宋体" w:eastAsia="宋体" w:hint="eastAsia"/>
                <w:spacing w:val="-8"/>
                <w:sz w:val="18"/>
              </w:rPr>
              <w:t>、</w:t>
            </w:r>
            <w:r>
              <w:rPr>
                <w:sz w:val="18"/>
              </w:rPr>
              <w:t>PCR </w:t>
            </w:r>
            <w:r>
              <w:rPr>
                <w:spacing w:val="-4"/>
                <w:sz w:val="18"/>
              </w:rPr>
              <w:t>buffer</w:t>
            </w:r>
            <w:r>
              <w:rPr>
                <w:rFonts w:ascii="宋体" w:eastAsia="宋体" w:hint="eastAsia"/>
                <w:spacing w:val="-4"/>
                <w:sz w:val="18"/>
              </w:rPr>
              <w:t>（</w:t>
            </w:r>
            <w:r>
              <w:rPr>
                <w:spacing w:val="-4"/>
                <w:sz w:val="18"/>
              </w:rPr>
              <w:t>45%</w:t>
            </w:r>
            <w:r>
              <w:rPr>
                <w:rFonts w:ascii="宋体" w:eastAsia="宋体" w:hint="eastAsia"/>
                <w:spacing w:val="-4"/>
                <w:sz w:val="18"/>
              </w:rPr>
              <w:t>）</w:t>
            </w:r>
            <w:r>
              <w:rPr>
                <w:rFonts w:ascii="宋体" w:eastAsia="宋体" w:hint="eastAsia"/>
                <w:spacing w:val="-5"/>
                <w:sz w:val="18"/>
              </w:rPr>
              <w:t>、灭菌纯化水</w:t>
            </w:r>
            <w:r>
              <w:rPr>
                <w:rFonts w:ascii="宋体" w:eastAsia="宋体" w:hint="eastAsia"/>
                <w:spacing w:val="-3"/>
                <w:sz w:val="18"/>
              </w:rPr>
              <w:t>（</w:t>
            </w:r>
            <w:r>
              <w:rPr>
                <w:spacing w:val="-3"/>
                <w:sz w:val="18"/>
              </w:rPr>
              <w:t>45.49%</w:t>
            </w:r>
            <w:r>
              <w:rPr>
                <w:rFonts w:ascii="宋体" w:eastAsia="宋体" w:hint="eastAsia"/>
                <w:spacing w:val="-3"/>
                <w:sz w:val="18"/>
              </w:rPr>
              <w:t>）</w:t>
            </w:r>
            <w:r>
              <w:rPr>
                <w:rFonts w:ascii="宋体" w:eastAsia="宋体" w:hint="eastAsia"/>
                <w:spacing w:val="-5"/>
                <w:sz w:val="18"/>
              </w:rPr>
              <w:t>、</w:t>
            </w:r>
            <w:r>
              <w:rPr>
                <w:spacing w:val="-3"/>
                <w:sz w:val="18"/>
              </w:rPr>
              <w:t>ROX</w:t>
            </w:r>
            <w:r>
              <w:rPr>
                <w:rFonts w:ascii="宋体" w:eastAsia="宋体" w:hint="eastAsia"/>
                <w:spacing w:val="-3"/>
                <w:sz w:val="18"/>
              </w:rPr>
              <w:t>溶液</w:t>
            </w:r>
          </w:p>
          <w:p>
            <w:pPr>
              <w:pStyle w:val="TableParagraph"/>
              <w:spacing w:line="169" w:lineRule="exact"/>
              <w:ind w:left="14"/>
              <w:jc w:val="center"/>
              <w:rPr>
                <w:rFonts w:ascii="宋体" w:eastAsia="宋体" w:hint="eastAsia"/>
                <w:sz w:val="18"/>
              </w:rPr>
            </w:pPr>
            <w:r>
              <w:rPr>
                <w:rFonts w:ascii="宋体" w:eastAsia="宋体" w:hint="eastAsia"/>
                <w:sz w:val="18"/>
              </w:rPr>
              <w:t>（</w:t>
            </w:r>
            <w:r>
              <w:rPr>
                <w:sz w:val="18"/>
              </w:rPr>
              <w:t>0.07%</w:t>
            </w:r>
            <w:r>
              <w:rPr>
                <w:rFonts w:ascii="宋体" w:eastAsia="宋体" w:hint="eastAsia"/>
                <w:sz w:val="18"/>
              </w:rPr>
              <w:t>）、酶（</w:t>
            </w:r>
            <w:r>
              <w:rPr>
                <w:sz w:val="18"/>
              </w:rPr>
              <w:t>5%</w:t>
            </w:r>
            <w:r>
              <w:rPr>
                <w:rFonts w:ascii="宋体" w:eastAsia="宋体" w:hint="eastAsia"/>
                <w:sz w:val="18"/>
              </w:rPr>
              <w:t>）</w:t>
            </w:r>
          </w:p>
        </w:tc>
      </w:tr>
      <w:tr>
        <w:trPr>
          <w:trHeight w:val="180" w:hRule="atLeast"/>
        </w:trPr>
        <w:tc>
          <w:tcPr>
            <w:tcW w:w="1069" w:type="dxa"/>
            <w:vMerge/>
            <w:tcBorders>
              <w:top w:val="nil"/>
              <w:right w:val="single" w:sz="6" w:space="0" w:color="000000"/>
            </w:tcBorders>
            <w:textDirection w:val="tbRl"/>
          </w:tcPr>
          <w:p>
            <w:pPr>
              <w:rPr>
                <w:sz w:val="2"/>
                <w:szCs w:val="2"/>
              </w:rPr>
            </w:pPr>
          </w:p>
        </w:tc>
        <w:tc>
          <w:tcPr>
            <w:tcW w:w="630" w:type="dxa"/>
            <w:tcBorders>
              <w:top w:val="single" w:sz="6" w:space="0" w:color="000000"/>
              <w:left w:val="single" w:sz="6" w:space="0" w:color="000000"/>
              <w:bottom w:val="single" w:sz="6" w:space="0" w:color="000000"/>
              <w:right w:val="single" w:sz="6" w:space="0" w:color="000000"/>
            </w:tcBorders>
          </w:tcPr>
          <w:p>
            <w:pPr>
              <w:pStyle w:val="TableParagraph"/>
              <w:ind w:left="13"/>
              <w:jc w:val="center"/>
              <w:rPr>
                <w:sz w:val="18"/>
              </w:rPr>
            </w:pPr>
            <w:r>
              <w:rPr>
                <w:sz w:val="18"/>
              </w:rPr>
              <w:t>4</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ind w:left="0" w:right="189"/>
              <w:jc w:val="right"/>
              <w:rPr>
                <w:rFonts w:ascii="宋体" w:eastAsia="宋体" w:hint="eastAsia"/>
                <w:sz w:val="18"/>
              </w:rPr>
            </w:pPr>
            <w:r>
              <w:rPr>
                <w:rFonts w:ascii="宋体" w:eastAsia="宋体" w:hint="eastAsia"/>
                <w:sz w:val="18"/>
              </w:rPr>
              <w:t>乙型肝炎病毒</w:t>
            </w:r>
            <w:r>
              <w:rPr>
                <w:sz w:val="18"/>
              </w:rPr>
              <w:t>YMDD-</w:t>
            </w:r>
            <w:r>
              <w:rPr>
                <w:rFonts w:ascii="宋体" w:eastAsia="宋体" w:hint="eastAsia"/>
                <w:sz w:val="18"/>
              </w:rPr>
              <w:t>酶混合液</w:t>
            </w:r>
          </w:p>
        </w:tc>
        <w:tc>
          <w:tcPr>
            <w:tcW w:w="1345" w:type="dxa"/>
            <w:tcBorders>
              <w:top w:val="single" w:sz="6" w:space="0" w:color="000000"/>
              <w:left w:val="single" w:sz="6" w:space="0" w:color="000000"/>
              <w:bottom w:val="single" w:sz="6" w:space="0" w:color="000000"/>
            </w:tcBorders>
          </w:tcPr>
          <w:p>
            <w:pPr>
              <w:pStyle w:val="TableParagraph"/>
              <w:ind w:left="0" w:right="202"/>
              <w:jc w:val="right"/>
              <w:rPr>
                <w:rFonts w:ascii="宋体" w:hAnsi="宋体" w:eastAsia="宋体" w:hint="eastAsia"/>
                <w:sz w:val="18"/>
              </w:rPr>
            </w:pPr>
            <w:r>
              <w:rPr>
                <w:sz w:val="18"/>
              </w:rPr>
              <w:t>96μl/</w:t>
            </w:r>
            <w:r>
              <w:rPr>
                <w:rFonts w:ascii="宋体" w:hAnsi="宋体" w:eastAsia="宋体" w:hint="eastAsia"/>
                <w:sz w:val="18"/>
              </w:rPr>
              <w:t>管</w:t>
            </w:r>
            <w:r>
              <w:rPr>
                <w:sz w:val="18"/>
              </w:rPr>
              <w:t>×1</w:t>
            </w:r>
            <w:r>
              <w:rPr>
                <w:rFonts w:ascii="宋体" w:hAnsi="宋体" w:eastAsia="宋体" w:hint="eastAsia"/>
                <w:sz w:val="18"/>
              </w:rPr>
              <w:t>管</w:t>
            </w:r>
          </w:p>
        </w:tc>
        <w:tc>
          <w:tcPr>
            <w:tcW w:w="4222" w:type="dxa"/>
            <w:tcBorders>
              <w:top w:val="single" w:sz="6" w:space="0" w:color="000000"/>
              <w:bottom w:val="single" w:sz="6" w:space="0" w:color="000000"/>
              <w:right w:val="single" w:sz="6" w:space="0" w:color="000000"/>
            </w:tcBorders>
          </w:tcPr>
          <w:p>
            <w:pPr>
              <w:pStyle w:val="TableParagraph"/>
              <w:ind w:left="24"/>
              <w:jc w:val="center"/>
              <w:rPr>
                <w:sz w:val="18"/>
              </w:rPr>
            </w:pPr>
            <w:r>
              <w:rPr>
                <w:sz w:val="18"/>
              </w:rPr>
              <w:t>Taq</w:t>
            </w:r>
            <w:r>
              <w:rPr>
                <w:rFonts w:ascii="宋体" w:eastAsia="宋体" w:hint="eastAsia"/>
                <w:sz w:val="18"/>
              </w:rPr>
              <w:t>酶</w:t>
            </w:r>
            <w:r>
              <w:rPr>
                <w:sz w:val="18"/>
              </w:rPr>
              <w:t>(97.83%)</w:t>
            </w:r>
            <w:r>
              <w:rPr>
                <w:rFonts w:ascii="宋体" w:eastAsia="宋体" w:hint="eastAsia"/>
                <w:sz w:val="18"/>
              </w:rPr>
              <w:t>、</w:t>
            </w:r>
            <w:r>
              <w:rPr>
                <w:sz w:val="18"/>
              </w:rPr>
              <w:t>UNG</w:t>
            </w:r>
            <w:r>
              <w:rPr>
                <w:rFonts w:ascii="宋体" w:eastAsia="宋体" w:hint="eastAsia"/>
                <w:sz w:val="18"/>
              </w:rPr>
              <w:t>酶</w:t>
            </w:r>
            <w:r>
              <w:rPr>
                <w:sz w:val="18"/>
              </w:rPr>
              <w:t>(2.17%)</w:t>
            </w:r>
          </w:p>
        </w:tc>
      </w:tr>
      <w:tr>
        <w:trPr>
          <w:trHeight w:val="180" w:hRule="atLeast"/>
        </w:trPr>
        <w:tc>
          <w:tcPr>
            <w:tcW w:w="1069" w:type="dxa"/>
            <w:vMerge/>
            <w:tcBorders>
              <w:top w:val="nil"/>
              <w:right w:val="single" w:sz="6" w:space="0" w:color="000000"/>
            </w:tcBorders>
            <w:textDirection w:val="tbRl"/>
          </w:tcPr>
          <w:p>
            <w:pPr>
              <w:rPr>
                <w:sz w:val="2"/>
                <w:szCs w:val="2"/>
              </w:rPr>
            </w:pPr>
          </w:p>
        </w:tc>
        <w:tc>
          <w:tcPr>
            <w:tcW w:w="630" w:type="dxa"/>
            <w:tcBorders>
              <w:top w:val="single" w:sz="6" w:space="0" w:color="000000"/>
              <w:left w:val="single" w:sz="6" w:space="0" w:color="000000"/>
              <w:bottom w:val="single" w:sz="6" w:space="0" w:color="000000"/>
              <w:right w:val="single" w:sz="6" w:space="0" w:color="000000"/>
            </w:tcBorders>
          </w:tcPr>
          <w:p>
            <w:pPr>
              <w:pStyle w:val="TableParagraph"/>
              <w:ind w:left="13"/>
              <w:jc w:val="center"/>
              <w:rPr>
                <w:sz w:val="18"/>
              </w:rPr>
            </w:pPr>
            <w:r>
              <w:rPr>
                <w:sz w:val="18"/>
              </w:rPr>
              <w:t>5</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ind w:left="0" w:right="189"/>
              <w:jc w:val="right"/>
              <w:rPr>
                <w:rFonts w:ascii="宋体" w:eastAsia="宋体" w:hint="eastAsia"/>
                <w:sz w:val="18"/>
              </w:rPr>
            </w:pPr>
            <w:r>
              <w:rPr>
                <w:rFonts w:ascii="宋体" w:eastAsia="宋体" w:hint="eastAsia"/>
                <w:sz w:val="18"/>
              </w:rPr>
              <w:t>乙型肝炎病毒</w:t>
            </w:r>
            <w:r>
              <w:rPr>
                <w:sz w:val="18"/>
              </w:rPr>
              <w:t>YMDD-</w:t>
            </w:r>
            <w:r>
              <w:rPr>
                <w:rFonts w:ascii="宋体" w:eastAsia="宋体" w:hint="eastAsia"/>
                <w:sz w:val="18"/>
              </w:rPr>
              <w:t>阴性对照</w:t>
            </w:r>
          </w:p>
        </w:tc>
        <w:tc>
          <w:tcPr>
            <w:tcW w:w="1345" w:type="dxa"/>
            <w:tcBorders>
              <w:top w:val="single" w:sz="6" w:space="0" w:color="000000"/>
              <w:left w:val="single" w:sz="6" w:space="0" w:color="000000"/>
              <w:bottom w:val="single" w:sz="6" w:space="0" w:color="000000"/>
            </w:tcBorders>
          </w:tcPr>
          <w:p>
            <w:pPr>
              <w:pStyle w:val="TableParagraph"/>
              <w:ind w:left="0" w:right="159"/>
              <w:jc w:val="right"/>
              <w:rPr>
                <w:rFonts w:ascii="宋体" w:hAnsi="宋体" w:eastAsia="宋体" w:hint="eastAsia"/>
                <w:sz w:val="18"/>
              </w:rPr>
            </w:pPr>
            <w:r>
              <w:rPr>
                <w:sz w:val="18"/>
              </w:rPr>
              <w:t>500μl/</w:t>
            </w:r>
            <w:r>
              <w:rPr>
                <w:rFonts w:ascii="宋体" w:hAnsi="宋体" w:eastAsia="宋体" w:hint="eastAsia"/>
                <w:sz w:val="18"/>
              </w:rPr>
              <w:t>管</w:t>
            </w:r>
            <w:r>
              <w:rPr>
                <w:sz w:val="18"/>
              </w:rPr>
              <w:t>×1</w:t>
            </w:r>
            <w:r>
              <w:rPr>
                <w:rFonts w:ascii="宋体" w:hAnsi="宋体" w:eastAsia="宋体" w:hint="eastAsia"/>
                <w:sz w:val="18"/>
              </w:rPr>
              <w:t>管</w:t>
            </w:r>
          </w:p>
        </w:tc>
        <w:tc>
          <w:tcPr>
            <w:tcW w:w="4222" w:type="dxa"/>
            <w:tcBorders>
              <w:top w:val="single" w:sz="6" w:space="0" w:color="000000"/>
              <w:bottom w:val="single" w:sz="6" w:space="0" w:color="000000"/>
              <w:right w:val="single" w:sz="6" w:space="0" w:color="000000"/>
            </w:tcBorders>
          </w:tcPr>
          <w:p>
            <w:pPr>
              <w:pStyle w:val="TableParagraph"/>
              <w:ind w:left="19"/>
              <w:jc w:val="center"/>
              <w:rPr>
                <w:rFonts w:ascii="宋体" w:eastAsia="宋体" w:hint="eastAsia"/>
                <w:sz w:val="18"/>
              </w:rPr>
            </w:pPr>
            <w:r>
              <w:rPr>
                <w:rFonts w:ascii="宋体" w:eastAsia="宋体" w:hint="eastAsia"/>
                <w:sz w:val="18"/>
              </w:rPr>
              <w:t>灭活的乙型肝炎病毒</w:t>
            </w:r>
            <w:r>
              <w:rPr>
                <w:sz w:val="18"/>
              </w:rPr>
              <w:t>YMDD</w:t>
            </w:r>
            <w:r>
              <w:rPr>
                <w:rFonts w:ascii="宋体" w:eastAsia="宋体" w:hint="eastAsia"/>
                <w:sz w:val="18"/>
              </w:rPr>
              <w:t>阴性血清（</w:t>
            </w:r>
            <w:r>
              <w:rPr>
                <w:sz w:val="18"/>
              </w:rPr>
              <w:t>0.0 IU/ml</w:t>
            </w:r>
            <w:r>
              <w:rPr>
                <w:rFonts w:ascii="宋体" w:eastAsia="宋体" w:hint="eastAsia"/>
                <w:sz w:val="18"/>
              </w:rPr>
              <w:t>）</w:t>
            </w:r>
          </w:p>
        </w:tc>
      </w:tr>
      <w:tr>
        <w:trPr>
          <w:trHeight w:val="180" w:hRule="atLeast"/>
        </w:trPr>
        <w:tc>
          <w:tcPr>
            <w:tcW w:w="1069" w:type="dxa"/>
            <w:vMerge/>
            <w:tcBorders>
              <w:top w:val="nil"/>
              <w:right w:val="single" w:sz="6" w:space="0" w:color="000000"/>
            </w:tcBorders>
            <w:textDirection w:val="tbRl"/>
          </w:tcPr>
          <w:p>
            <w:pPr>
              <w:rPr>
                <w:sz w:val="2"/>
                <w:szCs w:val="2"/>
              </w:rPr>
            </w:pPr>
          </w:p>
        </w:tc>
        <w:tc>
          <w:tcPr>
            <w:tcW w:w="630" w:type="dxa"/>
            <w:tcBorders>
              <w:top w:val="single" w:sz="6" w:space="0" w:color="000000"/>
              <w:left w:val="single" w:sz="6" w:space="0" w:color="000000"/>
              <w:bottom w:val="single" w:sz="6" w:space="0" w:color="000000"/>
              <w:right w:val="single" w:sz="6" w:space="0" w:color="000000"/>
            </w:tcBorders>
          </w:tcPr>
          <w:p>
            <w:pPr>
              <w:pStyle w:val="TableParagraph"/>
              <w:ind w:left="13"/>
              <w:jc w:val="center"/>
              <w:rPr>
                <w:sz w:val="18"/>
              </w:rPr>
            </w:pPr>
            <w:r>
              <w:rPr>
                <w:sz w:val="18"/>
              </w:rPr>
              <w:t>6</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ind w:left="0" w:right="203"/>
              <w:jc w:val="right"/>
              <w:rPr>
                <w:rFonts w:ascii="宋体" w:eastAsia="宋体" w:hint="eastAsia"/>
                <w:sz w:val="18"/>
              </w:rPr>
            </w:pPr>
            <w:r>
              <w:rPr>
                <w:rFonts w:ascii="宋体" w:eastAsia="宋体" w:hint="eastAsia"/>
                <w:sz w:val="18"/>
              </w:rPr>
              <w:t>乙型肝炎病毒</w:t>
            </w:r>
            <w:r>
              <w:rPr>
                <w:sz w:val="18"/>
              </w:rPr>
              <w:t>YVDD-</w:t>
            </w:r>
            <w:r>
              <w:rPr>
                <w:rFonts w:ascii="宋体" w:eastAsia="宋体" w:hint="eastAsia"/>
                <w:sz w:val="18"/>
              </w:rPr>
              <w:t>阳性对照</w:t>
            </w:r>
          </w:p>
        </w:tc>
        <w:tc>
          <w:tcPr>
            <w:tcW w:w="1345" w:type="dxa"/>
            <w:tcBorders>
              <w:top w:val="single" w:sz="6" w:space="0" w:color="000000"/>
              <w:left w:val="single" w:sz="6" w:space="0" w:color="000000"/>
              <w:bottom w:val="single" w:sz="6" w:space="0" w:color="000000"/>
            </w:tcBorders>
          </w:tcPr>
          <w:p>
            <w:pPr>
              <w:pStyle w:val="TableParagraph"/>
              <w:ind w:left="0" w:right="183"/>
              <w:jc w:val="right"/>
              <w:rPr>
                <w:rFonts w:ascii="宋体" w:hAnsi="宋体" w:eastAsia="宋体" w:hint="eastAsia"/>
                <w:sz w:val="18"/>
              </w:rPr>
            </w:pPr>
            <w:r>
              <w:rPr>
                <w:sz w:val="18"/>
              </w:rPr>
              <w:t>500μl</w:t>
            </w:r>
            <w:r>
              <w:rPr>
                <w:rFonts w:ascii="宋体" w:hAnsi="宋体" w:eastAsia="宋体" w:hint="eastAsia"/>
                <w:sz w:val="18"/>
              </w:rPr>
              <w:t>管</w:t>
            </w:r>
            <w:r>
              <w:rPr>
                <w:sz w:val="18"/>
              </w:rPr>
              <w:t>×1</w:t>
            </w:r>
            <w:r>
              <w:rPr>
                <w:rFonts w:ascii="宋体" w:hAnsi="宋体" w:eastAsia="宋体" w:hint="eastAsia"/>
                <w:sz w:val="18"/>
              </w:rPr>
              <w:t>管</w:t>
            </w:r>
          </w:p>
        </w:tc>
        <w:tc>
          <w:tcPr>
            <w:tcW w:w="4222" w:type="dxa"/>
            <w:tcBorders>
              <w:top w:val="single" w:sz="6" w:space="0" w:color="000000"/>
              <w:bottom w:val="single" w:sz="6" w:space="0" w:color="000000"/>
              <w:right w:val="single" w:sz="6" w:space="0" w:color="000000"/>
            </w:tcBorders>
          </w:tcPr>
          <w:p>
            <w:pPr>
              <w:pStyle w:val="TableParagraph"/>
              <w:ind w:left="19"/>
              <w:jc w:val="center"/>
              <w:rPr>
                <w:rFonts w:ascii="宋体" w:hAnsi="宋体" w:eastAsia="宋体" w:hint="eastAsia"/>
                <w:sz w:val="18"/>
              </w:rPr>
            </w:pPr>
            <w:r>
              <w:rPr>
                <w:rFonts w:ascii="宋体" w:hAnsi="宋体" w:eastAsia="宋体" w:hint="eastAsia"/>
                <w:sz w:val="18"/>
              </w:rPr>
              <w:t>阳性</w:t>
            </w:r>
            <w:r>
              <w:rPr>
                <w:sz w:val="18"/>
              </w:rPr>
              <w:t>YIDD</w:t>
            </w:r>
            <w:r>
              <w:rPr>
                <w:rFonts w:ascii="宋体" w:hAnsi="宋体" w:eastAsia="宋体" w:hint="eastAsia"/>
                <w:sz w:val="18"/>
              </w:rPr>
              <w:t>质粒（</w:t>
            </w:r>
            <w:r>
              <w:rPr>
                <w:sz w:val="18"/>
              </w:rPr>
              <w:t>4.0</w:t>
            </w:r>
            <w:r>
              <w:rPr>
                <w:rFonts w:ascii="宋体" w:hAnsi="宋体" w:eastAsia="宋体" w:hint="eastAsia"/>
                <w:sz w:val="18"/>
              </w:rPr>
              <w:t>×</w:t>
            </w:r>
            <w:r>
              <w:rPr>
                <w:sz w:val="18"/>
              </w:rPr>
              <w:t>10</w:t>
            </w:r>
            <w:r>
              <w:rPr>
                <w:position w:val="6"/>
                <w:sz w:val="11"/>
              </w:rPr>
              <w:t>5</w:t>
            </w:r>
            <w:r>
              <w:rPr>
                <w:sz w:val="18"/>
              </w:rPr>
              <w:t>IU/ml</w:t>
            </w:r>
            <w:r>
              <w:rPr>
                <w:rFonts w:ascii="宋体" w:hAnsi="宋体" w:eastAsia="宋体" w:hint="eastAsia"/>
                <w:sz w:val="18"/>
              </w:rPr>
              <w:t>）</w:t>
            </w:r>
          </w:p>
        </w:tc>
      </w:tr>
      <w:tr>
        <w:trPr>
          <w:trHeight w:val="180" w:hRule="atLeast"/>
        </w:trPr>
        <w:tc>
          <w:tcPr>
            <w:tcW w:w="1069" w:type="dxa"/>
            <w:vMerge/>
            <w:tcBorders>
              <w:top w:val="nil"/>
              <w:right w:val="single" w:sz="6" w:space="0" w:color="000000"/>
            </w:tcBorders>
            <w:textDirection w:val="tbRl"/>
          </w:tcPr>
          <w:p>
            <w:pPr>
              <w:rPr>
                <w:sz w:val="2"/>
                <w:szCs w:val="2"/>
              </w:rPr>
            </w:pPr>
          </w:p>
        </w:tc>
        <w:tc>
          <w:tcPr>
            <w:tcW w:w="630" w:type="dxa"/>
            <w:tcBorders>
              <w:top w:val="single" w:sz="6" w:space="0" w:color="000000"/>
              <w:left w:val="single" w:sz="6" w:space="0" w:color="000000"/>
              <w:bottom w:val="single" w:sz="6" w:space="0" w:color="000000"/>
              <w:right w:val="single" w:sz="6" w:space="0" w:color="000000"/>
            </w:tcBorders>
          </w:tcPr>
          <w:p>
            <w:pPr>
              <w:pStyle w:val="TableParagraph"/>
              <w:ind w:left="13"/>
              <w:jc w:val="center"/>
              <w:rPr>
                <w:sz w:val="18"/>
              </w:rPr>
            </w:pPr>
            <w:r>
              <w:rPr>
                <w:sz w:val="18"/>
              </w:rPr>
              <w:t>7</w:t>
            </w:r>
          </w:p>
        </w:tc>
        <w:tc>
          <w:tcPr>
            <w:tcW w:w="2776" w:type="dxa"/>
            <w:tcBorders>
              <w:top w:val="single" w:sz="6" w:space="0" w:color="000000"/>
              <w:left w:val="single" w:sz="6" w:space="0" w:color="000000"/>
              <w:bottom w:val="single" w:sz="6" w:space="0" w:color="000000"/>
              <w:right w:val="single" w:sz="6" w:space="0" w:color="000000"/>
            </w:tcBorders>
          </w:tcPr>
          <w:p>
            <w:pPr>
              <w:pStyle w:val="TableParagraph"/>
              <w:ind w:left="258"/>
              <w:rPr>
                <w:rFonts w:ascii="宋体" w:eastAsia="宋体" w:hint="eastAsia"/>
                <w:sz w:val="18"/>
              </w:rPr>
            </w:pPr>
            <w:r>
              <w:rPr>
                <w:rFonts w:ascii="宋体" w:eastAsia="宋体" w:hint="eastAsia"/>
                <w:sz w:val="18"/>
              </w:rPr>
              <w:t>乙型肝炎病毒</w:t>
            </w:r>
            <w:r>
              <w:rPr>
                <w:sz w:val="18"/>
              </w:rPr>
              <w:t>YIDD-</w:t>
            </w:r>
            <w:r>
              <w:rPr>
                <w:rFonts w:ascii="宋体" w:eastAsia="宋体" w:hint="eastAsia"/>
                <w:sz w:val="18"/>
              </w:rPr>
              <w:t>阳性对照</w:t>
            </w:r>
          </w:p>
        </w:tc>
        <w:tc>
          <w:tcPr>
            <w:tcW w:w="1345" w:type="dxa"/>
            <w:tcBorders>
              <w:top w:val="single" w:sz="6" w:space="0" w:color="000000"/>
              <w:left w:val="single" w:sz="6" w:space="0" w:color="000000"/>
              <w:bottom w:val="single" w:sz="6" w:space="0" w:color="000000"/>
            </w:tcBorders>
          </w:tcPr>
          <w:p>
            <w:pPr>
              <w:pStyle w:val="TableParagraph"/>
              <w:ind w:left="0" w:right="183"/>
              <w:jc w:val="right"/>
              <w:rPr>
                <w:rFonts w:ascii="宋体" w:hAnsi="宋体" w:eastAsia="宋体" w:hint="eastAsia"/>
                <w:sz w:val="18"/>
              </w:rPr>
            </w:pPr>
            <w:r>
              <w:rPr>
                <w:sz w:val="18"/>
              </w:rPr>
              <w:t>500μl</w:t>
            </w:r>
            <w:r>
              <w:rPr>
                <w:rFonts w:ascii="宋体" w:hAnsi="宋体" w:eastAsia="宋体" w:hint="eastAsia"/>
                <w:sz w:val="18"/>
              </w:rPr>
              <w:t>管</w:t>
            </w:r>
            <w:r>
              <w:rPr>
                <w:sz w:val="18"/>
              </w:rPr>
              <w:t>×1</w:t>
            </w:r>
            <w:r>
              <w:rPr>
                <w:rFonts w:ascii="宋体" w:hAnsi="宋体" w:eastAsia="宋体" w:hint="eastAsia"/>
                <w:sz w:val="18"/>
              </w:rPr>
              <w:t>管</w:t>
            </w:r>
          </w:p>
        </w:tc>
        <w:tc>
          <w:tcPr>
            <w:tcW w:w="4222" w:type="dxa"/>
            <w:tcBorders>
              <w:top w:val="single" w:sz="6" w:space="0" w:color="000000"/>
              <w:bottom w:val="single" w:sz="6" w:space="0" w:color="000000"/>
              <w:right w:val="single" w:sz="6" w:space="0" w:color="000000"/>
            </w:tcBorders>
          </w:tcPr>
          <w:p>
            <w:pPr>
              <w:pStyle w:val="TableParagraph"/>
              <w:ind w:left="19"/>
              <w:jc w:val="center"/>
              <w:rPr>
                <w:rFonts w:ascii="宋体" w:hAnsi="宋体" w:eastAsia="宋体" w:hint="eastAsia"/>
                <w:sz w:val="18"/>
              </w:rPr>
            </w:pPr>
            <w:r>
              <w:rPr>
                <w:rFonts w:ascii="宋体" w:hAnsi="宋体" w:eastAsia="宋体" w:hint="eastAsia"/>
                <w:sz w:val="18"/>
              </w:rPr>
              <w:t>阳性</w:t>
            </w:r>
            <w:r>
              <w:rPr>
                <w:sz w:val="18"/>
              </w:rPr>
              <w:t>YVDD</w:t>
            </w:r>
            <w:r>
              <w:rPr>
                <w:rFonts w:ascii="宋体" w:hAnsi="宋体" w:eastAsia="宋体" w:hint="eastAsia"/>
                <w:sz w:val="18"/>
              </w:rPr>
              <w:t>质粒（</w:t>
            </w:r>
            <w:r>
              <w:rPr>
                <w:sz w:val="18"/>
              </w:rPr>
              <w:t>4.0</w:t>
            </w:r>
            <w:r>
              <w:rPr>
                <w:rFonts w:ascii="宋体" w:hAnsi="宋体" w:eastAsia="宋体" w:hint="eastAsia"/>
                <w:sz w:val="18"/>
              </w:rPr>
              <w:t>×</w:t>
            </w:r>
            <w:r>
              <w:rPr>
                <w:sz w:val="18"/>
              </w:rPr>
              <w:t>10</w:t>
            </w:r>
            <w:r>
              <w:rPr>
                <w:position w:val="6"/>
                <w:sz w:val="11"/>
              </w:rPr>
              <w:t>5</w:t>
            </w:r>
            <w:r>
              <w:rPr>
                <w:sz w:val="18"/>
              </w:rPr>
              <w:t>IU/ml</w:t>
            </w:r>
            <w:r>
              <w:rPr>
                <w:rFonts w:ascii="宋体" w:hAnsi="宋体" w:eastAsia="宋体" w:hint="eastAsia"/>
                <w:sz w:val="18"/>
              </w:rPr>
              <w:t>）</w:t>
            </w:r>
          </w:p>
        </w:tc>
      </w:tr>
      <w:tr>
        <w:trPr>
          <w:trHeight w:val="180" w:hRule="atLeast"/>
        </w:trPr>
        <w:tc>
          <w:tcPr>
            <w:tcW w:w="1069" w:type="dxa"/>
            <w:vMerge/>
            <w:tcBorders>
              <w:top w:val="nil"/>
              <w:right w:val="single" w:sz="6" w:space="0" w:color="000000"/>
            </w:tcBorders>
            <w:textDirection w:val="tbRl"/>
          </w:tcPr>
          <w:p>
            <w:pPr>
              <w:rPr>
                <w:sz w:val="2"/>
                <w:szCs w:val="2"/>
              </w:rPr>
            </w:pPr>
          </w:p>
        </w:tc>
        <w:tc>
          <w:tcPr>
            <w:tcW w:w="630" w:type="dxa"/>
            <w:tcBorders>
              <w:top w:val="single" w:sz="6" w:space="0" w:color="000000"/>
              <w:left w:val="single" w:sz="6" w:space="0" w:color="000000"/>
              <w:right w:val="single" w:sz="6" w:space="0" w:color="000000"/>
            </w:tcBorders>
          </w:tcPr>
          <w:p>
            <w:pPr>
              <w:pStyle w:val="TableParagraph"/>
              <w:ind w:left="13"/>
              <w:jc w:val="center"/>
              <w:rPr>
                <w:sz w:val="18"/>
              </w:rPr>
            </w:pPr>
            <w:r>
              <w:rPr>
                <w:sz w:val="18"/>
              </w:rPr>
              <w:t>8</w:t>
            </w:r>
          </w:p>
        </w:tc>
        <w:tc>
          <w:tcPr>
            <w:tcW w:w="2776" w:type="dxa"/>
            <w:tcBorders>
              <w:top w:val="single" w:sz="6" w:space="0" w:color="000000"/>
              <w:left w:val="single" w:sz="6" w:space="0" w:color="000000"/>
              <w:right w:val="single" w:sz="6" w:space="0" w:color="000000"/>
            </w:tcBorders>
          </w:tcPr>
          <w:p>
            <w:pPr>
              <w:pStyle w:val="TableParagraph"/>
              <w:ind w:left="930"/>
              <w:rPr>
                <w:rFonts w:ascii="宋体" w:eastAsia="宋体" w:hint="eastAsia"/>
                <w:sz w:val="18"/>
              </w:rPr>
            </w:pPr>
            <w:r>
              <w:rPr>
                <w:sz w:val="18"/>
              </w:rPr>
              <w:t>DNA</w:t>
            </w:r>
            <w:r>
              <w:rPr>
                <w:rFonts w:ascii="宋体" w:eastAsia="宋体" w:hint="eastAsia"/>
                <w:sz w:val="18"/>
              </w:rPr>
              <w:t>洗脱液</w:t>
            </w:r>
          </w:p>
        </w:tc>
        <w:tc>
          <w:tcPr>
            <w:tcW w:w="1345" w:type="dxa"/>
            <w:tcBorders>
              <w:top w:val="single" w:sz="6" w:space="0" w:color="000000"/>
              <w:left w:val="single" w:sz="6" w:space="0" w:color="000000"/>
            </w:tcBorders>
          </w:tcPr>
          <w:p>
            <w:pPr>
              <w:pStyle w:val="TableParagraph"/>
              <w:ind w:left="0" w:right="157"/>
              <w:jc w:val="right"/>
              <w:rPr>
                <w:rFonts w:ascii="宋体" w:hAnsi="宋体" w:eastAsia="宋体" w:hint="eastAsia"/>
                <w:sz w:val="18"/>
              </w:rPr>
            </w:pPr>
            <w:r>
              <w:rPr>
                <w:sz w:val="18"/>
              </w:rPr>
              <w:t>960µl/</w:t>
            </w:r>
            <w:r>
              <w:rPr>
                <w:rFonts w:ascii="宋体" w:hAnsi="宋体" w:eastAsia="宋体" w:hint="eastAsia"/>
                <w:sz w:val="18"/>
              </w:rPr>
              <w:t>管</w:t>
            </w:r>
            <w:r>
              <w:rPr>
                <w:sz w:val="18"/>
              </w:rPr>
              <w:t>×1</w:t>
            </w:r>
            <w:r>
              <w:rPr>
                <w:rFonts w:ascii="宋体" w:hAnsi="宋体" w:eastAsia="宋体" w:hint="eastAsia"/>
                <w:sz w:val="18"/>
              </w:rPr>
              <w:t>管</w:t>
            </w:r>
          </w:p>
        </w:tc>
        <w:tc>
          <w:tcPr>
            <w:tcW w:w="4222" w:type="dxa"/>
            <w:tcBorders>
              <w:top w:val="single" w:sz="6" w:space="0" w:color="000000"/>
              <w:right w:val="single" w:sz="6" w:space="0" w:color="000000"/>
            </w:tcBorders>
          </w:tcPr>
          <w:p>
            <w:pPr>
              <w:pStyle w:val="TableParagraph"/>
              <w:ind w:left="26"/>
              <w:jc w:val="center"/>
              <w:rPr>
                <w:sz w:val="18"/>
              </w:rPr>
            </w:pPr>
            <w:r>
              <w:rPr>
                <w:sz w:val="18"/>
              </w:rPr>
              <w:t>Tris(1.0%)</w:t>
            </w:r>
            <w:r>
              <w:rPr>
                <w:rFonts w:ascii="宋体" w:eastAsia="宋体" w:hint="eastAsia"/>
                <w:sz w:val="18"/>
              </w:rPr>
              <w:t>、</w:t>
            </w:r>
            <w:r>
              <w:rPr>
                <w:sz w:val="18"/>
              </w:rPr>
              <w:t>EDTA(0.2%)</w:t>
            </w:r>
          </w:p>
        </w:tc>
      </w:tr>
    </w:tbl>
    <w:p>
      <w:pPr>
        <w:pStyle w:val="BodyText"/>
        <w:spacing w:line="155" w:lineRule="exact"/>
      </w:pPr>
      <w:r>
        <w:rPr>
          <w:b/>
        </w:rPr>
        <w:t>备注：</w:t>
      </w:r>
      <w:r>
        <w:rPr>
          <w:rFonts w:ascii="Times New Roman" w:eastAsia="Times New Roman"/>
        </w:rPr>
        <w:t>1 </w:t>
      </w:r>
      <w:r>
        <w:rPr/>
        <w:t>试剂盒内各组分不同批号间不可混用或互换。</w:t>
      </w:r>
    </w:p>
    <w:p>
      <w:pPr>
        <w:pStyle w:val="ListParagraph"/>
        <w:numPr>
          <w:ilvl w:val="0"/>
          <w:numId w:val="1"/>
        </w:numPr>
        <w:tabs>
          <w:tab w:pos="1079" w:val="left" w:leader="none"/>
        </w:tabs>
        <w:spacing w:line="187" w:lineRule="auto" w:before="14" w:after="0"/>
        <w:ind w:left="387" w:right="202" w:firstLine="516"/>
        <w:jc w:val="left"/>
        <w:rPr>
          <w:sz w:val="18"/>
        </w:rPr>
      </w:pPr>
      <w:r>
        <w:rPr>
          <w:spacing w:val="-7"/>
          <w:sz w:val="18"/>
        </w:rPr>
        <w:t>自备试验器材： </w:t>
      </w:r>
      <w:r>
        <w:rPr>
          <w:rFonts w:ascii="Times New Roman" w:hAnsi="Times New Roman" w:eastAsia="Times New Roman"/>
          <w:sz w:val="18"/>
        </w:rPr>
        <w:t>1.5</w:t>
      </w:r>
      <w:r>
        <w:rPr>
          <w:rFonts w:ascii="Times New Roman" w:hAnsi="Times New Roman" w:eastAsia="Times New Roman"/>
          <w:spacing w:val="-6"/>
          <w:sz w:val="18"/>
        </w:rPr>
        <w:t> </w:t>
      </w:r>
      <w:r>
        <w:rPr>
          <w:rFonts w:ascii="Times New Roman" w:hAnsi="Times New Roman" w:eastAsia="Times New Roman"/>
          <w:sz w:val="18"/>
        </w:rPr>
        <w:t>ml</w:t>
      </w:r>
      <w:r>
        <w:rPr>
          <w:rFonts w:ascii="Times New Roman" w:hAnsi="Times New Roman" w:eastAsia="Times New Roman"/>
          <w:spacing w:val="-4"/>
          <w:sz w:val="18"/>
        </w:rPr>
        <w:t> </w:t>
      </w:r>
      <w:r>
        <w:rPr>
          <w:spacing w:val="-5"/>
          <w:sz w:val="18"/>
        </w:rPr>
        <w:t>离心管、</w:t>
      </w:r>
      <w:r>
        <w:rPr>
          <w:rFonts w:ascii="Times New Roman" w:hAnsi="Times New Roman" w:eastAsia="Times New Roman"/>
          <w:sz w:val="18"/>
        </w:rPr>
        <w:t>0.2</w:t>
      </w:r>
      <w:r>
        <w:rPr>
          <w:rFonts w:ascii="Times New Roman" w:hAnsi="Times New Roman" w:eastAsia="Times New Roman"/>
          <w:spacing w:val="-6"/>
          <w:sz w:val="18"/>
        </w:rPr>
        <w:t> </w:t>
      </w:r>
      <w:r>
        <w:rPr>
          <w:rFonts w:ascii="Times New Roman" w:hAnsi="Times New Roman" w:eastAsia="Times New Roman"/>
          <w:sz w:val="18"/>
        </w:rPr>
        <w:t>ml</w:t>
      </w:r>
      <w:r>
        <w:rPr>
          <w:rFonts w:ascii="Times New Roman" w:hAnsi="Times New Roman" w:eastAsia="Times New Roman"/>
          <w:spacing w:val="-6"/>
          <w:sz w:val="18"/>
        </w:rPr>
        <w:t> </w:t>
      </w:r>
      <w:r>
        <w:rPr>
          <w:rFonts w:ascii="Times New Roman" w:hAnsi="Times New Roman" w:eastAsia="Times New Roman"/>
          <w:sz w:val="18"/>
        </w:rPr>
        <w:t>PCR</w:t>
      </w:r>
      <w:r>
        <w:rPr>
          <w:rFonts w:ascii="Times New Roman" w:hAnsi="Times New Roman" w:eastAsia="Times New Roman"/>
          <w:spacing w:val="-8"/>
          <w:sz w:val="18"/>
        </w:rPr>
        <w:t> </w:t>
      </w:r>
      <w:r>
        <w:rPr>
          <w:spacing w:val="-5"/>
          <w:sz w:val="18"/>
        </w:rPr>
        <w:t>反应管；台式离心机；台式震荡混合器；磁珠分离器、各种规格的加样枪及相</w:t>
      </w:r>
      <w:r>
        <w:rPr>
          <w:spacing w:val="40"/>
          <w:sz w:val="18"/>
        </w:rPr>
        <w:t>应</w:t>
      </w:r>
      <w:r>
        <w:rPr>
          <w:rFonts w:ascii="Times New Roman" w:hAnsi="Times New Roman" w:eastAsia="Times New Roman"/>
          <w:spacing w:val="-3"/>
          <w:sz w:val="18"/>
        </w:rPr>
        <w:t>Tip</w:t>
      </w:r>
      <w:r>
        <w:rPr>
          <w:rFonts w:ascii="Times New Roman" w:hAnsi="Times New Roman" w:eastAsia="Times New Roman"/>
          <w:spacing w:val="-6"/>
          <w:sz w:val="18"/>
        </w:rPr>
        <w:t> </w:t>
      </w:r>
      <w:r>
        <w:rPr>
          <w:spacing w:val="-5"/>
          <w:sz w:val="18"/>
        </w:rPr>
        <w:t>头</w:t>
      </w:r>
      <w:r>
        <w:rPr>
          <w:rFonts w:ascii="Times New Roman" w:hAnsi="Times New Roman" w:eastAsia="Times New Roman"/>
          <w:spacing w:val="-3"/>
          <w:sz w:val="18"/>
        </w:rPr>
        <w:t>(10μl</w:t>
      </w:r>
      <w:r>
        <w:rPr>
          <w:spacing w:val="-3"/>
          <w:sz w:val="18"/>
        </w:rPr>
        <w:t>，</w:t>
      </w:r>
      <w:r>
        <w:rPr>
          <w:rFonts w:ascii="Times New Roman" w:hAnsi="Times New Roman" w:eastAsia="Times New Roman"/>
          <w:spacing w:val="-3"/>
          <w:sz w:val="18"/>
        </w:rPr>
        <w:t>200μl</w:t>
      </w:r>
      <w:r>
        <w:rPr>
          <w:rFonts w:ascii="Times New Roman" w:hAnsi="Times New Roman" w:eastAsia="Times New Roman"/>
          <w:spacing w:val="-5"/>
          <w:sz w:val="18"/>
        </w:rPr>
        <w:t>, </w:t>
      </w:r>
      <w:r>
        <w:rPr>
          <w:rFonts w:ascii="Times New Roman" w:hAnsi="Times New Roman" w:eastAsia="Times New Roman"/>
          <w:spacing w:val="-3"/>
          <w:sz w:val="18"/>
        </w:rPr>
        <w:t>1000μl)</w:t>
      </w:r>
      <w:r>
        <w:rPr>
          <w:sz w:val="18"/>
        </w:rPr>
        <w:t>。</w:t>
      </w:r>
    </w:p>
    <w:p>
      <w:pPr>
        <w:pStyle w:val="ListParagraph"/>
        <w:numPr>
          <w:ilvl w:val="0"/>
          <w:numId w:val="1"/>
        </w:numPr>
        <w:tabs>
          <w:tab w:pos="1079" w:val="left" w:leader="none"/>
        </w:tabs>
        <w:spacing w:line="166" w:lineRule="exact" w:before="0" w:after="0"/>
        <w:ind w:left="1078" w:right="0" w:hanging="176"/>
        <w:jc w:val="left"/>
        <w:rPr>
          <w:sz w:val="18"/>
        </w:rPr>
      </w:pPr>
      <w:r>
        <w:rPr>
          <w:spacing w:val="2"/>
          <w:sz w:val="18"/>
        </w:rPr>
        <w:t>乙型肝炎病毒</w:t>
      </w:r>
      <w:r>
        <w:rPr>
          <w:rFonts w:ascii="Times New Roman" w:eastAsia="Times New Roman"/>
          <w:sz w:val="18"/>
        </w:rPr>
        <w:t>YMDD</w:t>
      </w:r>
      <w:r>
        <w:rPr>
          <w:rFonts w:ascii="Times New Roman" w:eastAsia="Times New Roman"/>
          <w:spacing w:val="-6"/>
          <w:sz w:val="18"/>
        </w:rPr>
        <w:t> </w:t>
      </w:r>
      <w:r>
        <w:rPr>
          <w:spacing w:val="-5"/>
          <w:sz w:val="18"/>
        </w:rPr>
        <w:t>突变阳性对照具体值参照试剂盒内的浓度。</w:t>
      </w:r>
    </w:p>
    <w:p>
      <w:pPr>
        <w:pStyle w:val="Heading1"/>
        <w:spacing w:line="188" w:lineRule="exact"/>
      </w:pPr>
      <w:r>
        <w:rPr/>
        <w:t>【储存条件及有效期】</w:t>
      </w:r>
    </w:p>
    <w:p>
      <w:pPr>
        <w:pStyle w:val="BodyText"/>
        <w:spacing w:line="206" w:lineRule="auto" w:before="8"/>
        <w:ind w:right="200" w:firstLine="352"/>
      </w:pPr>
      <w:r>
        <w:rPr>
          <w:spacing w:val="-5"/>
        </w:rPr>
        <w:t>试剂应避光密闭保存，其中大盒（磁珠法核酸提取试剂）</w:t>
      </w:r>
      <w:r>
        <w:rPr>
          <w:spacing w:val="-20"/>
        </w:rPr>
        <w:t>置于 </w:t>
      </w:r>
      <w:r>
        <w:rPr>
          <w:rFonts w:ascii="Times New Roman" w:hAnsi="Times New Roman" w:eastAsia="Times New Roman"/>
        </w:rPr>
        <w:t>2~8</w:t>
      </w:r>
      <w:r>
        <w:rPr>
          <w:spacing w:val="-5"/>
        </w:rPr>
        <w:t>℃下保存；小盒</w:t>
      </w:r>
      <w:r>
        <w:rPr>
          <w:spacing w:val="-3"/>
        </w:rPr>
        <w:t>（</w:t>
      </w:r>
      <w:r>
        <w:rPr>
          <w:spacing w:val="-5"/>
        </w:rPr>
        <w:t>扩增反应试剂</w:t>
      </w:r>
      <w:r>
        <w:rPr>
          <w:spacing w:val="-3"/>
        </w:rPr>
        <w:t>）</w:t>
      </w:r>
      <w:r>
        <w:rPr>
          <w:spacing w:val="-4"/>
        </w:rPr>
        <w:t>置于</w:t>
      </w:r>
      <w:r>
        <w:rPr>
          <w:rFonts w:ascii="Times New Roman" w:hAnsi="Times New Roman" w:eastAsia="Times New Roman"/>
          <w:spacing w:val="-3"/>
        </w:rPr>
        <w:t>-20±5</w:t>
      </w:r>
      <w:r>
        <w:rPr>
          <w:spacing w:val="-5"/>
        </w:rPr>
        <w:t>℃保存。试剂盒</w:t>
      </w:r>
      <w:r>
        <w:rPr>
          <w:spacing w:val="-14"/>
        </w:rPr>
        <w:t>有效期为 </w:t>
      </w:r>
      <w:r>
        <w:rPr>
          <w:rFonts w:ascii="Times New Roman" w:hAnsi="Times New Roman" w:eastAsia="Times New Roman"/>
        </w:rPr>
        <w:t>12 </w:t>
      </w:r>
      <w:r>
        <w:rPr>
          <w:spacing w:val="-3"/>
        </w:rPr>
        <w:t>个月。</w:t>
      </w:r>
    </w:p>
    <w:p>
      <w:pPr>
        <w:pStyle w:val="ListParagraph"/>
        <w:numPr>
          <w:ilvl w:val="0"/>
          <w:numId w:val="2"/>
        </w:numPr>
        <w:tabs>
          <w:tab w:pos="560" w:val="left" w:leader="none"/>
        </w:tabs>
        <w:spacing w:line="193" w:lineRule="exact" w:before="0" w:after="0"/>
        <w:ind w:left="560" w:right="0" w:hanging="173"/>
        <w:jc w:val="left"/>
        <w:rPr>
          <w:sz w:val="18"/>
        </w:rPr>
      </w:pPr>
      <w:r>
        <w:rPr>
          <w:spacing w:val="-7"/>
          <w:sz w:val="18"/>
        </w:rPr>
        <w:t>不使用时，这些试剂在包装标识的效期内可稳定存放。一旦使用，扩增试剂盒反复冻融应不超过 </w:t>
      </w:r>
      <w:r>
        <w:rPr>
          <w:rFonts w:ascii="Times New Roman" w:eastAsia="Times New Roman"/>
          <w:sz w:val="18"/>
        </w:rPr>
        <w:t>5</w:t>
      </w:r>
      <w:r>
        <w:rPr>
          <w:rFonts w:ascii="Times New Roman" w:eastAsia="Times New Roman"/>
          <w:spacing w:val="-3"/>
          <w:sz w:val="18"/>
        </w:rPr>
        <w:t> </w:t>
      </w:r>
      <w:r>
        <w:rPr>
          <w:spacing w:val="-3"/>
          <w:sz w:val="18"/>
        </w:rPr>
        <w:t>次。</w:t>
      </w:r>
    </w:p>
    <w:p>
      <w:pPr>
        <w:pStyle w:val="ListParagraph"/>
        <w:numPr>
          <w:ilvl w:val="0"/>
          <w:numId w:val="2"/>
        </w:numPr>
        <w:tabs>
          <w:tab w:pos="560" w:val="left" w:leader="none"/>
        </w:tabs>
        <w:spacing w:line="192" w:lineRule="exact" w:before="0" w:after="0"/>
        <w:ind w:left="560" w:right="0" w:hanging="173"/>
        <w:jc w:val="left"/>
        <w:rPr>
          <w:sz w:val="18"/>
        </w:rPr>
      </w:pPr>
      <w:r>
        <w:rPr>
          <w:spacing w:val="-19"/>
          <w:sz w:val="18"/>
        </w:rPr>
        <w:t>运输 </w:t>
      </w:r>
      <w:r>
        <w:rPr>
          <w:rFonts w:ascii="Times New Roman" w:eastAsia="Times New Roman"/>
          <w:sz w:val="18"/>
        </w:rPr>
        <w:t>7</w:t>
      </w:r>
      <w:r>
        <w:rPr>
          <w:rFonts w:ascii="Times New Roman" w:eastAsia="Times New Roman"/>
          <w:spacing w:val="-3"/>
          <w:sz w:val="18"/>
        </w:rPr>
        <w:t> </w:t>
      </w:r>
      <w:r>
        <w:rPr>
          <w:spacing w:val="-4"/>
          <w:sz w:val="18"/>
        </w:rPr>
        <w:t>天内有效。</w:t>
      </w:r>
    </w:p>
    <w:p>
      <w:pPr>
        <w:pStyle w:val="Heading1"/>
        <w:spacing w:line="181" w:lineRule="exact"/>
      </w:pPr>
      <w:r>
        <w:rPr/>
        <w:t>【适用仪器】</w:t>
      </w:r>
    </w:p>
    <w:p>
      <w:pPr>
        <w:pStyle w:val="BodyText"/>
        <w:spacing w:line="180" w:lineRule="exact"/>
        <w:ind w:left="744"/>
      </w:pPr>
      <w:r>
        <w:rPr/>
        <w:t>适用于</w:t>
      </w:r>
      <w:r>
        <w:rPr>
          <w:rFonts w:ascii="Times New Roman" w:eastAsia="Times New Roman"/>
        </w:rPr>
        <w:t>ABI 7500 </w:t>
      </w:r>
      <w:r>
        <w:rPr/>
        <w:t>荧光</w:t>
      </w:r>
      <w:r>
        <w:rPr>
          <w:rFonts w:ascii="Times New Roman" w:eastAsia="Times New Roman"/>
        </w:rPr>
        <w:t>PCR </w:t>
      </w:r>
      <w:r>
        <w:rPr/>
        <w:t>仪、</w:t>
      </w:r>
      <w:r>
        <w:rPr>
          <w:rFonts w:ascii="Times New Roman" w:eastAsia="Times New Roman"/>
        </w:rPr>
        <w:t>SLAN96 </w:t>
      </w:r>
      <w:r>
        <w:rPr/>
        <w:t>荧光</w:t>
      </w:r>
      <w:r>
        <w:rPr>
          <w:rFonts w:ascii="Times New Roman" w:eastAsia="Times New Roman"/>
        </w:rPr>
        <w:t>PCR </w:t>
      </w:r>
      <w:r>
        <w:rPr/>
        <w:t>仪。</w:t>
      </w:r>
    </w:p>
    <w:p>
      <w:pPr>
        <w:pStyle w:val="Heading1"/>
        <w:spacing w:line="180" w:lineRule="exact"/>
      </w:pPr>
      <w:r>
        <w:rPr/>
        <w:t>【样本要求】</w:t>
      </w:r>
    </w:p>
    <w:p>
      <w:pPr>
        <w:pStyle w:val="ListParagraph"/>
        <w:numPr>
          <w:ilvl w:val="0"/>
          <w:numId w:val="3"/>
        </w:numPr>
        <w:tabs>
          <w:tab w:pos="560" w:val="left" w:leader="none"/>
        </w:tabs>
        <w:spacing w:line="180" w:lineRule="exact" w:before="0" w:after="0"/>
        <w:ind w:left="560" w:right="0" w:hanging="173"/>
        <w:jc w:val="left"/>
        <w:rPr>
          <w:sz w:val="18"/>
        </w:rPr>
      </w:pPr>
      <w:r>
        <w:rPr>
          <w:spacing w:val="-5"/>
          <w:sz w:val="18"/>
        </w:rPr>
        <w:t>适用样本类型：血清样本。</w:t>
      </w:r>
    </w:p>
    <w:p>
      <w:pPr>
        <w:pStyle w:val="ListParagraph"/>
        <w:numPr>
          <w:ilvl w:val="0"/>
          <w:numId w:val="3"/>
        </w:numPr>
        <w:tabs>
          <w:tab w:pos="560" w:val="left" w:leader="none"/>
        </w:tabs>
        <w:spacing w:line="180" w:lineRule="exact" w:before="0" w:after="0"/>
        <w:ind w:left="560" w:right="0" w:hanging="173"/>
        <w:jc w:val="left"/>
        <w:rPr>
          <w:sz w:val="18"/>
        </w:rPr>
      </w:pPr>
      <w:r>
        <w:rPr>
          <w:spacing w:val="-4"/>
          <w:sz w:val="18"/>
        </w:rPr>
        <w:t>样本采集：</w:t>
      </w:r>
    </w:p>
    <w:p>
      <w:pPr>
        <w:pStyle w:val="ListParagraph"/>
        <w:numPr>
          <w:ilvl w:val="1"/>
          <w:numId w:val="3"/>
        </w:numPr>
        <w:tabs>
          <w:tab w:pos="997" w:val="left" w:leader="none"/>
        </w:tabs>
        <w:spacing w:line="180" w:lineRule="exact" w:before="0" w:after="0"/>
        <w:ind w:left="996" w:right="0" w:hanging="305"/>
        <w:jc w:val="left"/>
        <w:rPr>
          <w:sz w:val="18"/>
        </w:rPr>
      </w:pPr>
      <w:r>
        <w:rPr>
          <w:spacing w:val="-4"/>
          <w:sz w:val="18"/>
        </w:rPr>
        <w:t>空腹抽血</w:t>
      </w:r>
    </w:p>
    <w:p>
      <w:pPr>
        <w:pStyle w:val="ListParagraph"/>
        <w:numPr>
          <w:ilvl w:val="1"/>
          <w:numId w:val="3"/>
        </w:numPr>
        <w:tabs>
          <w:tab w:pos="997" w:val="left" w:leader="none"/>
        </w:tabs>
        <w:spacing w:line="187" w:lineRule="auto" w:before="15" w:after="0"/>
        <w:ind w:left="387" w:right="197" w:firstLine="304"/>
        <w:jc w:val="left"/>
        <w:rPr>
          <w:sz w:val="18"/>
        </w:rPr>
      </w:pPr>
      <w:r>
        <w:rPr>
          <w:spacing w:val="-9"/>
          <w:sz w:val="18"/>
        </w:rPr>
        <w:t>用无菌注射器抽取受检者静脉血 </w:t>
      </w:r>
      <w:r>
        <w:rPr>
          <w:rFonts w:ascii="Times New Roman" w:eastAsia="Times New Roman"/>
          <w:spacing w:val="-4"/>
          <w:sz w:val="18"/>
        </w:rPr>
        <w:t>2ml</w:t>
      </w:r>
      <w:r>
        <w:rPr>
          <w:spacing w:val="-10"/>
          <w:sz w:val="18"/>
        </w:rPr>
        <w:t>，注入无菌收集管，室温不超过 </w:t>
      </w:r>
      <w:r>
        <w:rPr>
          <w:rFonts w:ascii="Times New Roman" w:eastAsia="Times New Roman"/>
          <w:sz w:val="18"/>
        </w:rPr>
        <w:t>4</w:t>
      </w:r>
      <w:r>
        <w:rPr>
          <w:rFonts w:ascii="Times New Roman" w:eastAsia="Times New Roman"/>
          <w:spacing w:val="-3"/>
          <w:sz w:val="18"/>
        </w:rPr>
        <w:t> </w:t>
      </w:r>
      <w:r>
        <w:rPr>
          <w:spacing w:val="-9"/>
          <w:sz w:val="18"/>
        </w:rPr>
        <w:t>小时，待样本自行析出血清，或直接室温 </w:t>
      </w:r>
      <w:r>
        <w:rPr>
          <w:rFonts w:ascii="Times New Roman" w:eastAsia="Times New Roman"/>
          <w:sz w:val="18"/>
        </w:rPr>
        <w:t>1600rpm</w:t>
      </w:r>
      <w:r>
        <w:rPr>
          <w:rFonts w:ascii="Times New Roman" w:eastAsia="Times New Roman"/>
          <w:spacing w:val="-7"/>
          <w:sz w:val="18"/>
        </w:rPr>
        <w:t> </w:t>
      </w:r>
      <w:r>
        <w:rPr>
          <w:sz w:val="18"/>
        </w:rPr>
        <w:t>离</w:t>
      </w:r>
      <w:r>
        <w:rPr>
          <w:spacing w:val="-26"/>
          <w:sz w:val="18"/>
        </w:rPr>
        <w:t>心 </w:t>
      </w:r>
      <w:r>
        <w:rPr>
          <w:rFonts w:ascii="Times New Roman" w:eastAsia="Times New Roman"/>
          <w:sz w:val="18"/>
        </w:rPr>
        <w:t>5</w:t>
      </w:r>
      <w:r>
        <w:rPr>
          <w:rFonts w:ascii="Times New Roman" w:eastAsia="Times New Roman"/>
          <w:spacing w:val="-3"/>
          <w:sz w:val="18"/>
        </w:rPr>
        <w:t> </w:t>
      </w:r>
      <w:r>
        <w:rPr>
          <w:spacing w:val="-9"/>
          <w:sz w:val="18"/>
        </w:rPr>
        <w:t>分钟，分离出血清，转移到 </w:t>
      </w:r>
      <w:r>
        <w:rPr>
          <w:rFonts w:ascii="Times New Roman" w:eastAsia="Times New Roman"/>
          <w:sz w:val="18"/>
        </w:rPr>
        <w:t>1.5ml</w:t>
      </w:r>
      <w:r>
        <w:rPr>
          <w:rFonts w:ascii="Times New Roman" w:eastAsia="Times New Roman"/>
          <w:spacing w:val="-4"/>
          <w:sz w:val="18"/>
        </w:rPr>
        <w:t> </w:t>
      </w:r>
      <w:r>
        <w:rPr>
          <w:spacing w:val="-5"/>
          <w:sz w:val="18"/>
        </w:rPr>
        <w:t>灭菌离心管中备用。</w:t>
      </w:r>
    </w:p>
    <w:p>
      <w:pPr>
        <w:pStyle w:val="ListParagraph"/>
        <w:numPr>
          <w:ilvl w:val="0"/>
          <w:numId w:val="3"/>
        </w:numPr>
        <w:tabs>
          <w:tab w:pos="560" w:val="left" w:leader="none"/>
        </w:tabs>
        <w:spacing w:line="166" w:lineRule="exact" w:before="0" w:after="0"/>
        <w:ind w:left="560" w:right="0" w:hanging="173"/>
        <w:jc w:val="left"/>
        <w:rPr>
          <w:sz w:val="18"/>
        </w:rPr>
      </w:pPr>
      <w:r>
        <w:rPr>
          <w:spacing w:val="-5"/>
          <w:sz w:val="18"/>
        </w:rPr>
        <w:t>样本保存和运送：</w:t>
      </w:r>
    </w:p>
    <w:p>
      <w:pPr>
        <w:pStyle w:val="BodyText"/>
        <w:spacing w:line="187" w:lineRule="auto" w:before="14"/>
        <w:ind w:left="389" w:right="195" w:firstLine="326"/>
      </w:pPr>
      <w:r>
        <w:rPr>
          <w:spacing w:val="-6"/>
        </w:rPr>
        <w:t>经上述处理后的待测样本可立即用于检测，或</w:t>
      </w:r>
      <w:r>
        <w:rPr>
          <w:rFonts w:ascii="Times New Roman" w:hAnsi="Times New Roman" w:eastAsia="Times New Roman"/>
          <w:spacing w:val="-3"/>
        </w:rPr>
        <w:t>-20±5</w:t>
      </w:r>
      <w:r>
        <w:rPr>
          <w:spacing w:val="-4"/>
        </w:rPr>
        <w:t>℃保存</w:t>
      </w:r>
      <w:r>
        <w:rPr>
          <w:spacing w:val="-3"/>
        </w:rPr>
        <w:t>（</w:t>
      </w:r>
      <w:r>
        <w:rPr>
          <w:rFonts w:ascii="Times New Roman" w:hAnsi="Times New Roman" w:eastAsia="Times New Roman"/>
          <w:spacing w:val="-3"/>
        </w:rPr>
        <w:t>3 </w:t>
      </w:r>
      <w:r>
        <w:rPr>
          <w:spacing w:val="-4"/>
        </w:rPr>
        <w:t>个月）</w:t>
      </w:r>
      <w:r>
        <w:rPr>
          <w:spacing w:val="-5"/>
        </w:rPr>
        <w:t>，长期保存请置于</w:t>
      </w:r>
      <w:r>
        <w:rPr>
          <w:rFonts w:ascii="Times New Roman" w:hAnsi="Times New Roman" w:eastAsia="Times New Roman"/>
          <w:spacing w:val="-3"/>
        </w:rPr>
        <w:t>-70</w:t>
      </w:r>
      <w:r>
        <w:rPr>
          <w:spacing w:val="-5"/>
        </w:rPr>
        <w:t>℃以下，应避免反复冻融。样本运送采用冰壶加冰或泡沫箱加冰密封进行运输。</w:t>
      </w:r>
    </w:p>
    <w:p>
      <w:pPr>
        <w:pStyle w:val="Heading1"/>
      </w:pPr>
      <w:r>
        <w:rPr/>
        <w:t>【检验方法】</w:t>
      </w:r>
    </w:p>
    <w:p>
      <w:pPr>
        <w:pStyle w:val="ListParagraph"/>
        <w:numPr>
          <w:ilvl w:val="0"/>
          <w:numId w:val="4"/>
        </w:numPr>
        <w:tabs>
          <w:tab w:pos="604" w:val="left" w:leader="none"/>
        </w:tabs>
        <w:spacing w:line="180" w:lineRule="exact" w:before="0" w:after="0"/>
        <w:ind w:left="603" w:right="0" w:hanging="217"/>
        <w:jc w:val="left"/>
        <w:rPr>
          <w:b/>
          <w:sz w:val="18"/>
        </w:rPr>
      </w:pPr>
      <w:r>
        <w:rPr>
          <w:b/>
          <w:spacing w:val="-4"/>
          <w:sz w:val="18"/>
        </w:rPr>
        <w:t>试剂准备</w:t>
      </w:r>
      <w:r>
        <w:rPr>
          <w:b/>
          <w:spacing w:val="-5"/>
          <w:sz w:val="18"/>
        </w:rPr>
        <w:t>（在试剂准备区进行</w:t>
      </w:r>
      <w:r>
        <w:rPr>
          <w:b/>
          <w:sz w:val="18"/>
        </w:rPr>
        <w:t>）</w:t>
      </w:r>
    </w:p>
    <w:p>
      <w:pPr>
        <w:pStyle w:val="ListParagraph"/>
        <w:numPr>
          <w:ilvl w:val="1"/>
          <w:numId w:val="4"/>
        </w:numPr>
        <w:tabs>
          <w:tab w:pos="649" w:val="left" w:leader="none"/>
        </w:tabs>
        <w:spacing w:line="180" w:lineRule="exact" w:before="0" w:after="0"/>
        <w:ind w:left="648" w:right="0" w:hanging="262"/>
        <w:jc w:val="left"/>
        <w:rPr>
          <w:sz w:val="18"/>
        </w:rPr>
      </w:pPr>
      <w:r>
        <w:rPr>
          <w:spacing w:val="-5"/>
          <w:sz w:val="18"/>
        </w:rPr>
        <w:t>取出两个包装盒中的各组分，室温放置，待其温度平衡至室温后，混匀后备用；</w:t>
      </w:r>
    </w:p>
    <w:p>
      <w:pPr>
        <w:pStyle w:val="ListParagraph"/>
        <w:numPr>
          <w:ilvl w:val="1"/>
          <w:numId w:val="4"/>
        </w:numPr>
        <w:tabs>
          <w:tab w:pos="649" w:val="left" w:leader="none"/>
        </w:tabs>
        <w:spacing w:line="187" w:lineRule="auto" w:before="14" w:after="0"/>
        <w:ind w:left="651" w:right="190" w:hanging="264"/>
        <w:jc w:val="both"/>
        <w:rPr>
          <w:sz w:val="18"/>
        </w:rPr>
      </w:pPr>
      <w:r>
        <w:rPr>
          <w:spacing w:val="-10"/>
          <w:sz w:val="18"/>
        </w:rPr>
        <w:t>根据待测样本、阴性对照、阳性对照数量，按比例</w:t>
      </w:r>
      <w:r>
        <w:rPr>
          <w:sz w:val="18"/>
        </w:rPr>
        <w:t>（</w:t>
      </w:r>
      <w:r>
        <w:rPr>
          <w:rFonts w:ascii="Times New Roman" w:hAnsi="Times New Roman" w:eastAsia="Times New Roman"/>
          <w:sz w:val="18"/>
        </w:rPr>
        <w:t>DNA</w:t>
      </w:r>
      <w:r>
        <w:rPr>
          <w:rFonts w:ascii="Times New Roman" w:hAnsi="Times New Roman" w:eastAsia="Times New Roman"/>
          <w:spacing w:val="-6"/>
          <w:sz w:val="18"/>
        </w:rPr>
        <w:t> </w:t>
      </w:r>
      <w:r>
        <w:rPr>
          <w:spacing w:val="-14"/>
          <w:sz w:val="18"/>
        </w:rPr>
        <w:t>提取溶液 </w:t>
      </w:r>
      <w:r>
        <w:rPr>
          <w:rFonts w:ascii="Times New Roman" w:hAnsi="Times New Roman" w:eastAsia="Times New Roman"/>
          <w:sz w:val="18"/>
        </w:rPr>
        <w:t>2</w:t>
      </w:r>
      <w:r>
        <w:rPr>
          <w:rFonts w:ascii="Times New Roman" w:hAnsi="Times New Roman" w:eastAsia="Times New Roman"/>
          <w:spacing w:val="26"/>
          <w:sz w:val="18"/>
        </w:rPr>
        <w:t> </w:t>
      </w:r>
      <w:r>
        <w:rPr>
          <w:rFonts w:ascii="Times New Roman" w:hAnsi="Times New Roman" w:eastAsia="Times New Roman"/>
          <w:sz w:val="18"/>
        </w:rPr>
        <w:t>100</w:t>
      </w:r>
      <w:r>
        <w:rPr>
          <w:rFonts w:ascii="Times New Roman" w:hAnsi="Times New Roman" w:eastAsia="Times New Roman"/>
          <w:spacing w:val="-8"/>
          <w:sz w:val="18"/>
        </w:rPr>
        <w:t> </w:t>
      </w:r>
      <w:r>
        <w:rPr>
          <w:rFonts w:ascii="Times New Roman" w:hAnsi="Times New Roman" w:eastAsia="Times New Roman"/>
          <w:spacing w:val="-3"/>
          <w:sz w:val="18"/>
        </w:rPr>
        <w:t>μl/</w:t>
      </w:r>
      <w:r>
        <w:rPr>
          <w:spacing w:val="-3"/>
          <w:sz w:val="18"/>
        </w:rPr>
        <w:t>人份</w:t>
      </w:r>
      <w:r>
        <w:rPr>
          <w:rFonts w:ascii="Times New Roman" w:hAnsi="Times New Roman" w:eastAsia="Times New Roman"/>
          <w:spacing w:val="-4"/>
          <w:sz w:val="18"/>
        </w:rPr>
        <w:t>+</w:t>
      </w:r>
      <w:r>
        <w:rPr>
          <w:spacing w:val="2"/>
          <w:sz w:val="18"/>
        </w:rPr>
        <w:t>乙型肝炎病毒</w:t>
      </w:r>
      <w:r>
        <w:rPr>
          <w:rFonts w:ascii="Times New Roman" w:hAnsi="Times New Roman" w:eastAsia="Times New Roman"/>
          <w:sz w:val="18"/>
        </w:rPr>
        <w:t>YMDD</w:t>
      </w:r>
      <w:r>
        <w:rPr>
          <w:rFonts w:ascii="Times New Roman" w:hAnsi="Times New Roman" w:eastAsia="Times New Roman"/>
          <w:spacing w:val="-8"/>
          <w:sz w:val="18"/>
        </w:rPr>
        <w:t> </w:t>
      </w:r>
      <w:r>
        <w:rPr>
          <w:spacing w:val="-6"/>
          <w:sz w:val="18"/>
        </w:rPr>
        <w:t>内标 </w:t>
      </w:r>
      <w:r>
        <w:rPr>
          <w:rFonts w:ascii="Times New Roman" w:hAnsi="Times New Roman" w:eastAsia="Times New Roman"/>
          <w:sz w:val="18"/>
        </w:rPr>
        <w:t>0.4</w:t>
      </w:r>
      <w:r>
        <w:rPr>
          <w:rFonts w:ascii="Times New Roman" w:hAnsi="Times New Roman" w:eastAsia="Times New Roman"/>
          <w:spacing w:val="-8"/>
          <w:sz w:val="18"/>
        </w:rPr>
        <w:t> </w:t>
      </w:r>
      <w:r>
        <w:rPr>
          <w:rFonts w:ascii="Times New Roman" w:hAnsi="Times New Roman" w:eastAsia="Times New Roman"/>
          <w:sz w:val="18"/>
        </w:rPr>
        <w:t>μl/</w:t>
      </w:r>
      <w:r>
        <w:rPr>
          <w:spacing w:val="-5"/>
          <w:sz w:val="18"/>
        </w:rPr>
        <w:t>人份</w:t>
      </w:r>
      <w:r>
        <w:rPr>
          <w:spacing w:val="-15"/>
          <w:sz w:val="18"/>
        </w:rPr>
        <w:t>）</w:t>
      </w:r>
      <w:r>
        <w:rPr>
          <w:spacing w:val="-3"/>
          <w:sz w:val="18"/>
        </w:rPr>
        <w:t>取相</w:t>
      </w:r>
      <w:r>
        <w:rPr>
          <w:spacing w:val="10"/>
          <w:sz w:val="18"/>
        </w:rPr>
        <w:t>应量的</w:t>
      </w:r>
      <w:r>
        <w:rPr>
          <w:rFonts w:ascii="Times New Roman" w:hAnsi="Times New Roman" w:eastAsia="Times New Roman"/>
          <w:sz w:val="18"/>
        </w:rPr>
        <w:t>DNA</w:t>
      </w:r>
      <w:r>
        <w:rPr>
          <w:rFonts w:ascii="Times New Roman" w:hAnsi="Times New Roman" w:eastAsia="Times New Roman"/>
          <w:spacing w:val="-6"/>
          <w:sz w:val="18"/>
        </w:rPr>
        <w:t> </w:t>
      </w:r>
      <w:r>
        <w:rPr>
          <w:spacing w:val="-14"/>
          <w:sz w:val="18"/>
        </w:rPr>
        <w:t>提取溶液 </w:t>
      </w:r>
      <w:r>
        <w:rPr>
          <w:rFonts w:ascii="Times New Roman" w:hAnsi="Times New Roman" w:eastAsia="Times New Roman"/>
          <w:sz w:val="18"/>
        </w:rPr>
        <w:t>2</w:t>
      </w:r>
      <w:r>
        <w:rPr>
          <w:rFonts w:ascii="Times New Roman" w:hAnsi="Times New Roman" w:eastAsia="Times New Roman"/>
          <w:spacing w:val="-4"/>
          <w:sz w:val="18"/>
        </w:rPr>
        <w:t> </w:t>
      </w:r>
      <w:r>
        <w:rPr>
          <w:spacing w:val="1"/>
          <w:sz w:val="18"/>
        </w:rPr>
        <w:t>及乙型肝炎病毒</w:t>
      </w:r>
      <w:r>
        <w:rPr>
          <w:rFonts w:ascii="Times New Roman" w:hAnsi="Times New Roman" w:eastAsia="Times New Roman"/>
          <w:sz w:val="18"/>
        </w:rPr>
        <w:t>YMDD</w:t>
      </w:r>
      <w:r>
        <w:rPr>
          <w:rFonts w:ascii="Times New Roman" w:hAnsi="Times New Roman" w:eastAsia="Times New Roman"/>
          <w:spacing w:val="-3"/>
          <w:sz w:val="18"/>
        </w:rPr>
        <w:t> </w:t>
      </w:r>
      <w:r>
        <w:rPr>
          <w:sz w:val="18"/>
        </w:rPr>
        <w:t>内标，充分混匀成</w:t>
      </w:r>
      <w:r>
        <w:rPr>
          <w:rFonts w:ascii="Times New Roman" w:hAnsi="Times New Roman" w:eastAsia="Times New Roman"/>
          <w:sz w:val="18"/>
        </w:rPr>
        <w:t>DNA</w:t>
      </w:r>
      <w:r>
        <w:rPr>
          <w:rFonts w:ascii="Times New Roman" w:hAnsi="Times New Roman" w:eastAsia="Times New Roman"/>
          <w:spacing w:val="-5"/>
          <w:sz w:val="18"/>
        </w:rPr>
        <w:t> </w:t>
      </w:r>
      <w:r>
        <w:rPr>
          <w:spacing w:val="-14"/>
          <w:sz w:val="18"/>
        </w:rPr>
        <w:t>提取溶液 </w:t>
      </w:r>
      <w:r>
        <w:rPr>
          <w:rFonts w:ascii="Times New Roman" w:hAnsi="Times New Roman" w:eastAsia="Times New Roman"/>
          <w:sz w:val="18"/>
        </w:rPr>
        <w:t>2</w:t>
      </w:r>
      <w:r>
        <w:rPr>
          <w:rFonts w:ascii="Times New Roman" w:hAnsi="Times New Roman" w:eastAsia="Times New Roman"/>
          <w:spacing w:val="-3"/>
          <w:sz w:val="18"/>
        </w:rPr>
        <w:t> </w:t>
      </w:r>
      <w:r>
        <w:rPr>
          <w:spacing w:val="-5"/>
          <w:sz w:val="18"/>
        </w:rPr>
        <w:t>混合物，瞬时离心后备用。</w:t>
      </w:r>
    </w:p>
    <w:p>
      <w:pPr>
        <w:pStyle w:val="ListParagraph"/>
        <w:numPr>
          <w:ilvl w:val="1"/>
          <w:numId w:val="4"/>
        </w:numPr>
        <w:tabs>
          <w:tab w:pos="652" w:val="left" w:leader="none"/>
        </w:tabs>
        <w:spacing w:line="187" w:lineRule="auto" w:before="0" w:after="0"/>
        <w:ind w:left="653" w:right="192" w:hanging="264"/>
        <w:jc w:val="both"/>
        <w:rPr>
          <w:sz w:val="18"/>
        </w:rPr>
      </w:pPr>
      <w:r>
        <w:rPr>
          <w:spacing w:val="-8"/>
          <w:sz w:val="18"/>
        </w:rPr>
        <w:t>根据待测样本、阴性对照、阳性对照数量，按比例</w:t>
      </w:r>
      <w:r>
        <w:rPr>
          <w:spacing w:val="-3"/>
          <w:sz w:val="18"/>
        </w:rPr>
        <w:t>（</w:t>
      </w:r>
      <w:r>
        <w:rPr>
          <w:spacing w:val="2"/>
          <w:sz w:val="18"/>
        </w:rPr>
        <w:t>乙型肝炎病毒</w:t>
      </w:r>
      <w:r>
        <w:rPr>
          <w:rFonts w:ascii="Times New Roman" w:hAnsi="Times New Roman" w:eastAsia="Times New Roman"/>
          <w:sz w:val="18"/>
        </w:rPr>
        <w:t>YIDD</w:t>
      </w:r>
      <w:r>
        <w:rPr>
          <w:rFonts w:ascii="Times New Roman" w:hAnsi="Times New Roman" w:eastAsia="Times New Roman"/>
          <w:spacing w:val="-8"/>
          <w:sz w:val="18"/>
        </w:rPr>
        <w:t> </w:t>
      </w:r>
      <w:r>
        <w:rPr>
          <w:rFonts w:ascii="Times New Roman" w:hAnsi="Times New Roman" w:eastAsia="Times New Roman"/>
          <w:sz w:val="18"/>
        </w:rPr>
        <w:t>PCR</w:t>
      </w:r>
      <w:r>
        <w:rPr>
          <w:rFonts w:ascii="Times New Roman" w:hAnsi="Times New Roman" w:eastAsia="Times New Roman"/>
          <w:spacing w:val="-11"/>
          <w:sz w:val="18"/>
        </w:rPr>
        <w:t> </w:t>
      </w:r>
      <w:r>
        <w:rPr>
          <w:spacing w:val="-16"/>
          <w:sz w:val="18"/>
        </w:rPr>
        <w:t>反应液 </w:t>
      </w:r>
      <w:r>
        <w:rPr>
          <w:rFonts w:ascii="Times New Roman" w:hAnsi="Times New Roman" w:eastAsia="Times New Roman"/>
          <w:sz w:val="18"/>
        </w:rPr>
        <w:t>38</w:t>
      </w:r>
      <w:r>
        <w:rPr>
          <w:rFonts w:ascii="Times New Roman" w:hAnsi="Times New Roman" w:eastAsia="Times New Roman"/>
          <w:spacing w:val="-10"/>
          <w:sz w:val="18"/>
        </w:rPr>
        <w:t> </w:t>
      </w:r>
      <w:r>
        <w:rPr>
          <w:rFonts w:ascii="Times New Roman" w:hAnsi="Times New Roman" w:eastAsia="Times New Roman"/>
          <w:sz w:val="18"/>
        </w:rPr>
        <w:t>μl/</w:t>
      </w:r>
      <w:r>
        <w:rPr>
          <w:spacing w:val="-5"/>
          <w:sz w:val="18"/>
        </w:rPr>
        <w:t>人份</w:t>
      </w:r>
      <w:r>
        <w:rPr>
          <w:rFonts w:ascii="Times New Roman" w:hAnsi="Times New Roman" w:eastAsia="Times New Roman"/>
          <w:sz w:val="18"/>
        </w:rPr>
        <w:t>+</w:t>
      </w:r>
      <w:r>
        <w:rPr>
          <w:spacing w:val="2"/>
          <w:sz w:val="18"/>
        </w:rPr>
        <w:t>乙型肝炎病毒</w:t>
      </w:r>
      <w:r>
        <w:rPr>
          <w:rFonts w:ascii="Times New Roman" w:hAnsi="Times New Roman" w:eastAsia="Times New Roman"/>
          <w:sz w:val="18"/>
        </w:rPr>
        <w:t>YMDD</w:t>
      </w:r>
      <w:r>
        <w:rPr>
          <w:rFonts w:ascii="Times New Roman" w:hAnsi="Times New Roman" w:eastAsia="Times New Roman"/>
          <w:spacing w:val="-9"/>
          <w:sz w:val="18"/>
        </w:rPr>
        <w:t> </w:t>
      </w:r>
      <w:r>
        <w:rPr>
          <w:spacing w:val="-4"/>
          <w:sz w:val="18"/>
        </w:rPr>
        <w:t>酶混合液</w:t>
      </w:r>
      <w:r>
        <w:rPr>
          <w:rFonts w:ascii="Times New Roman" w:hAnsi="Times New Roman" w:eastAsia="Times New Roman"/>
          <w:spacing w:val="-4"/>
          <w:sz w:val="18"/>
        </w:rPr>
        <w:t>2</w:t>
      </w:r>
      <w:r>
        <w:rPr>
          <w:rFonts w:ascii="Times New Roman" w:hAnsi="Times New Roman" w:eastAsia="Times New Roman"/>
          <w:spacing w:val="-7"/>
          <w:sz w:val="18"/>
        </w:rPr>
        <w:t> </w:t>
      </w:r>
      <w:r>
        <w:rPr>
          <w:rFonts w:ascii="Times New Roman" w:hAnsi="Times New Roman" w:eastAsia="Times New Roman"/>
          <w:sz w:val="18"/>
        </w:rPr>
        <w:t>μl/</w:t>
      </w:r>
      <w:r>
        <w:rPr>
          <w:spacing w:val="1"/>
          <w:sz w:val="18"/>
        </w:rPr>
        <w:t>人份；乙型肝炎病毒</w:t>
      </w:r>
      <w:r>
        <w:rPr>
          <w:rFonts w:ascii="Times New Roman" w:hAnsi="Times New Roman" w:eastAsia="Times New Roman"/>
          <w:sz w:val="18"/>
        </w:rPr>
        <w:t>YVDD</w:t>
      </w:r>
      <w:r>
        <w:rPr>
          <w:rFonts w:ascii="Times New Roman" w:hAnsi="Times New Roman" w:eastAsia="Times New Roman"/>
          <w:spacing w:val="-6"/>
          <w:sz w:val="18"/>
        </w:rPr>
        <w:t> </w:t>
      </w:r>
      <w:r>
        <w:rPr>
          <w:rFonts w:ascii="Times New Roman" w:hAnsi="Times New Roman" w:eastAsia="Times New Roman"/>
          <w:sz w:val="18"/>
        </w:rPr>
        <w:t>PCR</w:t>
      </w:r>
      <w:r>
        <w:rPr>
          <w:rFonts w:ascii="Times New Roman" w:hAnsi="Times New Roman" w:eastAsia="Times New Roman"/>
          <w:spacing w:val="-6"/>
          <w:sz w:val="18"/>
        </w:rPr>
        <w:t> </w:t>
      </w:r>
      <w:r>
        <w:rPr>
          <w:spacing w:val="-15"/>
          <w:sz w:val="18"/>
        </w:rPr>
        <w:t>反应液 </w:t>
      </w:r>
      <w:r>
        <w:rPr>
          <w:rFonts w:ascii="Times New Roman" w:hAnsi="Times New Roman" w:eastAsia="Times New Roman"/>
          <w:sz w:val="18"/>
        </w:rPr>
        <w:t>38</w:t>
      </w:r>
      <w:r>
        <w:rPr>
          <w:rFonts w:ascii="Times New Roman" w:hAnsi="Times New Roman" w:eastAsia="Times New Roman"/>
          <w:spacing w:val="-6"/>
          <w:sz w:val="18"/>
        </w:rPr>
        <w:t> </w:t>
      </w:r>
      <w:r>
        <w:rPr>
          <w:rFonts w:ascii="Times New Roman" w:hAnsi="Times New Roman" w:eastAsia="Times New Roman"/>
          <w:sz w:val="18"/>
        </w:rPr>
        <w:t>μl/</w:t>
      </w:r>
      <w:r>
        <w:rPr>
          <w:spacing w:val="-2"/>
          <w:sz w:val="18"/>
        </w:rPr>
        <w:t>人份</w:t>
      </w:r>
      <w:r>
        <w:rPr>
          <w:rFonts w:ascii="Times New Roman" w:hAnsi="Times New Roman" w:eastAsia="Times New Roman"/>
          <w:sz w:val="18"/>
        </w:rPr>
        <w:t>+</w:t>
      </w:r>
      <w:r>
        <w:rPr>
          <w:spacing w:val="4"/>
          <w:sz w:val="18"/>
        </w:rPr>
        <w:t>乙型肝炎病毒</w:t>
      </w:r>
      <w:r>
        <w:rPr>
          <w:rFonts w:ascii="Times New Roman" w:hAnsi="Times New Roman" w:eastAsia="Times New Roman"/>
          <w:sz w:val="18"/>
        </w:rPr>
        <w:t>YMDD</w:t>
      </w:r>
      <w:r>
        <w:rPr>
          <w:rFonts w:ascii="Times New Roman" w:hAnsi="Times New Roman" w:eastAsia="Times New Roman"/>
          <w:spacing w:val="-4"/>
          <w:sz w:val="18"/>
        </w:rPr>
        <w:t> </w:t>
      </w:r>
      <w:r>
        <w:rPr>
          <w:spacing w:val="-13"/>
          <w:sz w:val="18"/>
        </w:rPr>
        <w:t>酶混合液 </w:t>
      </w:r>
      <w:r>
        <w:rPr>
          <w:rFonts w:ascii="Times New Roman" w:hAnsi="Times New Roman" w:eastAsia="Times New Roman"/>
          <w:sz w:val="18"/>
        </w:rPr>
        <w:t>2</w:t>
      </w:r>
      <w:r>
        <w:rPr>
          <w:rFonts w:ascii="Times New Roman" w:hAnsi="Times New Roman" w:eastAsia="Times New Roman"/>
          <w:spacing w:val="-5"/>
          <w:sz w:val="18"/>
        </w:rPr>
        <w:t> </w:t>
      </w:r>
      <w:r>
        <w:rPr>
          <w:rFonts w:ascii="Times New Roman" w:hAnsi="Times New Roman" w:eastAsia="Times New Roman"/>
          <w:sz w:val="18"/>
        </w:rPr>
        <w:t>μl/</w:t>
      </w:r>
      <w:r>
        <w:rPr>
          <w:spacing w:val="-2"/>
          <w:sz w:val="18"/>
        </w:rPr>
        <w:t>人份；</w:t>
      </w:r>
      <w:r>
        <w:rPr>
          <w:sz w:val="18"/>
        </w:rPr>
        <w:t>）</w:t>
      </w:r>
      <w:r>
        <w:rPr>
          <w:spacing w:val="-3"/>
          <w:sz w:val="18"/>
        </w:rPr>
        <w:t>取相应量的乙型肝炎病毒</w:t>
      </w:r>
      <w:r>
        <w:rPr>
          <w:rFonts w:ascii="Times New Roman" w:hAnsi="Times New Roman" w:eastAsia="Times New Roman"/>
          <w:spacing w:val="-3"/>
          <w:sz w:val="18"/>
        </w:rPr>
        <w:t>PCR</w:t>
      </w:r>
      <w:r>
        <w:rPr>
          <w:rFonts w:ascii="Times New Roman" w:hAnsi="Times New Roman" w:eastAsia="Times New Roman"/>
          <w:spacing w:val="-8"/>
          <w:sz w:val="18"/>
        </w:rPr>
        <w:t> </w:t>
      </w:r>
      <w:r>
        <w:rPr>
          <w:spacing w:val="-1"/>
          <w:sz w:val="18"/>
        </w:rPr>
        <w:t>反应液及乙型肝炎病毒</w:t>
      </w:r>
      <w:r>
        <w:rPr>
          <w:rFonts w:ascii="Times New Roman" w:hAnsi="Times New Roman" w:eastAsia="Times New Roman"/>
          <w:sz w:val="18"/>
        </w:rPr>
        <w:t>YMDD</w:t>
      </w:r>
      <w:r>
        <w:rPr>
          <w:rFonts w:ascii="Times New Roman" w:hAnsi="Times New Roman" w:eastAsia="Times New Roman"/>
          <w:spacing w:val="-5"/>
          <w:sz w:val="18"/>
        </w:rPr>
        <w:t> </w:t>
      </w:r>
      <w:r>
        <w:rPr>
          <w:spacing w:val="-1"/>
          <w:sz w:val="18"/>
        </w:rPr>
        <w:t>酶混合液，充分混匀成</w:t>
      </w:r>
      <w:r>
        <w:rPr>
          <w:rFonts w:ascii="Times New Roman" w:hAnsi="Times New Roman" w:eastAsia="Times New Roman"/>
          <w:sz w:val="18"/>
        </w:rPr>
        <w:t>PCR</w:t>
      </w:r>
      <w:r>
        <w:rPr>
          <w:rFonts w:ascii="Times New Roman" w:hAnsi="Times New Roman" w:eastAsia="Times New Roman"/>
          <w:spacing w:val="-7"/>
          <w:sz w:val="18"/>
        </w:rPr>
        <w:t> </w:t>
      </w:r>
      <w:r>
        <w:rPr>
          <w:spacing w:val="-5"/>
          <w:sz w:val="18"/>
        </w:rPr>
        <w:t>混合液，瞬时离心后备用。</w:t>
      </w:r>
    </w:p>
    <w:p>
      <w:pPr>
        <w:pStyle w:val="ListParagraph"/>
        <w:numPr>
          <w:ilvl w:val="1"/>
          <w:numId w:val="4"/>
        </w:numPr>
        <w:tabs>
          <w:tab w:pos="695" w:val="left" w:leader="none"/>
        </w:tabs>
        <w:spacing w:line="166" w:lineRule="exact" w:before="0" w:after="0"/>
        <w:ind w:left="694" w:right="0" w:hanging="306"/>
        <w:jc w:val="left"/>
        <w:rPr>
          <w:sz w:val="18"/>
        </w:rPr>
      </w:pPr>
      <w:r>
        <w:rPr>
          <w:spacing w:val="-5"/>
          <w:sz w:val="18"/>
        </w:rPr>
        <w:t>将上述准备好的试剂转移至样本处理区，待用。</w:t>
      </w:r>
    </w:p>
    <w:p>
      <w:pPr>
        <w:pStyle w:val="ListParagraph"/>
        <w:numPr>
          <w:ilvl w:val="0"/>
          <w:numId w:val="4"/>
        </w:numPr>
        <w:tabs>
          <w:tab w:pos="604" w:val="left" w:leader="none"/>
        </w:tabs>
        <w:spacing w:line="180" w:lineRule="exact" w:before="0" w:after="0"/>
        <w:ind w:left="603" w:right="0" w:hanging="217"/>
        <w:jc w:val="left"/>
        <w:rPr>
          <w:rFonts w:ascii="Times New Roman" w:eastAsia="Times New Roman"/>
          <w:b/>
          <w:sz w:val="18"/>
        </w:rPr>
      </w:pPr>
      <w:r>
        <w:rPr>
          <w:b/>
          <w:spacing w:val="-5"/>
          <w:sz w:val="18"/>
        </w:rPr>
        <w:t>样本处理及加样</w:t>
      </w:r>
      <w:r>
        <w:rPr>
          <w:b/>
          <w:spacing w:val="-3"/>
          <w:sz w:val="18"/>
        </w:rPr>
        <w:t>（</w:t>
      </w:r>
      <w:r>
        <w:rPr>
          <w:b/>
          <w:spacing w:val="-5"/>
          <w:sz w:val="18"/>
        </w:rPr>
        <w:t>在样本处理区进行</w:t>
      </w:r>
      <w:r>
        <w:rPr>
          <w:b/>
          <w:spacing w:val="-4"/>
          <w:sz w:val="18"/>
        </w:rPr>
        <w:t>）</w:t>
      </w:r>
      <w:r>
        <w:rPr>
          <w:spacing w:val="-4"/>
          <w:sz w:val="18"/>
        </w:rPr>
        <w:t>（</w:t>
      </w:r>
      <w:r>
        <w:rPr>
          <w:spacing w:val="-5"/>
          <w:sz w:val="18"/>
        </w:rPr>
        <w:t>阴性对照、阳性对照与待测样本同步处理</w:t>
      </w:r>
      <w:r>
        <w:rPr>
          <w:rFonts w:ascii="Times New Roman" w:eastAsia="Times New Roman"/>
          <w:b/>
          <w:sz w:val="18"/>
        </w:rPr>
        <w:t>)</w:t>
      </w:r>
    </w:p>
    <w:p>
      <w:pPr>
        <w:pStyle w:val="ListParagraph"/>
        <w:numPr>
          <w:ilvl w:val="1"/>
          <w:numId w:val="4"/>
        </w:numPr>
        <w:tabs>
          <w:tab w:pos="649" w:val="left" w:leader="none"/>
        </w:tabs>
        <w:spacing w:line="180" w:lineRule="exact" w:before="0" w:after="0"/>
        <w:ind w:left="648" w:right="0" w:hanging="262"/>
        <w:jc w:val="left"/>
        <w:rPr>
          <w:sz w:val="18"/>
        </w:rPr>
      </w:pPr>
      <w:r>
        <w:rPr>
          <w:spacing w:val="-4"/>
          <w:sz w:val="18"/>
        </w:rPr>
        <w:t>样本处理</w:t>
      </w:r>
    </w:p>
    <w:p>
      <w:pPr>
        <w:pStyle w:val="ListParagraph"/>
        <w:numPr>
          <w:ilvl w:val="2"/>
          <w:numId w:val="4"/>
        </w:numPr>
        <w:tabs>
          <w:tab w:pos="824" w:val="left" w:leader="none"/>
        </w:tabs>
        <w:spacing w:line="180" w:lineRule="exact" w:before="0" w:after="0"/>
        <w:ind w:left="824" w:right="0" w:hanging="437"/>
        <w:jc w:val="left"/>
        <w:rPr>
          <w:sz w:val="18"/>
        </w:rPr>
      </w:pPr>
      <w:r>
        <w:rPr>
          <w:spacing w:val="-16"/>
          <w:sz w:val="18"/>
        </w:rPr>
        <w:t>取适量 </w:t>
      </w:r>
      <w:r>
        <w:rPr>
          <w:rFonts w:ascii="Times New Roman" w:hAnsi="Times New Roman" w:eastAsia="Times New Roman"/>
          <w:sz w:val="18"/>
        </w:rPr>
        <w:t>1.5</w:t>
      </w:r>
      <w:r>
        <w:rPr>
          <w:rFonts w:ascii="Times New Roman" w:hAnsi="Times New Roman" w:eastAsia="Times New Roman"/>
          <w:spacing w:val="-6"/>
          <w:sz w:val="18"/>
        </w:rPr>
        <w:t> </w:t>
      </w:r>
      <w:r>
        <w:rPr>
          <w:rFonts w:ascii="Times New Roman" w:hAnsi="Times New Roman" w:eastAsia="Times New Roman"/>
          <w:sz w:val="18"/>
        </w:rPr>
        <w:t>ml</w:t>
      </w:r>
      <w:r>
        <w:rPr>
          <w:rFonts w:ascii="Times New Roman" w:hAnsi="Times New Roman" w:eastAsia="Times New Roman"/>
          <w:spacing w:val="-2"/>
          <w:sz w:val="18"/>
        </w:rPr>
        <w:t> </w:t>
      </w:r>
      <w:r>
        <w:rPr>
          <w:spacing w:val="-7"/>
          <w:sz w:val="18"/>
        </w:rPr>
        <w:t>离心管，分别标记阴性对照、阳性对照及待测样本，每管加入 </w:t>
      </w:r>
      <w:r>
        <w:rPr>
          <w:rFonts w:ascii="Times New Roman" w:hAnsi="Times New Roman" w:eastAsia="Times New Roman"/>
          <w:spacing w:val="-3"/>
          <w:sz w:val="18"/>
        </w:rPr>
        <w:t>300μl</w:t>
      </w:r>
      <w:r>
        <w:rPr>
          <w:rFonts w:ascii="Times New Roman" w:hAnsi="Times New Roman" w:eastAsia="Times New Roman"/>
          <w:spacing w:val="-4"/>
          <w:sz w:val="18"/>
        </w:rPr>
        <w:t> </w:t>
      </w:r>
      <w:r>
        <w:rPr>
          <w:rFonts w:ascii="Times New Roman" w:hAnsi="Times New Roman" w:eastAsia="Times New Roman"/>
          <w:sz w:val="18"/>
        </w:rPr>
        <w:t>DNA</w:t>
      </w:r>
      <w:r>
        <w:rPr>
          <w:rFonts w:ascii="Times New Roman" w:hAnsi="Times New Roman" w:eastAsia="Times New Roman"/>
          <w:spacing w:val="-3"/>
          <w:sz w:val="18"/>
        </w:rPr>
        <w:t> </w:t>
      </w:r>
      <w:r>
        <w:rPr>
          <w:spacing w:val="-14"/>
          <w:sz w:val="18"/>
        </w:rPr>
        <w:t>提取溶液 </w:t>
      </w:r>
      <w:r>
        <w:rPr>
          <w:rFonts w:ascii="Times New Roman" w:hAnsi="Times New Roman" w:eastAsia="Times New Roman"/>
          <w:sz w:val="18"/>
        </w:rPr>
        <w:t>1</w:t>
      </w:r>
      <w:r>
        <w:rPr>
          <w:sz w:val="18"/>
        </w:rPr>
        <w:t>；</w:t>
      </w:r>
    </w:p>
    <w:p>
      <w:pPr>
        <w:pStyle w:val="ListParagraph"/>
        <w:numPr>
          <w:ilvl w:val="2"/>
          <w:numId w:val="4"/>
        </w:numPr>
        <w:tabs>
          <w:tab w:pos="824" w:val="left" w:leader="none"/>
        </w:tabs>
        <w:spacing w:line="180" w:lineRule="exact" w:before="0" w:after="0"/>
        <w:ind w:left="824" w:right="0" w:hanging="437"/>
        <w:jc w:val="left"/>
        <w:rPr>
          <w:sz w:val="18"/>
        </w:rPr>
      </w:pPr>
      <w:r>
        <w:rPr>
          <w:spacing w:val="-14"/>
          <w:sz w:val="18"/>
        </w:rPr>
        <w:t>每管加入 </w:t>
      </w:r>
      <w:r>
        <w:rPr>
          <w:rFonts w:ascii="Times New Roman" w:hAnsi="Times New Roman" w:eastAsia="Times New Roman"/>
          <w:spacing w:val="-3"/>
          <w:sz w:val="18"/>
        </w:rPr>
        <w:t>200μl </w:t>
      </w:r>
      <w:r>
        <w:rPr>
          <w:spacing w:val="-7"/>
          <w:sz w:val="18"/>
        </w:rPr>
        <w:t>待测样本或阴性对照、阳性对照；盖上管盖，震荡混匀 </w:t>
      </w:r>
      <w:r>
        <w:rPr>
          <w:rFonts w:ascii="Times New Roman" w:hAnsi="Times New Roman" w:eastAsia="Times New Roman"/>
          <w:sz w:val="18"/>
        </w:rPr>
        <w:t>10</w:t>
      </w:r>
      <w:r>
        <w:rPr>
          <w:rFonts w:ascii="Times New Roman" w:hAnsi="Times New Roman" w:eastAsia="Times New Roman"/>
          <w:spacing w:val="-6"/>
          <w:sz w:val="18"/>
        </w:rPr>
        <w:t> </w:t>
      </w:r>
      <w:r>
        <w:rPr>
          <w:spacing w:val="-5"/>
          <w:sz w:val="18"/>
        </w:rPr>
        <w:t>秒钟，瞬时离心；</w:t>
      </w:r>
    </w:p>
    <w:p>
      <w:pPr>
        <w:pStyle w:val="ListParagraph"/>
        <w:numPr>
          <w:ilvl w:val="2"/>
          <w:numId w:val="4"/>
        </w:numPr>
        <w:tabs>
          <w:tab w:pos="824" w:val="left" w:leader="none"/>
        </w:tabs>
        <w:spacing w:line="180" w:lineRule="exact" w:before="0" w:after="0"/>
        <w:ind w:left="824" w:right="0" w:hanging="437"/>
        <w:jc w:val="left"/>
        <w:rPr>
          <w:sz w:val="18"/>
        </w:rPr>
      </w:pPr>
      <w:r>
        <w:rPr>
          <w:spacing w:val="-14"/>
          <w:sz w:val="18"/>
        </w:rPr>
        <w:t>每管加入 </w:t>
      </w:r>
      <w:r>
        <w:rPr>
          <w:rFonts w:ascii="Times New Roman" w:hAnsi="Times New Roman" w:eastAsia="Times New Roman"/>
          <w:spacing w:val="-3"/>
          <w:sz w:val="18"/>
        </w:rPr>
        <w:t>100μl</w:t>
      </w:r>
      <w:r>
        <w:rPr>
          <w:rFonts w:ascii="Times New Roman" w:hAnsi="Times New Roman" w:eastAsia="Times New Roman"/>
          <w:spacing w:val="-4"/>
          <w:sz w:val="18"/>
        </w:rPr>
        <w:t> </w:t>
      </w:r>
      <w:r>
        <w:rPr>
          <w:rFonts w:ascii="Times New Roman" w:hAnsi="Times New Roman" w:eastAsia="Times New Roman"/>
          <w:sz w:val="18"/>
        </w:rPr>
        <w:t>DNA</w:t>
      </w:r>
      <w:r>
        <w:rPr>
          <w:rFonts w:ascii="Times New Roman" w:hAnsi="Times New Roman" w:eastAsia="Times New Roman"/>
          <w:spacing w:val="-3"/>
          <w:sz w:val="18"/>
        </w:rPr>
        <w:t> </w:t>
      </w:r>
      <w:r>
        <w:rPr>
          <w:spacing w:val="-14"/>
          <w:sz w:val="18"/>
        </w:rPr>
        <w:t>提取溶液 </w:t>
      </w:r>
      <w:r>
        <w:rPr>
          <w:rFonts w:ascii="Times New Roman" w:hAnsi="Times New Roman" w:eastAsia="Times New Roman"/>
          <w:sz w:val="18"/>
        </w:rPr>
        <w:t>2</w:t>
      </w:r>
      <w:r>
        <w:rPr>
          <w:rFonts w:ascii="Times New Roman" w:hAnsi="Times New Roman" w:eastAsia="Times New Roman"/>
          <w:spacing w:val="-3"/>
          <w:sz w:val="18"/>
        </w:rPr>
        <w:t> </w:t>
      </w:r>
      <w:r>
        <w:rPr>
          <w:spacing w:val="-5"/>
          <w:sz w:val="18"/>
        </w:rPr>
        <w:t>混合物（充分混匀后吸取）</w:t>
      </w:r>
      <w:r>
        <w:rPr>
          <w:spacing w:val="-12"/>
          <w:sz w:val="18"/>
        </w:rPr>
        <w:t>，震荡混匀 </w:t>
      </w:r>
      <w:r>
        <w:rPr>
          <w:rFonts w:ascii="Times New Roman" w:hAnsi="Times New Roman" w:eastAsia="Times New Roman"/>
          <w:sz w:val="18"/>
        </w:rPr>
        <w:t>10</w:t>
      </w:r>
      <w:r>
        <w:rPr>
          <w:rFonts w:ascii="Times New Roman" w:hAnsi="Times New Roman" w:eastAsia="Times New Roman"/>
          <w:spacing w:val="-3"/>
          <w:sz w:val="18"/>
        </w:rPr>
        <w:t> </w:t>
      </w:r>
      <w:r>
        <w:rPr>
          <w:spacing w:val="-10"/>
          <w:sz w:val="18"/>
        </w:rPr>
        <w:t>秒钟后，室温静置 </w:t>
      </w:r>
      <w:r>
        <w:rPr>
          <w:rFonts w:ascii="Times New Roman" w:hAnsi="Times New Roman" w:eastAsia="Times New Roman"/>
          <w:sz w:val="18"/>
        </w:rPr>
        <w:t>10</w:t>
      </w:r>
      <w:r>
        <w:rPr>
          <w:rFonts w:ascii="Times New Roman" w:hAnsi="Times New Roman" w:eastAsia="Times New Roman"/>
          <w:spacing w:val="37"/>
          <w:sz w:val="18"/>
        </w:rPr>
        <w:t> </w:t>
      </w:r>
      <w:r>
        <w:rPr>
          <w:spacing w:val="-3"/>
          <w:sz w:val="18"/>
        </w:rPr>
        <w:t>分钟；</w:t>
      </w:r>
    </w:p>
    <w:p>
      <w:pPr>
        <w:pStyle w:val="ListParagraph"/>
        <w:numPr>
          <w:ilvl w:val="2"/>
          <w:numId w:val="4"/>
        </w:numPr>
        <w:tabs>
          <w:tab w:pos="824" w:val="left" w:leader="none"/>
        </w:tabs>
        <w:spacing w:line="180" w:lineRule="exact" w:before="0" w:after="0"/>
        <w:ind w:left="824" w:right="0" w:hanging="435"/>
        <w:jc w:val="left"/>
        <w:rPr>
          <w:sz w:val="18"/>
        </w:rPr>
      </w:pPr>
      <w:r>
        <w:rPr>
          <w:spacing w:val="-5"/>
          <w:sz w:val="18"/>
        </w:rPr>
        <w:t>瞬时离心后将离心管置于磁珠分离器上，</w:t>
      </w:r>
      <w:r>
        <w:rPr>
          <w:rFonts w:ascii="Times New Roman" w:eastAsia="Times New Roman"/>
          <w:spacing w:val="-3"/>
          <w:sz w:val="18"/>
        </w:rPr>
        <w:t>3 </w:t>
      </w:r>
      <w:r>
        <w:rPr>
          <w:spacing w:val="-5"/>
          <w:sz w:val="18"/>
        </w:rPr>
        <w:t>分钟后缓慢将溶液吸出</w:t>
      </w:r>
      <w:r>
        <w:rPr>
          <w:spacing w:val="-3"/>
          <w:sz w:val="18"/>
        </w:rPr>
        <w:t>（</w:t>
      </w:r>
      <w:r>
        <w:rPr>
          <w:spacing w:val="-5"/>
          <w:sz w:val="18"/>
        </w:rPr>
        <w:t>注意不要碰到吸附于管壁的棕色物</w:t>
      </w:r>
      <w:r>
        <w:rPr>
          <w:spacing w:val="-3"/>
          <w:sz w:val="18"/>
        </w:rPr>
        <w:t>）；</w:t>
      </w:r>
    </w:p>
    <w:p>
      <w:pPr>
        <w:pStyle w:val="ListParagraph"/>
        <w:numPr>
          <w:ilvl w:val="2"/>
          <w:numId w:val="4"/>
        </w:numPr>
        <w:tabs>
          <w:tab w:pos="824" w:val="left" w:leader="none"/>
        </w:tabs>
        <w:spacing w:line="180" w:lineRule="exact" w:before="0" w:after="0"/>
        <w:ind w:left="824" w:right="0" w:hanging="435"/>
        <w:jc w:val="left"/>
        <w:rPr>
          <w:sz w:val="18"/>
        </w:rPr>
      </w:pPr>
      <w:r>
        <w:rPr>
          <w:spacing w:val="-14"/>
          <w:sz w:val="18"/>
        </w:rPr>
        <w:t>每管加入 </w:t>
      </w:r>
      <w:r>
        <w:rPr>
          <w:rFonts w:ascii="Times New Roman" w:hAnsi="Times New Roman" w:eastAsia="Times New Roman"/>
          <w:spacing w:val="-3"/>
          <w:sz w:val="18"/>
        </w:rPr>
        <w:t>600μl</w:t>
      </w:r>
      <w:r>
        <w:rPr>
          <w:rFonts w:ascii="Times New Roman" w:hAnsi="Times New Roman" w:eastAsia="Times New Roman"/>
          <w:spacing w:val="-4"/>
          <w:sz w:val="18"/>
        </w:rPr>
        <w:t> </w:t>
      </w:r>
      <w:r>
        <w:rPr>
          <w:rFonts w:ascii="Times New Roman" w:hAnsi="Times New Roman" w:eastAsia="Times New Roman"/>
          <w:sz w:val="18"/>
        </w:rPr>
        <w:t>DNA</w:t>
      </w:r>
      <w:r>
        <w:rPr>
          <w:rFonts w:ascii="Times New Roman" w:hAnsi="Times New Roman" w:eastAsia="Times New Roman"/>
          <w:spacing w:val="-5"/>
          <w:sz w:val="18"/>
        </w:rPr>
        <w:t> </w:t>
      </w:r>
      <w:r>
        <w:rPr>
          <w:spacing w:val="-14"/>
          <w:sz w:val="18"/>
        </w:rPr>
        <w:t>提取溶液 </w:t>
      </w:r>
      <w:r>
        <w:rPr>
          <w:rFonts w:ascii="Times New Roman" w:hAnsi="Times New Roman" w:eastAsia="Times New Roman"/>
          <w:sz w:val="18"/>
        </w:rPr>
        <w:t>3</w:t>
      </w:r>
      <w:r>
        <w:rPr>
          <w:rFonts w:ascii="Times New Roman" w:hAnsi="Times New Roman" w:eastAsia="Times New Roman"/>
          <w:spacing w:val="-3"/>
          <w:sz w:val="18"/>
        </w:rPr>
        <w:t> </w:t>
      </w:r>
      <w:r>
        <w:rPr>
          <w:spacing w:val="-25"/>
          <w:sz w:val="18"/>
        </w:rPr>
        <w:t>和 </w:t>
      </w:r>
      <w:r>
        <w:rPr>
          <w:rFonts w:ascii="Times New Roman" w:hAnsi="Times New Roman" w:eastAsia="Times New Roman"/>
          <w:spacing w:val="-3"/>
          <w:sz w:val="18"/>
        </w:rPr>
        <w:t>200μl</w:t>
      </w:r>
      <w:r>
        <w:rPr>
          <w:rFonts w:ascii="Times New Roman" w:hAnsi="Times New Roman" w:eastAsia="Times New Roman"/>
          <w:spacing w:val="-4"/>
          <w:sz w:val="18"/>
        </w:rPr>
        <w:t> </w:t>
      </w:r>
      <w:r>
        <w:rPr>
          <w:rFonts w:ascii="Times New Roman" w:hAnsi="Times New Roman" w:eastAsia="Times New Roman"/>
          <w:sz w:val="18"/>
        </w:rPr>
        <w:t>DNA</w:t>
      </w:r>
      <w:r>
        <w:rPr>
          <w:rFonts w:ascii="Times New Roman" w:hAnsi="Times New Roman" w:eastAsia="Times New Roman"/>
          <w:spacing w:val="-5"/>
          <w:sz w:val="18"/>
        </w:rPr>
        <w:t> </w:t>
      </w:r>
      <w:r>
        <w:rPr>
          <w:spacing w:val="-14"/>
          <w:sz w:val="18"/>
        </w:rPr>
        <w:t>提取溶液 </w:t>
      </w:r>
      <w:r>
        <w:rPr>
          <w:rFonts w:ascii="Times New Roman" w:hAnsi="Times New Roman" w:eastAsia="Times New Roman"/>
          <w:spacing w:val="-4"/>
          <w:sz w:val="18"/>
        </w:rPr>
        <w:t>4</w:t>
      </w:r>
      <w:r>
        <w:rPr>
          <w:spacing w:val="-12"/>
          <w:sz w:val="18"/>
        </w:rPr>
        <w:t>，震荡混匀 </w:t>
      </w:r>
      <w:r>
        <w:rPr>
          <w:rFonts w:ascii="Times New Roman" w:hAnsi="Times New Roman" w:eastAsia="Times New Roman"/>
          <w:sz w:val="18"/>
        </w:rPr>
        <w:t>5</w:t>
      </w:r>
      <w:r>
        <w:rPr>
          <w:rFonts w:ascii="Times New Roman" w:hAnsi="Times New Roman" w:eastAsia="Times New Roman"/>
          <w:spacing w:val="-3"/>
          <w:sz w:val="18"/>
        </w:rPr>
        <w:t> </w:t>
      </w:r>
      <w:r>
        <w:rPr>
          <w:spacing w:val="-5"/>
          <w:sz w:val="18"/>
        </w:rPr>
        <w:t>秒钟</w:t>
      </w:r>
      <w:r>
        <w:rPr>
          <w:rFonts w:ascii="Times New Roman" w:hAnsi="Times New Roman" w:eastAsia="Times New Roman"/>
          <w:spacing w:val="19"/>
          <w:sz w:val="18"/>
        </w:rPr>
        <w:t>, </w:t>
      </w:r>
      <w:r>
        <w:rPr>
          <w:spacing w:val="-5"/>
          <w:sz w:val="18"/>
        </w:rPr>
        <w:t>瞬时离心后将离心管再次置于磁珠分离器上；</w:t>
      </w:r>
    </w:p>
    <w:p>
      <w:pPr>
        <w:pStyle w:val="ListParagraph"/>
        <w:numPr>
          <w:ilvl w:val="2"/>
          <w:numId w:val="4"/>
        </w:numPr>
        <w:tabs>
          <w:tab w:pos="824" w:val="left" w:leader="none"/>
        </w:tabs>
        <w:spacing w:line="187" w:lineRule="auto" w:before="15" w:after="0"/>
        <w:ind w:left="740" w:right="200" w:hanging="353"/>
        <w:jc w:val="left"/>
        <w:rPr>
          <w:sz w:val="18"/>
        </w:rPr>
      </w:pPr>
      <w:r>
        <w:rPr>
          <w:spacing w:val="-26"/>
          <w:sz w:val="18"/>
        </w:rPr>
        <w:t>约 </w:t>
      </w:r>
      <w:r>
        <w:rPr>
          <w:rFonts w:ascii="Times New Roman" w:eastAsia="Times New Roman"/>
          <w:sz w:val="18"/>
        </w:rPr>
        <w:t>3</w:t>
      </w:r>
      <w:r>
        <w:rPr>
          <w:rFonts w:ascii="Times New Roman" w:eastAsia="Times New Roman"/>
          <w:spacing w:val="-3"/>
          <w:sz w:val="18"/>
        </w:rPr>
        <w:t> </w:t>
      </w:r>
      <w:r>
        <w:rPr>
          <w:spacing w:val="-11"/>
          <w:sz w:val="18"/>
        </w:rPr>
        <w:t>分钟后，上清液分为两层，将吸头插入离心管底部，从底部开始缓慢将液体完全吸出丢弃，静置 </w:t>
      </w:r>
      <w:r>
        <w:rPr>
          <w:rFonts w:ascii="Times New Roman" w:eastAsia="Times New Roman"/>
          <w:sz w:val="18"/>
        </w:rPr>
        <w:t>1</w:t>
      </w:r>
      <w:r>
        <w:rPr>
          <w:rFonts w:ascii="Times New Roman" w:eastAsia="Times New Roman"/>
          <w:spacing w:val="-3"/>
          <w:sz w:val="18"/>
        </w:rPr>
        <w:t> </w:t>
      </w:r>
      <w:r>
        <w:rPr>
          <w:spacing w:val="-5"/>
          <w:sz w:val="18"/>
        </w:rPr>
        <w:t>分钟后将管底残余液体完全吸出丢弃。把所有离心管转移至离心管架上。</w:t>
      </w:r>
    </w:p>
    <w:p>
      <w:pPr>
        <w:pStyle w:val="ListParagraph"/>
        <w:numPr>
          <w:ilvl w:val="2"/>
          <w:numId w:val="4"/>
        </w:numPr>
        <w:tabs>
          <w:tab w:pos="827" w:val="left" w:leader="none"/>
        </w:tabs>
        <w:spacing w:line="166" w:lineRule="exact" w:before="0" w:after="0"/>
        <w:ind w:left="826" w:right="0" w:hanging="438"/>
        <w:jc w:val="left"/>
        <w:rPr>
          <w:rFonts w:ascii="Times New Roman" w:hAnsi="Times New Roman" w:eastAsia="Times New Roman"/>
          <w:sz w:val="18"/>
        </w:rPr>
      </w:pPr>
      <w:r>
        <w:rPr>
          <w:spacing w:val="-17"/>
          <w:sz w:val="18"/>
        </w:rPr>
        <w:t>加入 </w:t>
      </w:r>
      <w:r>
        <w:rPr>
          <w:rFonts w:ascii="Times New Roman" w:hAnsi="Times New Roman" w:eastAsia="Times New Roman"/>
          <w:sz w:val="18"/>
        </w:rPr>
        <w:t>40μl</w:t>
      </w:r>
      <w:r>
        <w:rPr>
          <w:rFonts w:ascii="Times New Roman" w:hAnsi="Times New Roman" w:eastAsia="Times New Roman"/>
          <w:spacing w:val="-3"/>
          <w:sz w:val="18"/>
        </w:rPr>
        <w:t> </w:t>
      </w:r>
      <w:r>
        <w:rPr>
          <w:rFonts w:ascii="Times New Roman" w:hAnsi="Times New Roman" w:eastAsia="Times New Roman"/>
          <w:sz w:val="18"/>
        </w:rPr>
        <w:t>DNA</w:t>
      </w:r>
      <w:r>
        <w:rPr>
          <w:rFonts w:ascii="Times New Roman" w:hAnsi="Times New Roman" w:eastAsia="Times New Roman"/>
          <w:spacing w:val="-4"/>
          <w:sz w:val="18"/>
        </w:rPr>
        <w:t> </w:t>
      </w:r>
      <w:r>
        <w:rPr>
          <w:spacing w:val="-5"/>
          <w:sz w:val="18"/>
        </w:rPr>
        <w:t>洗脱液，将离心管壁上磁珠洗脱到管底，吸打混匀 </w:t>
      </w:r>
      <w:r>
        <w:rPr>
          <w:rFonts w:ascii="Times New Roman" w:hAnsi="Times New Roman" w:eastAsia="Times New Roman"/>
          <w:sz w:val="18"/>
        </w:rPr>
        <w:t>3~4</w:t>
      </w:r>
      <w:r>
        <w:rPr>
          <w:rFonts w:ascii="Times New Roman" w:hAnsi="Times New Roman" w:eastAsia="Times New Roman"/>
          <w:spacing w:val="-2"/>
          <w:sz w:val="18"/>
        </w:rPr>
        <w:t> </w:t>
      </w:r>
      <w:r>
        <w:rPr>
          <w:spacing w:val="-10"/>
          <w:sz w:val="18"/>
        </w:rPr>
        <w:t>次，室温静置 </w:t>
      </w:r>
      <w:r>
        <w:rPr>
          <w:rFonts w:ascii="Times New Roman" w:hAnsi="Times New Roman" w:eastAsia="Times New Roman"/>
          <w:sz w:val="18"/>
        </w:rPr>
        <w:t>10</w:t>
      </w:r>
      <w:r>
        <w:rPr>
          <w:rFonts w:ascii="Times New Roman" w:hAnsi="Times New Roman" w:eastAsia="Times New Roman"/>
          <w:spacing w:val="-3"/>
          <w:sz w:val="18"/>
        </w:rPr>
        <w:t> </w:t>
      </w:r>
      <w:r>
        <w:rPr>
          <w:spacing w:val="-6"/>
          <w:sz w:val="18"/>
        </w:rPr>
        <w:t>分钟后将离心管再次置于分离器上 </w:t>
      </w:r>
      <w:r>
        <w:rPr>
          <w:rFonts w:ascii="Times New Roman" w:hAnsi="Times New Roman" w:eastAsia="Times New Roman"/>
          <w:sz w:val="18"/>
        </w:rPr>
        <w:t>3</w:t>
      </w:r>
    </w:p>
    <w:p>
      <w:pPr>
        <w:pStyle w:val="BodyText"/>
        <w:spacing w:line="180" w:lineRule="exact"/>
        <w:ind w:left="740"/>
      </w:pPr>
      <w:r>
        <w:rPr/>
        <w:t>分钟，然后将洗脱下来的</w:t>
      </w:r>
      <w:r>
        <w:rPr>
          <w:rFonts w:ascii="Times New Roman" w:eastAsia="Times New Roman"/>
        </w:rPr>
        <w:t>DNA </w:t>
      </w:r>
      <w:r>
        <w:rPr/>
        <w:t>放于新的 </w:t>
      </w:r>
      <w:r>
        <w:rPr>
          <w:rFonts w:ascii="Times New Roman" w:eastAsia="Times New Roman"/>
        </w:rPr>
        <w:t>1.5 ml </w:t>
      </w:r>
      <w:r>
        <w:rPr/>
        <w:t>灭菌离心管中。</w:t>
      </w:r>
    </w:p>
    <w:p>
      <w:pPr>
        <w:pStyle w:val="ListParagraph"/>
        <w:numPr>
          <w:ilvl w:val="1"/>
          <w:numId w:val="4"/>
        </w:numPr>
        <w:tabs>
          <w:tab w:pos="695" w:val="left" w:leader="none"/>
        </w:tabs>
        <w:spacing w:line="205" w:lineRule="exact" w:before="0" w:after="0"/>
        <w:ind w:left="694" w:right="0" w:hanging="306"/>
        <w:jc w:val="left"/>
        <w:rPr>
          <w:sz w:val="18"/>
        </w:rPr>
      </w:pPr>
      <w:r>
        <w:rPr>
          <w:spacing w:val="-3"/>
          <w:sz w:val="18"/>
        </w:rPr>
        <w:t>加样</w:t>
      </w:r>
    </w:p>
    <w:p>
      <w:pPr>
        <w:spacing w:after="0" w:line="205" w:lineRule="exact"/>
        <w:jc w:val="left"/>
        <w:rPr>
          <w:sz w:val="18"/>
        </w:rPr>
        <w:sectPr>
          <w:type w:val="continuous"/>
          <w:pgSz w:w="11910" w:h="16840"/>
          <w:pgMar w:top="660" w:bottom="620" w:left="520" w:right="700"/>
        </w:sectPr>
      </w:pPr>
    </w:p>
    <w:p>
      <w:pPr>
        <w:pStyle w:val="BodyText"/>
        <w:spacing w:before="5"/>
        <w:ind w:left="0"/>
        <w:rPr>
          <w:sz w:val="3"/>
        </w:rPr>
      </w:pPr>
    </w:p>
    <w:p>
      <w:pPr>
        <w:pStyle w:val="BodyText"/>
        <w:spacing w:line="20" w:lineRule="exact"/>
        <w:ind w:left="379"/>
        <w:rPr>
          <w:sz w:val="2"/>
        </w:rPr>
      </w:pPr>
      <w:r>
        <w:rPr>
          <w:sz w:val="2"/>
        </w:rPr>
        <w:pict>
          <v:group style="width:504.6pt;height:.75pt;mso-position-horizontal-relative:char;mso-position-vertical-relative:line" coordorigin="0,0" coordsize="10092,15">
            <v:line style="position:absolute" from="0,7" to="10092,7" stroked="true" strokeweight=".72pt" strokecolor="#000000">
              <v:stroke dashstyle="solid"/>
            </v:line>
          </v:group>
        </w:pict>
      </w:r>
      <w:r>
        <w:rPr>
          <w:sz w:val="2"/>
        </w:rPr>
      </w:r>
    </w:p>
    <w:p>
      <w:pPr>
        <w:pStyle w:val="ListParagraph"/>
        <w:numPr>
          <w:ilvl w:val="2"/>
          <w:numId w:val="4"/>
        </w:numPr>
        <w:tabs>
          <w:tab w:pos="824" w:val="left" w:leader="none"/>
        </w:tabs>
        <w:spacing w:line="166" w:lineRule="exact" w:before="0" w:after="0"/>
        <w:ind w:left="824" w:right="0" w:hanging="435"/>
        <w:jc w:val="left"/>
        <w:rPr>
          <w:sz w:val="18"/>
        </w:rPr>
      </w:pPr>
      <w:r>
        <w:rPr>
          <w:spacing w:val="-7"/>
          <w:sz w:val="18"/>
        </w:rPr>
        <w:t>根据待测样本、阴性对照、阳性对照的数量，每个反应管加入 </w:t>
      </w:r>
      <w:r>
        <w:rPr>
          <w:rFonts w:ascii="Times New Roman" w:hAnsi="Times New Roman" w:eastAsia="Times New Roman"/>
          <w:sz w:val="18"/>
        </w:rPr>
        <w:t>40μlPCR</w:t>
      </w:r>
      <w:r>
        <w:rPr>
          <w:rFonts w:ascii="Times New Roman" w:hAnsi="Times New Roman" w:eastAsia="Times New Roman"/>
          <w:spacing w:val="-5"/>
          <w:sz w:val="18"/>
        </w:rPr>
        <w:t> </w:t>
      </w:r>
      <w:r>
        <w:rPr>
          <w:spacing w:val="-4"/>
          <w:sz w:val="18"/>
        </w:rPr>
        <w:t>混合液。</w:t>
      </w:r>
    </w:p>
    <w:p>
      <w:pPr>
        <w:pStyle w:val="ListParagraph"/>
        <w:numPr>
          <w:ilvl w:val="2"/>
          <w:numId w:val="4"/>
        </w:numPr>
        <w:tabs>
          <w:tab w:pos="824" w:val="left" w:leader="none"/>
        </w:tabs>
        <w:spacing w:line="180" w:lineRule="exact" w:before="0" w:after="0"/>
        <w:ind w:left="824" w:right="0" w:hanging="435"/>
        <w:jc w:val="left"/>
        <w:rPr>
          <w:sz w:val="18"/>
        </w:rPr>
      </w:pPr>
      <w:r>
        <w:rPr>
          <w:sz w:val="18"/>
        </w:rPr>
        <w:t>吸取已处理的样本</w:t>
      </w:r>
      <w:r>
        <w:rPr>
          <w:rFonts w:ascii="Times New Roman" w:hAnsi="Times New Roman" w:eastAsia="Times New Roman"/>
          <w:spacing w:val="-3"/>
          <w:sz w:val="18"/>
        </w:rPr>
        <w:t>DNA</w:t>
      </w:r>
      <w:r>
        <w:rPr>
          <w:spacing w:val="-9"/>
          <w:sz w:val="18"/>
        </w:rPr>
        <w:t>、阴性对照、阳性对照各 </w:t>
      </w:r>
      <w:r>
        <w:rPr>
          <w:rFonts w:ascii="Times New Roman" w:hAnsi="Times New Roman" w:eastAsia="Times New Roman"/>
          <w:sz w:val="18"/>
        </w:rPr>
        <w:t>10μl</w:t>
      </w:r>
      <w:r>
        <w:rPr>
          <w:rFonts w:ascii="Times New Roman" w:hAnsi="Times New Roman" w:eastAsia="Times New Roman"/>
          <w:spacing w:val="-4"/>
          <w:sz w:val="18"/>
        </w:rPr>
        <w:t> </w:t>
      </w:r>
      <w:r>
        <w:rPr>
          <w:spacing w:val="17"/>
          <w:sz w:val="18"/>
        </w:rPr>
        <w:t>加入</w:t>
      </w:r>
      <w:r>
        <w:rPr>
          <w:rFonts w:ascii="Times New Roman" w:hAnsi="Times New Roman" w:eastAsia="Times New Roman"/>
          <w:sz w:val="18"/>
        </w:rPr>
        <w:t>PCR</w:t>
      </w:r>
      <w:r>
        <w:rPr>
          <w:rFonts w:ascii="Times New Roman" w:hAnsi="Times New Roman" w:eastAsia="Times New Roman"/>
          <w:spacing w:val="-5"/>
          <w:sz w:val="18"/>
        </w:rPr>
        <w:t> </w:t>
      </w:r>
      <w:r>
        <w:rPr>
          <w:spacing w:val="-5"/>
          <w:sz w:val="18"/>
        </w:rPr>
        <w:t>混合液中，盖好管盖，转移到扩增区。</w:t>
      </w:r>
    </w:p>
    <w:p>
      <w:pPr>
        <w:pStyle w:val="ListParagraph"/>
        <w:numPr>
          <w:ilvl w:val="0"/>
          <w:numId w:val="4"/>
        </w:numPr>
        <w:tabs>
          <w:tab w:pos="560" w:val="left" w:leader="none"/>
        </w:tabs>
        <w:spacing w:line="180" w:lineRule="exact" w:before="0" w:after="0"/>
        <w:ind w:left="560" w:right="0" w:hanging="173"/>
        <w:jc w:val="left"/>
        <w:rPr>
          <w:sz w:val="18"/>
        </w:rPr>
      </w:pPr>
      <w:r>
        <w:rPr>
          <w:rFonts w:ascii="Times New Roman" w:eastAsia="Times New Roman"/>
          <w:b/>
          <w:sz w:val="18"/>
        </w:rPr>
        <w:t>PCR</w:t>
      </w:r>
      <w:r>
        <w:rPr>
          <w:rFonts w:ascii="Times New Roman" w:eastAsia="Times New Roman"/>
          <w:b/>
          <w:spacing w:val="35"/>
          <w:sz w:val="18"/>
        </w:rPr>
        <w:t> </w:t>
      </w:r>
      <w:r>
        <w:rPr>
          <w:b/>
          <w:spacing w:val="-4"/>
          <w:sz w:val="18"/>
        </w:rPr>
        <w:t>扩增</w:t>
      </w:r>
      <w:r>
        <w:rPr>
          <w:b/>
          <w:spacing w:val="-3"/>
          <w:sz w:val="18"/>
        </w:rPr>
        <w:t>（</w:t>
      </w:r>
      <w:r>
        <w:rPr>
          <w:b/>
          <w:spacing w:val="-5"/>
          <w:sz w:val="18"/>
        </w:rPr>
        <w:t>在扩增区进行</w:t>
      </w:r>
      <w:r>
        <w:rPr>
          <w:b/>
          <w:spacing w:val="-4"/>
          <w:sz w:val="18"/>
        </w:rPr>
        <w:t>）</w:t>
      </w:r>
      <w:r>
        <w:rPr>
          <w:spacing w:val="-4"/>
          <w:sz w:val="18"/>
        </w:rPr>
        <w:t>（</w:t>
      </w:r>
      <w:r>
        <w:rPr>
          <w:spacing w:val="-5"/>
          <w:sz w:val="18"/>
        </w:rPr>
        <w:t>请参照各仪器使用说明书进行设置</w:t>
      </w:r>
      <w:r>
        <w:rPr>
          <w:sz w:val="18"/>
        </w:rPr>
        <w:t>）</w:t>
      </w:r>
    </w:p>
    <w:p>
      <w:pPr>
        <w:pStyle w:val="ListParagraph"/>
        <w:numPr>
          <w:ilvl w:val="1"/>
          <w:numId w:val="4"/>
        </w:numPr>
        <w:tabs>
          <w:tab w:pos="695" w:val="left" w:leader="none"/>
        </w:tabs>
        <w:spacing w:line="180" w:lineRule="exact" w:before="0" w:after="0"/>
        <w:ind w:left="694" w:right="0" w:hanging="306"/>
        <w:jc w:val="left"/>
        <w:rPr>
          <w:sz w:val="18"/>
        </w:rPr>
      </w:pPr>
      <w:r>
        <w:rPr>
          <w:spacing w:val="-5"/>
          <w:sz w:val="18"/>
        </w:rPr>
        <w:t>将</w:t>
      </w:r>
      <w:r>
        <w:rPr>
          <w:rFonts w:ascii="Times New Roman" w:eastAsia="Times New Roman"/>
          <w:spacing w:val="-3"/>
          <w:sz w:val="18"/>
        </w:rPr>
        <w:t>PCR</w:t>
      </w:r>
      <w:r>
        <w:rPr>
          <w:spacing w:val="-5"/>
          <w:sz w:val="18"/>
        </w:rPr>
        <w:t>反应管放入扩增仪样品槽，按对应顺序设置阴性对照、阳性对照以及未知样本，并设置样本名称。</w:t>
      </w:r>
    </w:p>
    <w:p>
      <w:pPr>
        <w:pStyle w:val="ListParagraph"/>
        <w:numPr>
          <w:ilvl w:val="1"/>
          <w:numId w:val="4"/>
        </w:numPr>
        <w:tabs>
          <w:tab w:pos="695" w:val="left" w:leader="none"/>
        </w:tabs>
        <w:spacing w:line="180" w:lineRule="exact" w:before="0" w:after="0"/>
        <w:ind w:left="694" w:right="0" w:hanging="306"/>
        <w:jc w:val="left"/>
        <w:rPr>
          <w:rFonts w:ascii="Times New Roman" w:eastAsia="Times New Roman"/>
          <w:sz w:val="18"/>
        </w:rPr>
      </w:pPr>
      <w:r>
        <w:rPr>
          <w:spacing w:val="-8"/>
          <w:sz w:val="18"/>
        </w:rPr>
        <w:t>荧光检测通道选择</w:t>
      </w:r>
      <w:r>
        <w:rPr>
          <w:b/>
          <w:spacing w:val="-3"/>
          <w:sz w:val="18"/>
        </w:rPr>
        <w:t>（</w:t>
      </w:r>
      <w:r>
        <w:rPr>
          <w:spacing w:val="-3"/>
          <w:sz w:val="18"/>
        </w:rPr>
        <w:t>以</w:t>
      </w:r>
      <w:r>
        <w:rPr>
          <w:rFonts w:ascii="Times New Roman" w:eastAsia="Times New Roman"/>
          <w:sz w:val="18"/>
        </w:rPr>
        <w:t>ABI</w:t>
      </w:r>
      <w:r>
        <w:rPr>
          <w:rFonts w:ascii="Times New Roman" w:eastAsia="Times New Roman"/>
          <w:spacing w:val="-6"/>
          <w:sz w:val="18"/>
        </w:rPr>
        <w:t> </w:t>
      </w:r>
      <w:r>
        <w:rPr>
          <w:rFonts w:ascii="Times New Roman" w:eastAsia="Times New Roman"/>
          <w:spacing w:val="-3"/>
          <w:sz w:val="18"/>
        </w:rPr>
        <w:t>7500</w:t>
      </w:r>
      <w:r>
        <w:rPr>
          <w:spacing w:val="-4"/>
          <w:sz w:val="18"/>
        </w:rPr>
        <w:t>仪器为例</w:t>
      </w:r>
      <w:r>
        <w:rPr>
          <w:b/>
          <w:spacing w:val="-17"/>
          <w:sz w:val="18"/>
        </w:rPr>
        <w:t>）</w:t>
      </w:r>
      <w:r>
        <w:rPr>
          <w:spacing w:val="-17"/>
          <w:sz w:val="18"/>
        </w:rPr>
        <w:t>：</w:t>
      </w:r>
      <w:r>
        <w:rPr>
          <w:rFonts w:ascii="Times New Roman" w:eastAsia="Times New Roman"/>
          <w:spacing w:val="-17"/>
          <w:sz w:val="18"/>
        </w:rPr>
        <w:t>1</w:t>
      </w:r>
      <w:r>
        <w:rPr>
          <w:spacing w:val="-17"/>
          <w:sz w:val="18"/>
        </w:rPr>
        <w:t>）</w:t>
      </w:r>
      <w:r>
        <w:rPr>
          <w:spacing w:val="-4"/>
          <w:sz w:val="18"/>
        </w:rPr>
        <w:t>选择</w:t>
      </w:r>
      <w:r>
        <w:rPr>
          <w:rFonts w:ascii="Times New Roman" w:eastAsia="Times New Roman"/>
          <w:spacing w:val="-5"/>
          <w:sz w:val="18"/>
        </w:rPr>
        <w:t>FAM</w:t>
      </w:r>
      <w:r>
        <w:rPr>
          <w:spacing w:val="-5"/>
          <w:sz w:val="18"/>
        </w:rPr>
        <w:t>（</w:t>
      </w:r>
      <w:r>
        <w:rPr>
          <w:rFonts w:ascii="Times New Roman" w:eastAsia="Times New Roman"/>
          <w:spacing w:val="-5"/>
          <w:sz w:val="18"/>
        </w:rPr>
        <w:t>Reportere</w:t>
      </w:r>
      <w:r>
        <w:rPr>
          <w:rFonts w:ascii="Times New Roman" w:eastAsia="Times New Roman"/>
          <w:b/>
          <w:spacing w:val="-5"/>
          <w:sz w:val="18"/>
        </w:rPr>
        <w:t>:</w:t>
      </w:r>
      <w:r>
        <w:rPr>
          <w:rFonts w:ascii="Times New Roman" w:eastAsia="Times New Roman"/>
          <w:spacing w:val="-5"/>
          <w:sz w:val="18"/>
        </w:rPr>
        <w:t>FAM</w:t>
      </w:r>
      <w:r>
        <w:rPr>
          <w:rFonts w:ascii="Times New Roman" w:eastAsia="Times New Roman"/>
          <w:spacing w:val="-6"/>
          <w:sz w:val="18"/>
        </w:rPr>
        <w:t>, </w:t>
      </w:r>
      <w:r>
        <w:rPr>
          <w:rFonts w:ascii="Times New Roman" w:eastAsia="Times New Roman"/>
          <w:spacing w:val="-4"/>
          <w:sz w:val="18"/>
        </w:rPr>
        <w:t>Quencher</w:t>
      </w:r>
      <w:r>
        <w:rPr>
          <w:rFonts w:ascii="Times New Roman" w:eastAsia="Times New Roman"/>
          <w:b/>
          <w:spacing w:val="-4"/>
          <w:sz w:val="18"/>
        </w:rPr>
        <w:t>:</w:t>
      </w:r>
      <w:r>
        <w:rPr>
          <w:rFonts w:ascii="Times New Roman" w:eastAsia="Times New Roman"/>
          <w:spacing w:val="-4"/>
          <w:sz w:val="18"/>
        </w:rPr>
        <w:t>None</w:t>
      </w:r>
      <w:r>
        <w:rPr>
          <w:spacing w:val="-4"/>
          <w:sz w:val="18"/>
        </w:rPr>
        <w:t>）</w:t>
      </w:r>
      <w:r>
        <w:rPr>
          <w:spacing w:val="-7"/>
          <w:sz w:val="18"/>
        </w:rPr>
        <w:t>检测通道；</w:t>
      </w:r>
      <w:r>
        <w:rPr>
          <w:rFonts w:ascii="Times New Roman" w:eastAsia="Times New Roman"/>
          <w:spacing w:val="-15"/>
          <w:sz w:val="18"/>
        </w:rPr>
        <w:t>2</w:t>
      </w:r>
      <w:r>
        <w:rPr>
          <w:spacing w:val="-15"/>
          <w:sz w:val="18"/>
        </w:rPr>
        <w:t>）</w:t>
      </w:r>
      <w:r>
        <w:rPr>
          <w:spacing w:val="-5"/>
          <w:sz w:val="18"/>
        </w:rPr>
        <w:t>乙型肝炎病毒</w:t>
      </w:r>
      <w:r>
        <w:rPr>
          <w:rFonts w:ascii="Times New Roman" w:eastAsia="Times New Roman"/>
          <w:sz w:val="18"/>
        </w:rPr>
        <w:t>YMDD</w:t>
      </w:r>
    </w:p>
    <w:p>
      <w:pPr>
        <w:pStyle w:val="BodyText"/>
        <w:spacing w:line="180" w:lineRule="exact"/>
        <w:ind w:left="737"/>
      </w:pPr>
      <w:r>
        <w:rPr/>
        <w:t>内标选择</w:t>
      </w:r>
      <w:r>
        <w:rPr>
          <w:rFonts w:ascii="Times New Roman" w:eastAsia="Times New Roman"/>
        </w:rPr>
        <w:t>HEX</w:t>
      </w:r>
      <w:r>
        <w:rPr/>
        <w:t>或</w:t>
      </w:r>
      <w:r>
        <w:rPr>
          <w:rFonts w:ascii="Times New Roman" w:eastAsia="Times New Roman"/>
        </w:rPr>
        <w:t>VIC</w:t>
      </w:r>
      <w:r>
        <w:rPr/>
        <w:t>通道检测（</w:t>
      </w:r>
      <w:r>
        <w:rPr>
          <w:rFonts w:ascii="Times New Roman" w:eastAsia="Times New Roman"/>
        </w:rPr>
        <w:t>Reporter</w:t>
      </w:r>
      <w:r>
        <w:rPr>
          <w:rFonts w:ascii="Times New Roman" w:eastAsia="Times New Roman"/>
          <w:b/>
        </w:rPr>
        <w:t>:</w:t>
      </w:r>
      <w:r>
        <w:rPr>
          <w:rFonts w:ascii="Times New Roman" w:eastAsia="Times New Roman"/>
        </w:rPr>
        <w:t>VIC, Quencher</w:t>
      </w:r>
      <w:r>
        <w:rPr>
          <w:rFonts w:ascii="Times New Roman" w:eastAsia="Times New Roman"/>
          <w:b/>
        </w:rPr>
        <w:t>:</w:t>
      </w:r>
      <w:r>
        <w:rPr>
          <w:rFonts w:ascii="Times New Roman" w:eastAsia="Times New Roman"/>
        </w:rPr>
        <w:t>None</w:t>
      </w:r>
      <w:r>
        <w:rPr/>
        <w:t>）；参比荧光（</w:t>
      </w:r>
      <w:r>
        <w:rPr>
          <w:rFonts w:ascii="Times New Roman" w:eastAsia="Times New Roman"/>
        </w:rPr>
        <w:t>Passive Reference</w:t>
      </w:r>
      <w:r>
        <w:rPr/>
        <w:t>）设置为</w:t>
      </w:r>
      <w:r>
        <w:rPr>
          <w:rFonts w:ascii="Times New Roman" w:eastAsia="Times New Roman"/>
        </w:rPr>
        <w:t>ROX</w:t>
      </w:r>
      <w:r>
        <w:rPr/>
        <w:t>。</w:t>
      </w:r>
    </w:p>
    <w:p>
      <w:pPr>
        <w:pStyle w:val="ListParagraph"/>
        <w:numPr>
          <w:ilvl w:val="1"/>
          <w:numId w:val="4"/>
        </w:numPr>
        <w:tabs>
          <w:tab w:pos="692" w:val="left" w:leader="none"/>
        </w:tabs>
        <w:spacing w:line="205" w:lineRule="exact" w:before="0" w:after="0"/>
        <w:ind w:left="692" w:right="0" w:hanging="305"/>
        <w:jc w:val="left"/>
        <w:rPr>
          <w:sz w:val="18"/>
        </w:rPr>
      </w:pPr>
      <w:r>
        <w:rPr>
          <w:spacing w:val="-5"/>
          <w:sz w:val="18"/>
        </w:rPr>
        <w:t>循环参数设定：</w:t>
      </w:r>
    </w:p>
    <w:tbl>
      <w:tblPr>
        <w:tblW w:w="0" w:type="auto"/>
        <w:jc w:val="left"/>
        <w:tblInd w:w="2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036"/>
        <w:gridCol w:w="898"/>
        <w:gridCol w:w="1116"/>
        <w:gridCol w:w="1440"/>
      </w:tblGrid>
      <w:tr>
        <w:trPr>
          <w:trHeight w:val="197" w:hRule="atLeast"/>
        </w:trPr>
        <w:tc>
          <w:tcPr>
            <w:tcW w:w="3372" w:type="dxa"/>
            <w:gridSpan w:val="2"/>
          </w:tcPr>
          <w:p>
            <w:pPr>
              <w:pStyle w:val="TableParagraph"/>
              <w:spacing w:line="178" w:lineRule="exact"/>
              <w:ind w:left="723"/>
              <w:rPr>
                <w:rFonts w:ascii="宋体" w:eastAsia="宋体" w:hint="eastAsia"/>
                <w:sz w:val="18"/>
              </w:rPr>
            </w:pPr>
            <w:r>
              <w:rPr>
                <w:rFonts w:ascii="宋体" w:eastAsia="宋体" w:hint="eastAsia"/>
                <w:sz w:val="18"/>
              </w:rPr>
              <w:t>步骤</w:t>
            </w:r>
          </w:p>
        </w:tc>
        <w:tc>
          <w:tcPr>
            <w:tcW w:w="898" w:type="dxa"/>
          </w:tcPr>
          <w:p>
            <w:pPr>
              <w:pStyle w:val="TableParagraph"/>
              <w:spacing w:line="178" w:lineRule="exact"/>
              <w:rPr>
                <w:rFonts w:ascii="宋体" w:eastAsia="宋体" w:hint="eastAsia"/>
                <w:sz w:val="18"/>
              </w:rPr>
            </w:pPr>
            <w:r>
              <w:rPr>
                <w:rFonts w:ascii="宋体" w:eastAsia="宋体" w:hint="eastAsia"/>
                <w:sz w:val="18"/>
              </w:rPr>
              <w:t>温度</w:t>
            </w:r>
          </w:p>
        </w:tc>
        <w:tc>
          <w:tcPr>
            <w:tcW w:w="1116" w:type="dxa"/>
          </w:tcPr>
          <w:p>
            <w:pPr>
              <w:pStyle w:val="TableParagraph"/>
              <w:spacing w:line="178" w:lineRule="exact"/>
              <w:rPr>
                <w:rFonts w:ascii="宋体" w:eastAsia="宋体" w:hint="eastAsia"/>
                <w:sz w:val="18"/>
              </w:rPr>
            </w:pPr>
            <w:r>
              <w:rPr>
                <w:rFonts w:ascii="宋体" w:eastAsia="宋体" w:hint="eastAsia"/>
                <w:sz w:val="18"/>
              </w:rPr>
              <w:t>时间</w:t>
            </w:r>
          </w:p>
        </w:tc>
        <w:tc>
          <w:tcPr>
            <w:tcW w:w="1440" w:type="dxa"/>
          </w:tcPr>
          <w:p>
            <w:pPr>
              <w:pStyle w:val="TableParagraph"/>
              <w:spacing w:line="178" w:lineRule="exact"/>
              <w:rPr>
                <w:rFonts w:ascii="宋体" w:eastAsia="宋体" w:hint="eastAsia"/>
                <w:sz w:val="18"/>
              </w:rPr>
            </w:pPr>
            <w:r>
              <w:rPr>
                <w:rFonts w:ascii="宋体" w:eastAsia="宋体" w:hint="eastAsia"/>
                <w:sz w:val="18"/>
              </w:rPr>
              <w:t>循环数</w:t>
            </w:r>
          </w:p>
        </w:tc>
      </w:tr>
      <w:tr>
        <w:trPr>
          <w:trHeight w:val="197" w:hRule="atLeast"/>
        </w:trPr>
        <w:tc>
          <w:tcPr>
            <w:tcW w:w="336" w:type="dxa"/>
          </w:tcPr>
          <w:p>
            <w:pPr>
              <w:pStyle w:val="TableParagraph"/>
              <w:spacing w:line="167" w:lineRule="exact"/>
              <w:rPr>
                <w:sz w:val="18"/>
              </w:rPr>
            </w:pPr>
            <w:r>
              <w:rPr>
                <w:sz w:val="18"/>
              </w:rPr>
              <w:t>1</w:t>
            </w:r>
          </w:p>
        </w:tc>
        <w:tc>
          <w:tcPr>
            <w:tcW w:w="3036" w:type="dxa"/>
          </w:tcPr>
          <w:p>
            <w:pPr>
              <w:pStyle w:val="TableParagraph"/>
              <w:spacing w:line="178" w:lineRule="exact"/>
              <w:rPr>
                <w:rFonts w:ascii="宋体" w:eastAsia="宋体" w:hint="eastAsia"/>
                <w:sz w:val="18"/>
              </w:rPr>
            </w:pPr>
            <w:r>
              <w:rPr>
                <w:sz w:val="18"/>
              </w:rPr>
              <w:t>UNG </w:t>
            </w:r>
            <w:r>
              <w:rPr>
                <w:rFonts w:ascii="宋体" w:eastAsia="宋体" w:hint="eastAsia"/>
                <w:sz w:val="18"/>
              </w:rPr>
              <w:t>酶反应</w:t>
            </w:r>
          </w:p>
        </w:tc>
        <w:tc>
          <w:tcPr>
            <w:tcW w:w="898" w:type="dxa"/>
          </w:tcPr>
          <w:p>
            <w:pPr>
              <w:pStyle w:val="TableParagraph"/>
              <w:spacing w:line="178" w:lineRule="exact"/>
              <w:rPr>
                <w:rFonts w:ascii="宋体" w:hAnsi="宋体"/>
                <w:sz w:val="18"/>
              </w:rPr>
            </w:pPr>
            <w:r>
              <w:rPr>
                <w:sz w:val="18"/>
              </w:rPr>
              <w:t>50</w:t>
            </w:r>
            <w:r>
              <w:rPr>
                <w:rFonts w:ascii="宋体" w:hAnsi="宋体"/>
                <w:sz w:val="18"/>
              </w:rPr>
              <w:t>℃</w:t>
            </w:r>
          </w:p>
        </w:tc>
        <w:tc>
          <w:tcPr>
            <w:tcW w:w="1116" w:type="dxa"/>
          </w:tcPr>
          <w:p>
            <w:pPr>
              <w:pStyle w:val="TableParagraph"/>
              <w:spacing w:line="178" w:lineRule="exact"/>
              <w:rPr>
                <w:rFonts w:ascii="宋体" w:eastAsia="宋体" w:hint="eastAsia"/>
                <w:sz w:val="18"/>
              </w:rPr>
            </w:pPr>
            <w:r>
              <w:rPr>
                <w:sz w:val="18"/>
              </w:rPr>
              <w:t>2 </w:t>
            </w:r>
            <w:r>
              <w:rPr>
                <w:rFonts w:ascii="宋体" w:eastAsia="宋体" w:hint="eastAsia"/>
                <w:sz w:val="18"/>
              </w:rPr>
              <w:t>分钟</w:t>
            </w:r>
          </w:p>
        </w:tc>
        <w:tc>
          <w:tcPr>
            <w:tcW w:w="1440" w:type="dxa"/>
          </w:tcPr>
          <w:p>
            <w:pPr>
              <w:pStyle w:val="TableParagraph"/>
              <w:spacing w:line="167" w:lineRule="exact"/>
              <w:rPr>
                <w:sz w:val="18"/>
              </w:rPr>
            </w:pPr>
            <w:r>
              <w:rPr>
                <w:sz w:val="18"/>
              </w:rPr>
              <w:t>1</w:t>
            </w:r>
          </w:p>
        </w:tc>
      </w:tr>
      <w:tr>
        <w:trPr>
          <w:trHeight w:val="197" w:hRule="atLeast"/>
        </w:trPr>
        <w:tc>
          <w:tcPr>
            <w:tcW w:w="336" w:type="dxa"/>
          </w:tcPr>
          <w:p>
            <w:pPr>
              <w:pStyle w:val="TableParagraph"/>
              <w:spacing w:line="167" w:lineRule="exact"/>
              <w:rPr>
                <w:sz w:val="18"/>
              </w:rPr>
            </w:pPr>
            <w:r>
              <w:rPr>
                <w:sz w:val="18"/>
              </w:rPr>
              <w:t>2</w:t>
            </w:r>
          </w:p>
        </w:tc>
        <w:tc>
          <w:tcPr>
            <w:tcW w:w="3036" w:type="dxa"/>
          </w:tcPr>
          <w:p>
            <w:pPr>
              <w:pStyle w:val="TableParagraph"/>
              <w:spacing w:line="178" w:lineRule="exact"/>
              <w:rPr>
                <w:rFonts w:ascii="宋体" w:eastAsia="宋体" w:hint="eastAsia"/>
                <w:sz w:val="18"/>
              </w:rPr>
            </w:pPr>
            <w:r>
              <w:rPr>
                <w:sz w:val="18"/>
              </w:rPr>
              <w:t>Taq </w:t>
            </w:r>
            <w:r>
              <w:rPr>
                <w:rFonts w:ascii="宋体" w:eastAsia="宋体" w:hint="eastAsia"/>
                <w:sz w:val="18"/>
              </w:rPr>
              <w:t>酶活化</w:t>
            </w:r>
          </w:p>
        </w:tc>
        <w:tc>
          <w:tcPr>
            <w:tcW w:w="898" w:type="dxa"/>
          </w:tcPr>
          <w:p>
            <w:pPr>
              <w:pStyle w:val="TableParagraph"/>
              <w:spacing w:line="178" w:lineRule="exact"/>
              <w:rPr>
                <w:rFonts w:ascii="宋体" w:hAnsi="宋体"/>
                <w:sz w:val="18"/>
              </w:rPr>
            </w:pPr>
            <w:r>
              <w:rPr>
                <w:sz w:val="18"/>
              </w:rPr>
              <w:t>95</w:t>
            </w:r>
            <w:r>
              <w:rPr>
                <w:rFonts w:ascii="宋体" w:hAnsi="宋体"/>
                <w:sz w:val="18"/>
              </w:rPr>
              <w:t>℃</w:t>
            </w:r>
          </w:p>
        </w:tc>
        <w:tc>
          <w:tcPr>
            <w:tcW w:w="1116" w:type="dxa"/>
          </w:tcPr>
          <w:p>
            <w:pPr>
              <w:pStyle w:val="TableParagraph"/>
              <w:spacing w:line="178" w:lineRule="exact"/>
              <w:rPr>
                <w:rFonts w:ascii="宋体" w:eastAsia="宋体" w:hint="eastAsia"/>
                <w:sz w:val="18"/>
              </w:rPr>
            </w:pPr>
            <w:r>
              <w:rPr>
                <w:sz w:val="18"/>
              </w:rPr>
              <w:t>2 </w:t>
            </w:r>
            <w:r>
              <w:rPr>
                <w:rFonts w:ascii="宋体" w:eastAsia="宋体" w:hint="eastAsia"/>
                <w:sz w:val="18"/>
              </w:rPr>
              <w:t>分钟</w:t>
            </w:r>
          </w:p>
        </w:tc>
        <w:tc>
          <w:tcPr>
            <w:tcW w:w="1440" w:type="dxa"/>
          </w:tcPr>
          <w:p>
            <w:pPr>
              <w:pStyle w:val="TableParagraph"/>
              <w:spacing w:line="167" w:lineRule="exact"/>
              <w:rPr>
                <w:sz w:val="18"/>
              </w:rPr>
            </w:pPr>
            <w:r>
              <w:rPr>
                <w:sz w:val="18"/>
              </w:rPr>
              <w:t>1</w:t>
            </w:r>
          </w:p>
        </w:tc>
      </w:tr>
      <w:tr>
        <w:trPr>
          <w:trHeight w:val="197" w:hRule="atLeast"/>
        </w:trPr>
        <w:tc>
          <w:tcPr>
            <w:tcW w:w="336" w:type="dxa"/>
            <w:vMerge w:val="restart"/>
          </w:tcPr>
          <w:p>
            <w:pPr>
              <w:pStyle w:val="TableParagraph"/>
              <w:spacing w:line="168" w:lineRule="exact"/>
              <w:rPr>
                <w:sz w:val="18"/>
              </w:rPr>
            </w:pPr>
            <w:r>
              <w:rPr>
                <w:sz w:val="18"/>
              </w:rPr>
              <w:t>3</w:t>
            </w:r>
          </w:p>
        </w:tc>
        <w:tc>
          <w:tcPr>
            <w:tcW w:w="3036" w:type="dxa"/>
          </w:tcPr>
          <w:p>
            <w:pPr>
              <w:pStyle w:val="TableParagraph"/>
              <w:spacing w:line="178" w:lineRule="exact"/>
              <w:rPr>
                <w:rFonts w:ascii="宋体" w:eastAsia="宋体" w:hint="eastAsia"/>
                <w:sz w:val="18"/>
              </w:rPr>
            </w:pPr>
            <w:r>
              <w:rPr>
                <w:rFonts w:ascii="宋体" w:eastAsia="宋体" w:hint="eastAsia"/>
                <w:sz w:val="18"/>
              </w:rPr>
              <w:t>变性</w:t>
            </w:r>
          </w:p>
        </w:tc>
        <w:tc>
          <w:tcPr>
            <w:tcW w:w="898" w:type="dxa"/>
          </w:tcPr>
          <w:p>
            <w:pPr>
              <w:pStyle w:val="TableParagraph"/>
              <w:spacing w:line="178" w:lineRule="exact"/>
              <w:rPr>
                <w:rFonts w:ascii="宋体" w:hAnsi="宋体"/>
                <w:sz w:val="18"/>
              </w:rPr>
            </w:pPr>
            <w:r>
              <w:rPr>
                <w:sz w:val="18"/>
              </w:rPr>
              <w:t>95</w:t>
            </w:r>
            <w:r>
              <w:rPr>
                <w:rFonts w:ascii="宋体" w:hAnsi="宋体"/>
                <w:sz w:val="18"/>
              </w:rPr>
              <w:t>℃</w:t>
            </w:r>
          </w:p>
        </w:tc>
        <w:tc>
          <w:tcPr>
            <w:tcW w:w="1116" w:type="dxa"/>
          </w:tcPr>
          <w:p>
            <w:pPr>
              <w:pStyle w:val="TableParagraph"/>
              <w:spacing w:line="178" w:lineRule="exact"/>
              <w:rPr>
                <w:rFonts w:ascii="宋体" w:eastAsia="宋体" w:hint="eastAsia"/>
                <w:sz w:val="18"/>
              </w:rPr>
            </w:pPr>
            <w:r>
              <w:rPr>
                <w:sz w:val="18"/>
              </w:rPr>
              <w:t>15 </w:t>
            </w:r>
            <w:r>
              <w:rPr>
                <w:rFonts w:ascii="宋体" w:eastAsia="宋体" w:hint="eastAsia"/>
                <w:sz w:val="18"/>
              </w:rPr>
              <w:t>秒</w:t>
            </w:r>
          </w:p>
        </w:tc>
        <w:tc>
          <w:tcPr>
            <w:tcW w:w="1440" w:type="dxa"/>
            <w:vMerge w:val="restart"/>
          </w:tcPr>
          <w:p>
            <w:pPr>
              <w:pStyle w:val="TableParagraph"/>
              <w:spacing w:line="168" w:lineRule="exact"/>
              <w:rPr>
                <w:sz w:val="18"/>
              </w:rPr>
            </w:pPr>
            <w:r>
              <w:rPr>
                <w:sz w:val="18"/>
              </w:rPr>
              <w:t>45</w:t>
            </w:r>
          </w:p>
        </w:tc>
      </w:tr>
      <w:tr>
        <w:trPr>
          <w:trHeight w:val="180" w:hRule="atLeast"/>
        </w:trPr>
        <w:tc>
          <w:tcPr>
            <w:tcW w:w="336" w:type="dxa"/>
            <w:vMerge/>
            <w:tcBorders>
              <w:top w:val="nil"/>
            </w:tcBorders>
          </w:tcPr>
          <w:p>
            <w:pPr>
              <w:rPr>
                <w:sz w:val="2"/>
                <w:szCs w:val="2"/>
              </w:rPr>
            </w:pPr>
          </w:p>
        </w:tc>
        <w:tc>
          <w:tcPr>
            <w:tcW w:w="3036" w:type="dxa"/>
          </w:tcPr>
          <w:p>
            <w:pPr>
              <w:pStyle w:val="TableParagraph"/>
              <w:rPr>
                <w:rFonts w:ascii="宋体" w:eastAsia="宋体" w:hint="eastAsia"/>
                <w:sz w:val="18"/>
              </w:rPr>
            </w:pPr>
            <w:r>
              <w:rPr>
                <w:rFonts w:ascii="宋体" w:eastAsia="宋体" w:hint="eastAsia"/>
                <w:sz w:val="18"/>
              </w:rPr>
              <w:t>退火，延伸，及荧光采集</w:t>
            </w:r>
          </w:p>
        </w:tc>
        <w:tc>
          <w:tcPr>
            <w:tcW w:w="898" w:type="dxa"/>
          </w:tcPr>
          <w:p>
            <w:pPr>
              <w:pStyle w:val="TableParagraph"/>
              <w:rPr>
                <w:rFonts w:ascii="宋体" w:hAnsi="宋体"/>
                <w:sz w:val="18"/>
              </w:rPr>
            </w:pPr>
            <w:r>
              <w:rPr>
                <w:sz w:val="18"/>
              </w:rPr>
              <w:t>65</w:t>
            </w:r>
            <w:r>
              <w:rPr>
                <w:rFonts w:ascii="宋体" w:hAnsi="宋体"/>
                <w:sz w:val="18"/>
              </w:rPr>
              <w:t>℃</w:t>
            </w:r>
          </w:p>
        </w:tc>
        <w:tc>
          <w:tcPr>
            <w:tcW w:w="1116" w:type="dxa"/>
          </w:tcPr>
          <w:p>
            <w:pPr>
              <w:pStyle w:val="TableParagraph"/>
              <w:rPr>
                <w:rFonts w:ascii="宋体" w:eastAsia="宋体" w:hint="eastAsia"/>
                <w:sz w:val="18"/>
              </w:rPr>
            </w:pPr>
            <w:r>
              <w:rPr>
                <w:sz w:val="18"/>
              </w:rPr>
              <w:t>30 </w:t>
            </w:r>
            <w:r>
              <w:rPr>
                <w:rFonts w:ascii="宋体" w:eastAsia="宋体" w:hint="eastAsia"/>
                <w:sz w:val="18"/>
              </w:rPr>
              <w:t>秒</w:t>
            </w:r>
          </w:p>
        </w:tc>
        <w:tc>
          <w:tcPr>
            <w:tcW w:w="1440" w:type="dxa"/>
            <w:vMerge/>
            <w:tcBorders>
              <w:top w:val="nil"/>
            </w:tcBorders>
          </w:tcPr>
          <w:p>
            <w:pPr>
              <w:rPr>
                <w:sz w:val="2"/>
                <w:szCs w:val="2"/>
              </w:rPr>
            </w:pPr>
          </w:p>
        </w:tc>
      </w:tr>
      <w:tr>
        <w:trPr>
          <w:trHeight w:val="198" w:hRule="atLeast"/>
        </w:trPr>
        <w:tc>
          <w:tcPr>
            <w:tcW w:w="336" w:type="dxa"/>
          </w:tcPr>
          <w:p>
            <w:pPr>
              <w:pStyle w:val="TableParagraph"/>
              <w:spacing w:line="166" w:lineRule="exact"/>
              <w:rPr>
                <w:sz w:val="18"/>
              </w:rPr>
            </w:pPr>
            <w:r>
              <w:rPr>
                <w:sz w:val="18"/>
              </w:rPr>
              <w:t>4</w:t>
            </w:r>
          </w:p>
        </w:tc>
        <w:tc>
          <w:tcPr>
            <w:tcW w:w="3036" w:type="dxa"/>
          </w:tcPr>
          <w:p>
            <w:pPr>
              <w:pStyle w:val="TableParagraph"/>
              <w:spacing w:line="178" w:lineRule="exact"/>
              <w:rPr>
                <w:rFonts w:ascii="宋体" w:eastAsia="宋体" w:hint="eastAsia"/>
                <w:sz w:val="18"/>
              </w:rPr>
            </w:pPr>
            <w:r>
              <w:rPr>
                <w:rFonts w:ascii="宋体" w:eastAsia="宋体" w:hint="eastAsia"/>
                <w:sz w:val="18"/>
              </w:rPr>
              <w:t>仪器冷却</w:t>
            </w:r>
          </w:p>
        </w:tc>
        <w:tc>
          <w:tcPr>
            <w:tcW w:w="898" w:type="dxa"/>
          </w:tcPr>
          <w:p>
            <w:pPr>
              <w:pStyle w:val="TableParagraph"/>
              <w:spacing w:line="178" w:lineRule="exact"/>
              <w:rPr>
                <w:rFonts w:ascii="宋体" w:hAnsi="宋体"/>
                <w:sz w:val="18"/>
              </w:rPr>
            </w:pPr>
            <w:r>
              <w:rPr>
                <w:sz w:val="18"/>
              </w:rPr>
              <w:t>25</w:t>
            </w:r>
            <w:r>
              <w:rPr>
                <w:rFonts w:ascii="宋体" w:hAnsi="宋体"/>
                <w:sz w:val="18"/>
              </w:rPr>
              <w:t>℃</w:t>
            </w:r>
          </w:p>
        </w:tc>
        <w:tc>
          <w:tcPr>
            <w:tcW w:w="1116" w:type="dxa"/>
          </w:tcPr>
          <w:p>
            <w:pPr>
              <w:pStyle w:val="TableParagraph"/>
              <w:spacing w:line="178" w:lineRule="exact"/>
              <w:rPr>
                <w:rFonts w:ascii="宋体" w:eastAsia="宋体" w:hint="eastAsia"/>
                <w:sz w:val="18"/>
              </w:rPr>
            </w:pPr>
            <w:r>
              <w:rPr>
                <w:sz w:val="18"/>
              </w:rPr>
              <w:t>10 </w:t>
            </w:r>
            <w:r>
              <w:rPr>
                <w:rFonts w:ascii="宋体" w:eastAsia="宋体" w:hint="eastAsia"/>
                <w:sz w:val="18"/>
              </w:rPr>
              <w:t>秒</w:t>
            </w:r>
          </w:p>
        </w:tc>
        <w:tc>
          <w:tcPr>
            <w:tcW w:w="1440" w:type="dxa"/>
          </w:tcPr>
          <w:p>
            <w:pPr>
              <w:pStyle w:val="TableParagraph"/>
              <w:spacing w:line="166" w:lineRule="exact"/>
              <w:rPr>
                <w:sz w:val="18"/>
              </w:rPr>
            </w:pPr>
            <w:r>
              <w:rPr>
                <w:sz w:val="18"/>
              </w:rPr>
              <w:t>1</w:t>
            </w:r>
          </w:p>
        </w:tc>
      </w:tr>
    </w:tbl>
    <w:p>
      <w:pPr>
        <w:pStyle w:val="BodyText"/>
        <w:spacing w:line="153" w:lineRule="exact"/>
        <w:ind w:left="776"/>
      </w:pPr>
      <w:r>
        <w:rPr/>
        <w:t>设置完毕，保存文件，运行反应程序。</w:t>
      </w:r>
    </w:p>
    <w:p>
      <w:pPr>
        <w:pStyle w:val="ListParagraph"/>
        <w:numPr>
          <w:ilvl w:val="0"/>
          <w:numId w:val="4"/>
        </w:numPr>
        <w:tabs>
          <w:tab w:pos="604" w:val="left" w:leader="none"/>
        </w:tabs>
        <w:spacing w:line="180" w:lineRule="exact" w:before="0" w:after="0"/>
        <w:ind w:left="603" w:right="0" w:hanging="217"/>
        <w:jc w:val="left"/>
        <w:rPr>
          <w:sz w:val="18"/>
        </w:rPr>
      </w:pPr>
      <w:r>
        <w:rPr>
          <w:b/>
          <w:spacing w:val="-5"/>
          <w:sz w:val="18"/>
        </w:rPr>
        <w:t>结果分析</w:t>
      </w:r>
      <w:r>
        <w:rPr>
          <w:spacing w:val="-5"/>
          <w:sz w:val="18"/>
        </w:rPr>
        <w:t>（请参照各仪器使用说明书进行设置</w:t>
      </w:r>
      <w:r>
        <w:rPr>
          <w:sz w:val="18"/>
        </w:rPr>
        <w:t>）</w:t>
      </w:r>
    </w:p>
    <w:p>
      <w:pPr>
        <w:pStyle w:val="BodyText"/>
        <w:spacing w:line="187" w:lineRule="auto" w:before="14"/>
        <w:ind w:right="200" w:firstLine="352"/>
        <w:jc w:val="both"/>
      </w:pPr>
      <w:r>
        <w:rPr>
          <w:spacing w:val="-5"/>
        </w:rPr>
        <w:t>反应结束后自动保存结果，对乙型肝炎病毒</w:t>
      </w:r>
      <w:r>
        <w:rPr>
          <w:rFonts w:ascii="Times New Roman" w:eastAsia="Times New Roman"/>
          <w:spacing w:val="-3"/>
        </w:rPr>
        <w:t>YMDD</w:t>
      </w:r>
      <w:r>
        <w:rPr>
          <w:spacing w:val="-5"/>
        </w:rPr>
        <w:t>的曲线和相应乙型肝炎病毒</w:t>
      </w:r>
      <w:r>
        <w:rPr>
          <w:rFonts w:ascii="Times New Roman" w:eastAsia="Times New Roman"/>
          <w:spacing w:val="-3"/>
        </w:rPr>
        <w:t>YMDD</w:t>
      </w:r>
      <w:r>
        <w:rPr>
          <w:spacing w:val="-5"/>
        </w:rPr>
        <w:t>内标的曲线进行分别分析。根据分析后图像调节</w:t>
      </w:r>
      <w:r>
        <w:rPr>
          <w:rFonts w:ascii="Times New Roman" w:eastAsia="Times New Roman"/>
          <w:spacing w:val="-3"/>
        </w:rPr>
        <w:t>Baseline</w:t>
      </w:r>
      <w:r>
        <w:rPr>
          <w:spacing w:val="-5"/>
        </w:rPr>
        <w:t>的</w:t>
      </w:r>
      <w:r>
        <w:rPr>
          <w:rFonts w:ascii="Times New Roman" w:eastAsia="Times New Roman"/>
        </w:rPr>
        <w:t>Start</w:t>
      </w:r>
      <w:r>
        <w:rPr>
          <w:spacing w:val="-7"/>
        </w:rPr>
        <w:t>值、</w:t>
      </w:r>
      <w:r>
        <w:rPr>
          <w:rFonts w:ascii="Times New Roman" w:eastAsia="Times New Roman"/>
          <w:spacing w:val="-3"/>
        </w:rPr>
        <w:t>End</w:t>
      </w:r>
      <w:r>
        <w:rPr>
          <w:spacing w:val="-5"/>
        </w:rPr>
        <w:t>值以及</w:t>
      </w:r>
      <w:r>
        <w:rPr>
          <w:rFonts w:ascii="Times New Roman" w:eastAsia="Times New Roman"/>
          <w:spacing w:val="-3"/>
        </w:rPr>
        <w:t>Threshold</w:t>
      </w:r>
      <w:r>
        <w:rPr>
          <w:spacing w:val="-8"/>
        </w:rPr>
        <w:t>值</w:t>
      </w:r>
      <w:r>
        <w:rPr>
          <w:spacing w:val="-5"/>
        </w:rPr>
        <w:t>（用户可根据实际情况自行调整，</w:t>
      </w:r>
      <w:r>
        <w:rPr>
          <w:rFonts w:ascii="Times New Roman" w:eastAsia="Times New Roman"/>
          <w:spacing w:val="-4"/>
        </w:rPr>
        <w:t>Start</w:t>
      </w:r>
      <w:r>
        <w:rPr>
          <w:spacing w:val="-5"/>
        </w:rPr>
        <w:t>值可以在</w:t>
      </w:r>
      <w:r>
        <w:rPr>
          <w:rFonts w:ascii="Times New Roman" w:eastAsia="Times New Roman"/>
          <w:spacing w:val="-4"/>
        </w:rPr>
        <w:t>3</w:t>
      </w:r>
      <w:r>
        <w:rPr>
          <w:spacing w:val="-4"/>
        </w:rPr>
        <w:t>～</w:t>
      </w:r>
      <w:r>
        <w:rPr>
          <w:rFonts w:ascii="Times New Roman" w:eastAsia="Times New Roman"/>
          <w:spacing w:val="-4"/>
        </w:rPr>
        <w:t>15</w:t>
      </w:r>
      <w:r>
        <w:rPr>
          <w:spacing w:val="-8"/>
        </w:rPr>
        <w:t>、</w:t>
      </w:r>
      <w:r>
        <w:rPr>
          <w:rFonts w:ascii="Times New Roman" w:eastAsia="Times New Roman"/>
          <w:spacing w:val="-3"/>
        </w:rPr>
        <w:t>End</w:t>
      </w:r>
      <w:r>
        <w:rPr>
          <w:spacing w:val="-5"/>
        </w:rPr>
        <w:t>值可设在</w:t>
      </w:r>
      <w:r>
        <w:rPr>
          <w:rFonts w:ascii="Times New Roman" w:eastAsia="Times New Roman"/>
          <w:spacing w:val="-4"/>
        </w:rPr>
        <w:t>5</w:t>
      </w:r>
      <w:r>
        <w:rPr>
          <w:spacing w:val="-4"/>
        </w:rPr>
        <w:t>～</w:t>
      </w:r>
      <w:r>
        <w:rPr>
          <w:rFonts w:ascii="Times New Roman" w:eastAsia="Times New Roman"/>
          <w:spacing w:val="-4"/>
        </w:rPr>
        <w:t>20</w:t>
      </w:r>
      <w:r>
        <w:rPr>
          <w:spacing w:val="-4"/>
        </w:rPr>
        <w:t>，阈值设</w:t>
      </w:r>
      <w:r>
        <w:rPr>
          <w:spacing w:val="-5"/>
        </w:rPr>
        <w:t>定原则为阈值线刚好超过阴性对照的最高点</w:t>
      </w:r>
      <w:r>
        <w:rPr>
          <w:spacing w:val="-26"/>
        </w:rPr>
        <w:t>）</w:t>
      </w:r>
      <w:r>
        <w:rPr>
          <w:spacing w:val="-12"/>
        </w:rPr>
        <w:t>，点击</w:t>
      </w:r>
      <w:r>
        <w:rPr>
          <w:rFonts w:ascii="Times New Roman" w:eastAsia="Times New Roman"/>
          <w:spacing w:val="-3"/>
        </w:rPr>
        <w:t>Analyze</w:t>
      </w:r>
      <w:r>
        <w:rPr>
          <w:spacing w:val="-9"/>
        </w:rPr>
        <w:t>进行分析，使</w:t>
      </w:r>
      <w:r>
        <w:rPr>
          <w:rFonts w:ascii="Times New Roman" w:eastAsia="Times New Roman"/>
        </w:rPr>
        <w:t>Standard curve </w:t>
      </w:r>
      <w:r>
        <w:rPr>
          <w:spacing w:val="-7"/>
        </w:rPr>
        <w:t>窗口下的标准曲线图达到最佳，然后到</w:t>
      </w:r>
      <w:r>
        <w:rPr>
          <w:rFonts w:ascii="Times New Roman" w:eastAsia="Times New Roman"/>
        </w:rPr>
        <w:t>Plate </w:t>
      </w:r>
      <w:r>
        <w:rPr>
          <w:spacing w:val="-5"/>
        </w:rPr>
        <w:t>窗口下记录结果。</w:t>
      </w:r>
    </w:p>
    <w:p>
      <w:pPr>
        <w:pStyle w:val="Heading1"/>
        <w:numPr>
          <w:ilvl w:val="0"/>
          <w:numId w:val="4"/>
        </w:numPr>
        <w:tabs>
          <w:tab w:pos="604" w:val="left" w:leader="none"/>
        </w:tabs>
        <w:spacing w:line="166" w:lineRule="exact" w:before="0" w:after="0"/>
        <w:ind w:left="603" w:right="0" w:hanging="217"/>
        <w:jc w:val="both"/>
      </w:pPr>
      <w:r>
        <w:rPr>
          <w:spacing w:val="-3"/>
        </w:rPr>
        <w:t>质量控制</w:t>
      </w:r>
    </w:p>
    <w:p>
      <w:pPr>
        <w:pStyle w:val="ListParagraph"/>
        <w:numPr>
          <w:ilvl w:val="1"/>
          <w:numId w:val="4"/>
        </w:numPr>
        <w:tabs>
          <w:tab w:pos="692" w:val="left" w:leader="none"/>
        </w:tabs>
        <w:spacing w:line="180" w:lineRule="exact" w:before="0" w:after="0"/>
        <w:ind w:left="692" w:right="0" w:hanging="305"/>
        <w:jc w:val="both"/>
        <w:rPr>
          <w:sz w:val="18"/>
        </w:rPr>
      </w:pPr>
      <w:r>
        <w:rPr>
          <w:spacing w:val="2"/>
          <w:sz w:val="18"/>
        </w:rPr>
        <w:t>乙型肝炎病毒</w:t>
      </w:r>
      <w:r>
        <w:rPr>
          <w:rFonts w:ascii="Times New Roman" w:hAnsi="Times New Roman" w:eastAsia="Times New Roman"/>
          <w:sz w:val="18"/>
        </w:rPr>
        <w:t>YMDD</w:t>
      </w:r>
      <w:r>
        <w:rPr>
          <w:rFonts w:ascii="Times New Roman" w:hAnsi="Times New Roman" w:eastAsia="Times New Roman"/>
          <w:spacing w:val="-6"/>
          <w:sz w:val="18"/>
        </w:rPr>
        <w:t> </w:t>
      </w:r>
      <w:r>
        <w:rPr>
          <w:spacing w:val="2"/>
          <w:sz w:val="18"/>
        </w:rPr>
        <w:t>阴性对照：无</w:t>
      </w:r>
      <w:r>
        <w:rPr>
          <w:rFonts w:ascii="Times New Roman" w:hAnsi="Times New Roman" w:eastAsia="Times New Roman"/>
          <w:sz w:val="18"/>
        </w:rPr>
        <w:t>Ct</w:t>
      </w:r>
      <w:r>
        <w:rPr>
          <w:rFonts w:ascii="Times New Roman" w:hAnsi="Times New Roman" w:eastAsia="Times New Roman"/>
          <w:spacing w:val="-7"/>
          <w:sz w:val="18"/>
        </w:rPr>
        <w:t> </w:t>
      </w:r>
      <w:r>
        <w:rPr>
          <w:spacing w:val="-1"/>
          <w:sz w:val="18"/>
        </w:rPr>
        <w:t>值显示；乙型肝炎病毒</w:t>
      </w:r>
      <w:r>
        <w:rPr>
          <w:rFonts w:ascii="Times New Roman" w:hAnsi="Times New Roman" w:eastAsia="Times New Roman"/>
          <w:sz w:val="18"/>
        </w:rPr>
        <w:t>YMDD</w:t>
      </w:r>
      <w:r>
        <w:rPr>
          <w:rFonts w:ascii="Times New Roman" w:hAnsi="Times New Roman" w:eastAsia="Times New Roman"/>
          <w:spacing w:val="-5"/>
          <w:sz w:val="18"/>
        </w:rPr>
        <w:t> </w:t>
      </w:r>
      <w:r>
        <w:rPr>
          <w:spacing w:val="-1"/>
          <w:sz w:val="18"/>
        </w:rPr>
        <w:t>内标检测为阳性，且</w:t>
      </w:r>
      <w:r>
        <w:rPr>
          <w:rFonts w:ascii="Times New Roman" w:hAnsi="Times New Roman" w:eastAsia="Times New Roman"/>
          <w:spacing w:val="-3"/>
          <w:sz w:val="18"/>
        </w:rPr>
        <w:t>Ct</w:t>
      </w:r>
      <w:r>
        <w:rPr>
          <w:spacing w:val="-3"/>
          <w:sz w:val="18"/>
        </w:rPr>
        <w:t>≤</w:t>
      </w:r>
      <w:r>
        <w:rPr>
          <w:rFonts w:ascii="Times New Roman" w:hAnsi="Times New Roman" w:eastAsia="Times New Roman"/>
          <w:spacing w:val="-3"/>
          <w:sz w:val="18"/>
        </w:rPr>
        <w:t>40</w:t>
      </w:r>
      <w:r>
        <w:rPr>
          <w:sz w:val="18"/>
        </w:rPr>
        <w:t>。</w:t>
      </w:r>
    </w:p>
    <w:p>
      <w:pPr>
        <w:pStyle w:val="ListParagraph"/>
        <w:numPr>
          <w:ilvl w:val="1"/>
          <w:numId w:val="4"/>
        </w:numPr>
        <w:tabs>
          <w:tab w:pos="692" w:val="left" w:leader="none"/>
        </w:tabs>
        <w:spacing w:line="187" w:lineRule="auto" w:before="14" w:after="0"/>
        <w:ind w:left="740" w:right="111" w:hanging="353"/>
        <w:jc w:val="left"/>
        <w:rPr>
          <w:sz w:val="18"/>
        </w:rPr>
      </w:pPr>
      <w:r>
        <w:rPr>
          <w:spacing w:val="2"/>
          <w:sz w:val="18"/>
        </w:rPr>
        <w:t>乙型肝炎病毒</w:t>
      </w:r>
      <w:r>
        <w:rPr>
          <w:rFonts w:ascii="Times New Roman" w:hAnsi="Times New Roman" w:eastAsia="Times New Roman"/>
          <w:sz w:val="18"/>
        </w:rPr>
        <w:t>YMDD</w:t>
      </w:r>
      <w:r>
        <w:rPr>
          <w:rFonts w:ascii="Times New Roman" w:hAnsi="Times New Roman" w:eastAsia="Times New Roman"/>
          <w:spacing w:val="-9"/>
          <w:sz w:val="18"/>
        </w:rPr>
        <w:t> </w:t>
      </w:r>
      <w:r>
        <w:rPr>
          <w:spacing w:val="-1"/>
          <w:sz w:val="18"/>
        </w:rPr>
        <w:t>阳性对照：乙型肝炎病毒</w:t>
      </w:r>
      <w:r>
        <w:rPr>
          <w:rFonts w:ascii="Times New Roman" w:hAnsi="Times New Roman" w:eastAsia="Times New Roman"/>
          <w:sz w:val="18"/>
        </w:rPr>
        <w:t>YIDD</w:t>
      </w:r>
      <w:r>
        <w:rPr>
          <w:rFonts w:ascii="Times New Roman" w:hAnsi="Times New Roman" w:eastAsia="Times New Roman"/>
          <w:spacing w:val="-9"/>
          <w:sz w:val="18"/>
        </w:rPr>
        <w:t> </w:t>
      </w:r>
      <w:r>
        <w:rPr>
          <w:spacing w:val="-1"/>
          <w:sz w:val="18"/>
        </w:rPr>
        <w:t>试剂检测乙型肝炎病毒</w:t>
      </w:r>
      <w:r>
        <w:rPr>
          <w:rFonts w:ascii="Times New Roman" w:hAnsi="Times New Roman" w:eastAsia="Times New Roman"/>
          <w:spacing w:val="-3"/>
          <w:sz w:val="18"/>
        </w:rPr>
        <w:t>YIDD-</w:t>
      </w:r>
      <w:r>
        <w:rPr>
          <w:spacing w:val="-6"/>
          <w:sz w:val="18"/>
        </w:rPr>
        <w:t>阳性对照，</w:t>
      </w:r>
      <w:r>
        <w:rPr>
          <w:rFonts w:ascii="Times New Roman" w:hAnsi="Times New Roman" w:eastAsia="Times New Roman"/>
          <w:spacing w:val="-6"/>
          <w:sz w:val="18"/>
        </w:rPr>
        <w:t>FAM</w:t>
      </w:r>
      <w:r>
        <w:rPr>
          <w:rFonts w:ascii="Times New Roman" w:hAnsi="Times New Roman" w:eastAsia="Times New Roman"/>
          <w:spacing w:val="-8"/>
          <w:sz w:val="18"/>
        </w:rPr>
        <w:t> </w:t>
      </w:r>
      <w:r>
        <w:rPr>
          <w:spacing w:val="-5"/>
          <w:sz w:val="18"/>
        </w:rPr>
        <w:t>通道检测为阳性，</w:t>
      </w:r>
      <w:r>
        <w:rPr>
          <w:rFonts w:ascii="Times New Roman" w:hAnsi="Times New Roman" w:eastAsia="Times New Roman"/>
          <w:sz w:val="18"/>
        </w:rPr>
        <w:t>Ct</w:t>
      </w:r>
      <w:r>
        <w:rPr>
          <w:sz w:val="18"/>
        </w:rPr>
        <w:t>≤</w:t>
      </w:r>
      <w:r>
        <w:rPr>
          <w:rFonts w:ascii="Times New Roman" w:hAnsi="Times New Roman" w:eastAsia="Times New Roman"/>
          <w:sz w:val="18"/>
        </w:rPr>
        <w:t>38</w:t>
      </w:r>
      <w:r>
        <w:rPr>
          <w:sz w:val="18"/>
        </w:rPr>
        <w:t>； </w:t>
      </w:r>
      <w:r>
        <w:rPr>
          <w:spacing w:val="21"/>
          <w:sz w:val="18"/>
        </w:rPr>
        <w:t>内标</w:t>
      </w:r>
      <w:r>
        <w:rPr>
          <w:rFonts w:ascii="Times New Roman" w:hAnsi="Times New Roman" w:eastAsia="Times New Roman"/>
          <w:sz w:val="18"/>
        </w:rPr>
        <w:t>HEX</w:t>
      </w:r>
      <w:r>
        <w:rPr>
          <w:rFonts w:ascii="Times New Roman" w:hAnsi="Times New Roman" w:eastAsia="Times New Roman"/>
          <w:spacing w:val="-2"/>
          <w:sz w:val="18"/>
        </w:rPr>
        <w:t> </w:t>
      </w:r>
      <w:r>
        <w:rPr>
          <w:spacing w:val="-6"/>
          <w:sz w:val="18"/>
        </w:rPr>
        <w:t>通道为阳性，并且 </w:t>
      </w:r>
      <w:r>
        <w:rPr>
          <w:rFonts w:ascii="Times New Roman" w:hAnsi="Times New Roman" w:eastAsia="Times New Roman"/>
          <w:sz w:val="18"/>
        </w:rPr>
        <w:t>Ct</w:t>
      </w:r>
      <w:r>
        <w:rPr>
          <w:sz w:val="18"/>
        </w:rPr>
        <w:t>≤</w:t>
      </w:r>
      <w:r>
        <w:rPr>
          <w:rFonts w:ascii="Times New Roman" w:hAnsi="Times New Roman" w:eastAsia="Times New Roman"/>
          <w:sz w:val="18"/>
        </w:rPr>
        <w:t>40</w:t>
      </w:r>
      <w:r>
        <w:rPr>
          <w:spacing w:val="2"/>
          <w:sz w:val="18"/>
        </w:rPr>
        <w:t>；乙型肝炎病毒</w:t>
      </w:r>
      <w:r>
        <w:rPr>
          <w:rFonts w:ascii="Times New Roman" w:hAnsi="Times New Roman" w:eastAsia="Times New Roman"/>
          <w:sz w:val="18"/>
        </w:rPr>
        <w:t>YVDD</w:t>
      </w:r>
      <w:r>
        <w:rPr>
          <w:rFonts w:ascii="Times New Roman" w:hAnsi="Times New Roman" w:eastAsia="Times New Roman"/>
          <w:spacing w:val="-6"/>
          <w:sz w:val="18"/>
        </w:rPr>
        <w:t> </w:t>
      </w:r>
      <w:r>
        <w:rPr>
          <w:spacing w:val="-1"/>
          <w:sz w:val="18"/>
        </w:rPr>
        <w:t>试剂检测乙型肝炎病毒</w:t>
      </w:r>
      <w:r>
        <w:rPr>
          <w:rFonts w:ascii="Times New Roman" w:hAnsi="Times New Roman" w:eastAsia="Times New Roman"/>
          <w:spacing w:val="-3"/>
          <w:sz w:val="18"/>
        </w:rPr>
        <w:t>YVDD-</w:t>
      </w:r>
      <w:r>
        <w:rPr>
          <w:spacing w:val="-5"/>
          <w:sz w:val="18"/>
        </w:rPr>
        <w:t>阳性对照，</w:t>
      </w:r>
      <w:r>
        <w:rPr>
          <w:rFonts w:ascii="Times New Roman" w:hAnsi="Times New Roman" w:eastAsia="Times New Roman"/>
          <w:spacing w:val="-5"/>
          <w:sz w:val="18"/>
        </w:rPr>
        <w:t>FAM</w:t>
      </w:r>
      <w:r>
        <w:rPr>
          <w:rFonts w:ascii="Times New Roman" w:hAnsi="Times New Roman" w:eastAsia="Times New Roman"/>
          <w:spacing w:val="-7"/>
          <w:sz w:val="18"/>
        </w:rPr>
        <w:t> </w:t>
      </w:r>
      <w:r>
        <w:rPr>
          <w:spacing w:val="-5"/>
          <w:sz w:val="18"/>
        </w:rPr>
        <w:t>通道检测为阳性， </w:t>
      </w:r>
      <w:r>
        <w:rPr>
          <w:rFonts w:ascii="Times New Roman" w:hAnsi="Times New Roman" w:eastAsia="Times New Roman"/>
          <w:spacing w:val="-5"/>
          <w:sz w:val="18"/>
        </w:rPr>
        <w:t>Ct</w:t>
      </w:r>
      <w:r>
        <w:rPr>
          <w:spacing w:val="-5"/>
          <w:sz w:val="18"/>
        </w:rPr>
        <w:t>≤</w:t>
      </w:r>
      <w:r>
        <w:rPr>
          <w:rFonts w:ascii="Times New Roman" w:hAnsi="Times New Roman" w:eastAsia="Times New Roman"/>
          <w:spacing w:val="-5"/>
          <w:sz w:val="18"/>
        </w:rPr>
        <w:t>38</w:t>
      </w:r>
      <w:r>
        <w:rPr>
          <w:spacing w:val="10"/>
          <w:sz w:val="18"/>
        </w:rPr>
        <w:t>；内标</w:t>
      </w:r>
      <w:r>
        <w:rPr>
          <w:rFonts w:ascii="Times New Roman" w:hAnsi="Times New Roman" w:eastAsia="Times New Roman"/>
          <w:sz w:val="18"/>
        </w:rPr>
        <w:t>HEX</w:t>
      </w:r>
      <w:r>
        <w:rPr>
          <w:rFonts w:ascii="Times New Roman" w:hAnsi="Times New Roman" w:eastAsia="Times New Roman"/>
          <w:spacing w:val="-1"/>
          <w:sz w:val="18"/>
        </w:rPr>
        <w:t> </w:t>
      </w:r>
      <w:r>
        <w:rPr>
          <w:spacing w:val="-5"/>
          <w:sz w:val="18"/>
        </w:rPr>
        <w:t>通道为阳性，并且 </w:t>
      </w:r>
      <w:r>
        <w:rPr>
          <w:rFonts w:ascii="Times New Roman" w:hAnsi="Times New Roman" w:eastAsia="Times New Roman"/>
          <w:sz w:val="18"/>
        </w:rPr>
        <w:t>Ct</w:t>
      </w:r>
      <w:r>
        <w:rPr>
          <w:sz w:val="18"/>
        </w:rPr>
        <w:t>≤</w:t>
      </w:r>
      <w:r>
        <w:rPr>
          <w:rFonts w:ascii="Times New Roman" w:hAnsi="Times New Roman" w:eastAsia="Times New Roman"/>
          <w:sz w:val="18"/>
        </w:rPr>
        <w:t>40</w:t>
      </w:r>
      <w:r>
        <w:rPr>
          <w:sz w:val="18"/>
        </w:rPr>
        <w:t>。</w:t>
      </w:r>
    </w:p>
    <w:p>
      <w:pPr>
        <w:pStyle w:val="ListParagraph"/>
        <w:numPr>
          <w:ilvl w:val="1"/>
          <w:numId w:val="4"/>
        </w:numPr>
        <w:tabs>
          <w:tab w:pos="692" w:val="left" w:leader="none"/>
        </w:tabs>
        <w:spacing w:line="166" w:lineRule="exact" w:before="0" w:after="0"/>
        <w:ind w:left="692" w:right="0" w:hanging="305"/>
        <w:jc w:val="left"/>
        <w:rPr>
          <w:sz w:val="18"/>
        </w:rPr>
      </w:pPr>
      <w:r>
        <w:rPr>
          <w:spacing w:val="-5"/>
          <w:sz w:val="18"/>
        </w:rPr>
        <w:t>以上要求需在同一次实验中同时满足，否则，本次实验无效，需重新进行。</w:t>
      </w:r>
    </w:p>
    <w:p>
      <w:pPr>
        <w:pStyle w:val="Heading1"/>
        <w:spacing w:line="180" w:lineRule="exact"/>
        <w:ind w:left="384"/>
      </w:pPr>
      <w:r>
        <w:rPr/>
        <w:t>【阳性判断值】</w:t>
      </w:r>
    </w:p>
    <w:p>
      <w:pPr>
        <w:pStyle w:val="BodyText"/>
        <w:spacing w:line="187" w:lineRule="auto" w:before="15"/>
        <w:ind w:right="195" w:firstLine="357"/>
      </w:pPr>
      <w:r>
        <w:rPr>
          <w:spacing w:val="-8"/>
        </w:rPr>
        <w:t>通过参考值的研究试验确定本试剂盒的检测下限为 </w:t>
      </w:r>
      <w:r>
        <w:rPr>
          <w:rFonts w:ascii="Times New Roman" w:eastAsia="Times New Roman"/>
          <w:spacing w:val="-2"/>
        </w:rPr>
        <w:t>200 </w:t>
      </w:r>
      <w:r>
        <w:rPr>
          <w:rFonts w:ascii="Times New Roman" w:eastAsia="Times New Roman"/>
          <w:spacing w:val="-3"/>
        </w:rPr>
        <w:t>IU/ml</w:t>
      </w:r>
      <w:r>
        <w:rPr>
          <w:spacing w:val="-9"/>
        </w:rPr>
        <w:t>；样本中乙型肝炎病毒总量为 </w:t>
      </w:r>
      <w:r>
        <w:rPr>
          <w:rFonts w:ascii="Times New Roman" w:eastAsia="Times New Roman"/>
          <w:spacing w:val="-2"/>
        </w:rPr>
        <w:t>10</w:t>
      </w:r>
      <w:r>
        <w:rPr>
          <w:rFonts w:ascii="Times New Roman" w:eastAsia="Times New Roman"/>
          <w:spacing w:val="-2"/>
          <w:position w:val="6"/>
          <w:sz w:val="11"/>
        </w:rPr>
        <w:t>6 </w:t>
      </w:r>
      <w:r>
        <w:rPr>
          <w:rFonts w:ascii="Times New Roman" w:eastAsia="Times New Roman"/>
        </w:rPr>
        <w:t>IU/ml </w:t>
      </w:r>
      <w:r>
        <w:rPr>
          <w:spacing w:val="-2"/>
        </w:rPr>
        <w:t>时，</w:t>
      </w:r>
      <w:r>
        <w:rPr>
          <w:rFonts w:ascii="Times New Roman" w:eastAsia="Times New Roman"/>
        </w:rPr>
        <w:t>YMDD </w:t>
      </w:r>
      <w:r>
        <w:rPr>
          <w:spacing w:val="-5"/>
        </w:rPr>
        <w:t>突变株所占比</w:t>
      </w:r>
      <w:r>
        <w:rPr>
          <w:spacing w:val="-16"/>
        </w:rPr>
        <w:t>例超过 </w:t>
      </w:r>
      <w:r>
        <w:rPr>
          <w:rFonts w:ascii="Times New Roman" w:eastAsia="Times New Roman"/>
          <w:spacing w:val="-3"/>
        </w:rPr>
        <w:t>10%</w:t>
      </w:r>
      <w:r>
        <w:rPr/>
        <w:t>即可检出；内对照</w:t>
      </w:r>
      <w:r>
        <w:rPr>
          <w:rFonts w:ascii="Times New Roman" w:eastAsia="Times New Roman"/>
        </w:rPr>
        <w:t>Ct </w:t>
      </w:r>
      <w:r>
        <w:rPr>
          <w:spacing w:val="-12"/>
        </w:rPr>
        <w:t>的参考值为 </w:t>
      </w:r>
      <w:r>
        <w:rPr>
          <w:rFonts w:ascii="Times New Roman" w:eastAsia="Times New Roman"/>
          <w:spacing w:val="-3"/>
        </w:rPr>
        <w:t>40</w:t>
      </w:r>
      <w:r>
        <w:rPr/>
        <w:t>。</w:t>
      </w:r>
    </w:p>
    <w:p>
      <w:pPr>
        <w:pStyle w:val="Heading1"/>
      </w:pPr>
      <w:r>
        <w:rPr/>
        <w:t>【检验结果的解释】</w:t>
      </w:r>
    </w:p>
    <w:p>
      <w:pPr>
        <w:pStyle w:val="ListParagraph"/>
        <w:numPr>
          <w:ilvl w:val="0"/>
          <w:numId w:val="5"/>
        </w:numPr>
        <w:tabs>
          <w:tab w:pos="525" w:val="left" w:leader="none"/>
        </w:tabs>
        <w:spacing w:line="187" w:lineRule="auto" w:before="14" w:after="0"/>
        <w:ind w:left="555" w:right="161" w:hanging="166"/>
        <w:jc w:val="left"/>
        <w:rPr>
          <w:sz w:val="18"/>
        </w:rPr>
      </w:pPr>
      <w:r>
        <w:rPr>
          <w:spacing w:val="-1"/>
          <w:sz w:val="18"/>
        </w:rPr>
        <w:t>若样本的乙型肝炎病毒</w:t>
      </w:r>
      <w:r>
        <w:rPr>
          <w:rFonts w:ascii="Times New Roman" w:hAnsi="Times New Roman" w:eastAsia="Times New Roman"/>
          <w:sz w:val="18"/>
        </w:rPr>
        <w:t>YIDD</w:t>
      </w:r>
      <w:r>
        <w:rPr>
          <w:rFonts w:ascii="Times New Roman" w:hAnsi="Times New Roman" w:eastAsia="Times New Roman"/>
          <w:spacing w:val="-7"/>
          <w:sz w:val="18"/>
        </w:rPr>
        <w:t> </w:t>
      </w:r>
      <w:r>
        <w:rPr>
          <w:spacing w:val="1"/>
          <w:sz w:val="18"/>
        </w:rPr>
        <w:t>试剂检测阳性且</w:t>
      </w:r>
      <w:r>
        <w:rPr>
          <w:rFonts w:ascii="Times New Roman" w:hAnsi="Times New Roman" w:eastAsia="Times New Roman"/>
          <w:spacing w:val="-4"/>
          <w:sz w:val="18"/>
        </w:rPr>
        <w:t>Ct</w:t>
      </w:r>
      <w:r>
        <w:rPr>
          <w:spacing w:val="-4"/>
          <w:sz w:val="18"/>
        </w:rPr>
        <w:t>≤</w:t>
      </w:r>
      <w:r>
        <w:rPr>
          <w:rFonts w:ascii="Times New Roman" w:hAnsi="Times New Roman" w:eastAsia="Times New Roman"/>
          <w:spacing w:val="-4"/>
          <w:sz w:val="18"/>
        </w:rPr>
        <w:t>38</w:t>
      </w:r>
      <w:r>
        <w:rPr>
          <w:spacing w:val="1"/>
          <w:sz w:val="18"/>
        </w:rPr>
        <w:t>，乙型肝炎病毒</w:t>
      </w:r>
      <w:r>
        <w:rPr>
          <w:rFonts w:ascii="Times New Roman" w:hAnsi="Times New Roman" w:eastAsia="Times New Roman"/>
          <w:sz w:val="18"/>
        </w:rPr>
        <w:t>YVDD</w:t>
      </w:r>
      <w:r>
        <w:rPr>
          <w:rFonts w:ascii="Times New Roman" w:hAnsi="Times New Roman" w:eastAsia="Times New Roman"/>
          <w:spacing w:val="-7"/>
          <w:sz w:val="18"/>
        </w:rPr>
        <w:t> </w:t>
      </w:r>
      <w:r>
        <w:rPr>
          <w:spacing w:val="-3"/>
          <w:sz w:val="18"/>
        </w:rPr>
        <w:t>试剂检测阴性，同时内标均检测为阳性，且</w:t>
      </w:r>
      <w:r>
        <w:rPr>
          <w:rFonts w:ascii="Times New Roman" w:hAnsi="Times New Roman" w:eastAsia="Times New Roman"/>
          <w:spacing w:val="-3"/>
          <w:sz w:val="18"/>
        </w:rPr>
        <w:t>Ct</w:t>
      </w:r>
      <w:r>
        <w:rPr>
          <w:spacing w:val="-3"/>
          <w:sz w:val="18"/>
        </w:rPr>
        <w:t>≤</w:t>
      </w:r>
      <w:r>
        <w:rPr>
          <w:rFonts w:ascii="Times New Roman" w:hAnsi="Times New Roman" w:eastAsia="Times New Roman"/>
          <w:spacing w:val="-3"/>
          <w:sz w:val="18"/>
        </w:rPr>
        <w:t>40</w:t>
      </w:r>
      <w:r>
        <w:rPr>
          <w:spacing w:val="-3"/>
          <w:sz w:val="18"/>
        </w:rPr>
        <w:t>， </w:t>
      </w:r>
      <w:r>
        <w:rPr>
          <w:spacing w:val="-2"/>
          <w:sz w:val="18"/>
        </w:rPr>
        <w:t>则判定该样本为乙型肝炎病毒</w:t>
      </w:r>
      <w:r>
        <w:rPr>
          <w:rFonts w:ascii="Times New Roman" w:hAnsi="Times New Roman" w:eastAsia="Times New Roman"/>
          <w:sz w:val="18"/>
        </w:rPr>
        <w:t>YIDD</w:t>
      </w:r>
      <w:r>
        <w:rPr>
          <w:rFonts w:ascii="Times New Roman" w:hAnsi="Times New Roman" w:eastAsia="Times New Roman"/>
          <w:spacing w:val="-6"/>
          <w:sz w:val="18"/>
        </w:rPr>
        <w:t> </w:t>
      </w:r>
      <w:r>
        <w:rPr>
          <w:spacing w:val="-9"/>
          <w:sz w:val="18"/>
        </w:rPr>
        <w:t>突变株。扩增曲线图见图 </w:t>
      </w:r>
      <w:r>
        <w:rPr>
          <w:rFonts w:ascii="Times New Roman" w:hAnsi="Times New Roman" w:eastAsia="Times New Roman"/>
          <w:sz w:val="18"/>
        </w:rPr>
        <w:t>1</w:t>
      </w:r>
      <w:r>
        <w:rPr>
          <w:sz w:val="18"/>
        </w:rPr>
        <w:t>。</w:t>
      </w:r>
    </w:p>
    <w:p>
      <w:pPr>
        <w:pStyle w:val="ListParagraph"/>
        <w:numPr>
          <w:ilvl w:val="0"/>
          <w:numId w:val="5"/>
        </w:numPr>
        <w:tabs>
          <w:tab w:pos="525" w:val="left" w:leader="none"/>
        </w:tabs>
        <w:spacing w:line="187" w:lineRule="auto" w:before="0" w:after="0"/>
        <w:ind w:left="555" w:right="161" w:hanging="166"/>
        <w:jc w:val="left"/>
        <w:rPr>
          <w:sz w:val="18"/>
        </w:rPr>
      </w:pPr>
      <w:r>
        <w:rPr>
          <w:spacing w:val="-1"/>
          <w:sz w:val="18"/>
        </w:rPr>
        <w:t>若样本的乙型肝炎病毒</w:t>
      </w:r>
      <w:r>
        <w:rPr>
          <w:rFonts w:ascii="Times New Roman" w:hAnsi="Times New Roman" w:eastAsia="Times New Roman"/>
          <w:sz w:val="18"/>
        </w:rPr>
        <w:t>YIDD</w:t>
      </w:r>
      <w:r>
        <w:rPr>
          <w:rFonts w:ascii="Times New Roman" w:hAnsi="Times New Roman" w:eastAsia="Times New Roman"/>
          <w:spacing w:val="-7"/>
          <w:sz w:val="18"/>
        </w:rPr>
        <w:t> </w:t>
      </w:r>
      <w:r>
        <w:rPr>
          <w:spacing w:val="-2"/>
          <w:sz w:val="18"/>
        </w:rPr>
        <w:t>试剂检测阴性，乙型肝炎病毒</w:t>
      </w:r>
      <w:r>
        <w:rPr>
          <w:rFonts w:ascii="Times New Roman" w:hAnsi="Times New Roman" w:eastAsia="Times New Roman"/>
          <w:sz w:val="18"/>
        </w:rPr>
        <w:t>YVDD</w:t>
      </w:r>
      <w:r>
        <w:rPr>
          <w:rFonts w:ascii="Times New Roman" w:hAnsi="Times New Roman" w:eastAsia="Times New Roman"/>
          <w:spacing w:val="-8"/>
          <w:sz w:val="18"/>
        </w:rPr>
        <w:t> </w:t>
      </w:r>
      <w:r>
        <w:rPr>
          <w:spacing w:val="1"/>
          <w:sz w:val="18"/>
        </w:rPr>
        <w:t>试剂检测阳性且</w:t>
      </w:r>
      <w:r>
        <w:rPr>
          <w:rFonts w:ascii="Times New Roman" w:hAnsi="Times New Roman" w:eastAsia="Times New Roman"/>
          <w:spacing w:val="-4"/>
          <w:sz w:val="18"/>
        </w:rPr>
        <w:t>Ct</w:t>
      </w:r>
      <w:r>
        <w:rPr>
          <w:spacing w:val="-4"/>
          <w:sz w:val="18"/>
        </w:rPr>
        <w:t>≤</w:t>
      </w:r>
      <w:r>
        <w:rPr>
          <w:rFonts w:ascii="Times New Roman" w:hAnsi="Times New Roman" w:eastAsia="Times New Roman"/>
          <w:spacing w:val="-4"/>
          <w:sz w:val="18"/>
        </w:rPr>
        <w:t>38</w:t>
      </w:r>
      <w:r>
        <w:rPr>
          <w:spacing w:val="-2"/>
          <w:sz w:val="18"/>
        </w:rPr>
        <w:t>，同时内标均检测为阳性，且</w:t>
      </w:r>
      <w:r>
        <w:rPr>
          <w:rFonts w:ascii="Times New Roman" w:hAnsi="Times New Roman" w:eastAsia="Times New Roman"/>
          <w:spacing w:val="-3"/>
          <w:sz w:val="18"/>
        </w:rPr>
        <w:t>Ct</w:t>
      </w:r>
      <w:r>
        <w:rPr>
          <w:spacing w:val="-3"/>
          <w:sz w:val="18"/>
        </w:rPr>
        <w:t>≤</w:t>
      </w:r>
      <w:r>
        <w:rPr>
          <w:rFonts w:ascii="Times New Roman" w:hAnsi="Times New Roman" w:eastAsia="Times New Roman"/>
          <w:spacing w:val="-3"/>
          <w:sz w:val="18"/>
        </w:rPr>
        <w:t>40</w:t>
      </w:r>
      <w:r>
        <w:rPr>
          <w:spacing w:val="-3"/>
          <w:sz w:val="18"/>
        </w:rPr>
        <w:t>， </w:t>
      </w:r>
      <w:r>
        <w:rPr>
          <w:spacing w:val="-2"/>
          <w:sz w:val="18"/>
        </w:rPr>
        <w:t>则判定该样本为乙型肝炎病毒</w:t>
      </w:r>
      <w:r>
        <w:rPr>
          <w:rFonts w:ascii="Times New Roman" w:hAnsi="Times New Roman" w:eastAsia="Times New Roman"/>
          <w:sz w:val="18"/>
        </w:rPr>
        <w:t>YVDD</w:t>
      </w:r>
      <w:r>
        <w:rPr>
          <w:rFonts w:ascii="Times New Roman" w:hAnsi="Times New Roman" w:eastAsia="Times New Roman"/>
          <w:spacing w:val="-8"/>
          <w:sz w:val="18"/>
        </w:rPr>
        <w:t> </w:t>
      </w:r>
      <w:r>
        <w:rPr>
          <w:spacing w:val="-9"/>
          <w:sz w:val="18"/>
        </w:rPr>
        <w:t>突变株。扩增曲线图见图 </w:t>
      </w:r>
      <w:r>
        <w:rPr>
          <w:rFonts w:ascii="Times New Roman" w:hAnsi="Times New Roman" w:eastAsia="Times New Roman"/>
          <w:sz w:val="18"/>
        </w:rPr>
        <w:t>2</w:t>
      </w:r>
      <w:r>
        <w:rPr>
          <w:sz w:val="18"/>
        </w:rPr>
        <w:t>。</w:t>
      </w:r>
    </w:p>
    <w:p>
      <w:pPr>
        <w:pStyle w:val="ListParagraph"/>
        <w:numPr>
          <w:ilvl w:val="0"/>
          <w:numId w:val="5"/>
        </w:numPr>
        <w:tabs>
          <w:tab w:pos="525" w:val="left" w:leader="none"/>
        </w:tabs>
        <w:spacing w:line="187" w:lineRule="auto" w:before="0" w:after="0"/>
        <w:ind w:left="468" w:right="336" w:hanging="80"/>
        <w:jc w:val="left"/>
        <w:rPr>
          <w:sz w:val="18"/>
        </w:rPr>
      </w:pPr>
      <w:r>
        <w:rPr>
          <w:spacing w:val="-1"/>
          <w:sz w:val="18"/>
        </w:rPr>
        <w:t>若样本的乙型肝炎病毒</w:t>
      </w:r>
      <w:r>
        <w:rPr>
          <w:rFonts w:ascii="Times New Roman" w:hAnsi="Times New Roman" w:eastAsia="Times New Roman"/>
          <w:sz w:val="18"/>
        </w:rPr>
        <w:t>YIDD</w:t>
      </w:r>
      <w:r>
        <w:rPr>
          <w:rFonts w:ascii="Times New Roman" w:hAnsi="Times New Roman" w:eastAsia="Times New Roman"/>
          <w:spacing w:val="-7"/>
          <w:sz w:val="18"/>
        </w:rPr>
        <w:t> </w:t>
      </w:r>
      <w:r>
        <w:rPr>
          <w:spacing w:val="1"/>
          <w:sz w:val="18"/>
        </w:rPr>
        <w:t>试剂检测阳性且</w:t>
      </w:r>
      <w:r>
        <w:rPr>
          <w:rFonts w:ascii="Times New Roman" w:hAnsi="Times New Roman" w:eastAsia="Times New Roman"/>
          <w:spacing w:val="-4"/>
          <w:sz w:val="18"/>
        </w:rPr>
        <w:t>Ct</w:t>
      </w:r>
      <w:r>
        <w:rPr>
          <w:spacing w:val="-4"/>
          <w:sz w:val="18"/>
        </w:rPr>
        <w:t>≤</w:t>
      </w:r>
      <w:r>
        <w:rPr>
          <w:rFonts w:ascii="Times New Roman" w:hAnsi="Times New Roman" w:eastAsia="Times New Roman"/>
          <w:spacing w:val="-4"/>
          <w:sz w:val="18"/>
        </w:rPr>
        <w:t>38</w:t>
      </w:r>
      <w:r>
        <w:rPr>
          <w:spacing w:val="1"/>
          <w:sz w:val="18"/>
        </w:rPr>
        <w:t>，乙型肝炎病毒</w:t>
      </w:r>
      <w:r>
        <w:rPr>
          <w:rFonts w:ascii="Times New Roman" w:hAnsi="Times New Roman" w:eastAsia="Times New Roman"/>
          <w:sz w:val="18"/>
        </w:rPr>
        <w:t>YVDD</w:t>
      </w:r>
      <w:r>
        <w:rPr>
          <w:rFonts w:ascii="Times New Roman" w:hAnsi="Times New Roman" w:eastAsia="Times New Roman"/>
          <w:spacing w:val="-6"/>
          <w:sz w:val="18"/>
        </w:rPr>
        <w:t> </w:t>
      </w:r>
      <w:r>
        <w:rPr>
          <w:spacing w:val="1"/>
          <w:sz w:val="18"/>
        </w:rPr>
        <w:t>试剂检测阳性且</w:t>
      </w:r>
      <w:r>
        <w:rPr>
          <w:rFonts w:ascii="Times New Roman" w:hAnsi="Times New Roman" w:eastAsia="Times New Roman"/>
          <w:spacing w:val="-4"/>
          <w:sz w:val="18"/>
        </w:rPr>
        <w:t>Ct</w:t>
      </w:r>
      <w:r>
        <w:rPr>
          <w:spacing w:val="-4"/>
          <w:sz w:val="18"/>
        </w:rPr>
        <w:t>≤</w:t>
      </w:r>
      <w:r>
        <w:rPr>
          <w:rFonts w:ascii="Times New Roman" w:hAnsi="Times New Roman" w:eastAsia="Times New Roman"/>
          <w:spacing w:val="-4"/>
          <w:sz w:val="18"/>
        </w:rPr>
        <w:t>38</w:t>
      </w:r>
      <w:r>
        <w:rPr>
          <w:spacing w:val="-5"/>
          <w:sz w:val="18"/>
        </w:rPr>
        <w:t>，同时内标均检测为阳性， </w:t>
      </w:r>
      <w:r>
        <w:rPr>
          <w:spacing w:val="40"/>
          <w:sz w:val="18"/>
        </w:rPr>
        <w:t>且</w:t>
      </w:r>
      <w:r>
        <w:rPr>
          <w:rFonts w:ascii="Times New Roman" w:hAnsi="Times New Roman" w:eastAsia="Times New Roman"/>
          <w:spacing w:val="-4"/>
          <w:sz w:val="18"/>
        </w:rPr>
        <w:t>Ct</w:t>
      </w:r>
      <w:r>
        <w:rPr>
          <w:spacing w:val="-4"/>
          <w:sz w:val="18"/>
        </w:rPr>
        <w:t>≤</w:t>
      </w:r>
      <w:r>
        <w:rPr>
          <w:rFonts w:ascii="Times New Roman" w:hAnsi="Times New Roman" w:eastAsia="Times New Roman"/>
          <w:spacing w:val="-4"/>
          <w:sz w:val="18"/>
        </w:rPr>
        <w:t>40</w:t>
      </w:r>
      <w:r>
        <w:rPr>
          <w:spacing w:val="-6"/>
          <w:sz w:val="18"/>
        </w:rPr>
        <w:t>，则判定该样本为乙型肝炎病毒 </w:t>
      </w:r>
      <w:r>
        <w:rPr>
          <w:rFonts w:ascii="Times New Roman" w:hAnsi="Times New Roman" w:eastAsia="Times New Roman"/>
          <w:spacing w:val="-3"/>
          <w:sz w:val="18"/>
        </w:rPr>
        <w:t>YIDD</w:t>
      </w:r>
      <w:r>
        <w:rPr>
          <w:spacing w:val="-5"/>
          <w:sz w:val="18"/>
        </w:rPr>
        <w:t>、</w:t>
      </w:r>
      <w:r>
        <w:rPr>
          <w:rFonts w:ascii="Times New Roman" w:hAnsi="Times New Roman" w:eastAsia="Times New Roman"/>
          <w:sz w:val="18"/>
        </w:rPr>
        <w:t>YVDD</w:t>
      </w:r>
      <w:r>
        <w:rPr>
          <w:rFonts w:ascii="Times New Roman" w:hAnsi="Times New Roman" w:eastAsia="Times New Roman"/>
          <w:spacing w:val="-5"/>
          <w:sz w:val="18"/>
        </w:rPr>
        <w:t> </w:t>
      </w:r>
      <w:r>
        <w:rPr>
          <w:spacing w:val="-9"/>
          <w:sz w:val="18"/>
        </w:rPr>
        <w:t>共生株。扩增曲线图见图 </w:t>
      </w:r>
      <w:r>
        <w:rPr>
          <w:rFonts w:ascii="Times New Roman" w:hAnsi="Times New Roman" w:eastAsia="Times New Roman"/>
          <w:spacing w:val="-4"/>
          <w:sz w:val="18"/>
        </w:rPr>
        <w:t>3</w:t>
      </w:r>
      <w:r>
        <w:rPr>
          <w:sz w:val="18"/>
        </w:rPr>
        <w:t>。</w:t>
      </w:r>
    </w:p>
    <w:p>
      <w:pPr>
        <w:pStyle w:val="ListParagraph"/>
        <w:numPr>
          <w:ilvl w:val="0"/>
          <w:numId w:val="5"/>
        </w:numPr>
        <w:tabs>
          <w:tab w:pos="525" w:val="left" w:leader="none"/>
        </w:tabs>
        <w:spacing w:line="187" w:lineRule="auto" w:before="1" w:after="0"/>
        <w:ind w:left="468" w:right="372" w:hanging="80"/>
        <w:jc w:val="left"/>
        <w:rPr>
          <w:sz w:val="18"/>
        </w:rPr>
      </w:pPr>
      <w:r>
        <w:rPr>
          <w:spacing w:val="-1"/>
          <w:sz w:val="18"/>
        </w:rPr>
        <w:t>若样本的乙型肝炎病毒</w:t>
      </w:r>
      <w:r>
        <w:rPr>
          <w:rFonts w:ascii="Times New Roman" w:hAnsi="Times New Roman" w:eastAsia="Times New Roman"/>
          <w:sz w:val="18"/>
        </w:rPr>
        <w:t>YIDD</w:t>
      </w:r>
      <w:r>
        <w:rPr>
          <w:rFonts w:ascii="Times New Roman" w:hAnsi="Times New Roman" w:eastAsia="Times New Roman"/>
          <w:spacing w:val="-9"/>
          <w:sz w:val="18"/>
        </w:rPr>
        <w:t> </w:t>
      </w:r>
      <w:r>
        <w:rPr>
          <w:spacing w:val="-2"/>
          <w:sz w:val="18"/>
        </w:rPr>
        <w:t>试剂检测阴性，乙型肝炎病毒</w:t>
      </w:r>
      <w:r>
        <w:rPr>
          <w:rFonts w:ascii="Times New Roman" w:hAnsi="Times New Roman" w:eastAsia="Times New Roman"/>
          <w:sz w:val="18"/>
        </w:rPr>
        <w:t>YVDD</w:t>
      </w:r>
      <w:r>
        <w:rPr>
          <w:rFonts w:ascii="Times New Roman" w:hAnsi="Times New Roman" w:eastAsia="Times New Roman"/>
          <w:spacing w:val="-10"/>
          <w:sz w:val="18"/>
        </w:rPr>
        <w:t> </w:t>
      </w:r>
      <w:r>
        <w:rPr>
          <w:spacing w:val="-3"/>
          <w:sz w:val="18"/>
        </w:rPr>
        <w:t>试剂检测阴性，同时内标均检测为阳性，且</w:t>
      </w:r>
      <w:r>
        <w:rPr>
          <w:rFonts w:ascii="Times New Roman" w:hAnsi="Times New Roman" w:eastAsia="Times New Roman"/>
          <w:spacing w:val="-4"/>
          <w:sz w:val="18"/>
        </w:rPr>
        <w:t>Ct</w:t>
      </w:r>
      <w:r>
        <w:rPr>
          <w:spacing w:val="-4"/>
          <w:sz w:val="18"/>
        </w:rPr>
        <w:t>≤</w:t>
      </w:r>
      <w:r>
        <w:rPr>
          <w:rFonts w:ascii="Times New Roman" w:hAnsi="Times New Roman" w:eastAsia="Times New Roman"/>
          <w:spacing w:val="-4"/>
          <w:sz w:val="18"/>
        </w:rPr>
        <w:t>40</w:t>
      </w:r>
      <w:r>
        <w:rPr>
          <w:spacing w:val="-4"/>
          <w:sz w:val="18"/>
        </w:rPr>
        <w:t>，则判定</w:t>
      </w:r>
      <w:r>
        <w:rPr>
          <w:spacing w:val="-7"/>
          <w:sz w:val="18"/>
        </w:rPr>
        <w:t>该样本为乙型肝炎病毒野生型株。扩增曲线图见图 </w:t>
      </w:r>
      <w:r>
        <w:rPr>
          <w:rFonts w:ascii="Times New Roman" w:hAnsi="Times New Roman" w:eastAsia="Times New Roman"/>
          <w:sz w:val="18"/>
        </w:rPr>
        <w:t>4</w:t>
      </w:r>
      <w:r>
        <w:rPr>
          <w:sz w:val="18"/>
        </w:rPr>
        <w:t>。</w:t>
      </w:r>
    </w:p>
    <w:p>
      <w:pPr>
        <w:pStyle w:val="ListParagraph"/>
        <w:numPr>
          <w:ilvl w:val="0"/>
          <w:numId w:val="5"/>
        </w:numPr>
        <w:tabs>
          <w:tab w:pos="604" w:val="left" w:leader="none"/>
        </w:tabs>
        <w:spacing w:line="166" w:lineRule="exact" w:before="0" w:after="0"/>
        <w:ind w:left="603" w:right="0" w:hanging="217"/>
        <w:jc w:val="left"/>
        <w:rPr>
          <w:rFonts w:ascii="Times New Roman" w:hAnsi="Times New Roman" w:eastAsia="Times New Roman"/>
          <w:sz w:val="18"/>
        </w:rPr>
      </w:pPr>
      <w:r>
        <w:rPr>
          <w:spacing w:val="-5"/>
          <w:sz w:val="18"/>
        </w:rPr>
        <w:t>对于测定值</w:t>
      </w:r>
      <w:r>
        <w:rPr>
          <w:rFonts w:ascii="Times New Roman" w:hAnsi="Times New Roman" w:eastAsia="Times New Roman"/>
          <w:spacing w:val="-3"/>
          <w:sz w:val="18"/>
        </w:rPr>
        <w:t>&lt;200IU/ml</w:t>
      </w:r>
      <w:r>
        <w:rPr>
          <w:rFonts w:ascii="Times New Roman" w:hAnsi="Times New Roman" w:eastAsia="Times New Roman"/>
          <w:spacing w:val="-2"/>
          <w:sz w:val="18"/>
        </w:rPr>
        <w:t> </w:t>
      </w:r>
      <w:r>
        <w:rPr>
          <w:spacing w:val="5"/>
          <w:sz w:val="18"/>
        </w:rPr>
        <w:t>或者检测</w:t>
      </w:r>
      <w:r>
        <w:rPr>
          <w:rFonts w:ascii="Times New Roman" w:hAnsi="Times New Roman" w:eastAsia="Times New Roman"/>
          <w:spacing w:val="-3"/>
          <w:sz w:val="18"/>
        </w:rPr>
        <w:t>Ct</w:t>
      </w:r>
      <w:r>
        <w:rPr>
          <w:spacing w:val="-3"/>
          <w:sz w:val="18"/>
        </w:rPr>
        <w:t>＞</w:t>
      </w:r>
      <w:r>
        <w:rPr>
          <w:rFonts w:ascii="Times New Roman" w:hAnsi="Times New Roman" w:eastAsia="Times New Roman"/>
          <w:spacing w:val="-3"/>
          <w:sz w:val="18"/>
        </w:rPr>
        <w:t>38</w:t>
      </w:r>
      <w:r>
        <w:rPr>
          <w:rFonts w:ascii="Times New Roman" w:hAnsi="Times New Roman" w:eastAsia="Times New Roman"/>
          <w:spacing w:val="-6"/>
          <w:sz w:val="18"/>
        </w:rPr>
        <w:t> </w:t>
      </w:r>
      <w:r>
        <w:rPr>
          <w:spacing w:val="-2"/>
          <w:sz w:val="18"/>
        </w:rPr>
        <w:t>的样本，同时，内标检测为阳性且</w:t>
      </w:r>
      <w:r>
        <w:rPr>
          <w:rFonts w:ascii="Times New Roman" w:hAnsi="Times New Roman" w:eastAsia="Times New Roman"/>
          <w:spacing w:val="-4"/>
          <w:sz w:val="18"/>
        </w:rPr>
        <w:t>Ct</w:t>
      </w:r>
      <w:r>
        <w:rPr>
          <w:spacing w:val="-4"/>
          <w:sz w:val="18"/>
        </w:rPr>
        <w:t>≤</w:t>
      </w:r>
      <w:r>
        <w:rPr>
          <w:rFonts w:ascii="Times New Roman" w:hAnsi="Times New Roman" w:eastAsia="Times New Roman"/>
          <w:spacing w:val="-4"/>
          <w:sz w:val="18"/>
        </w:rPr>
        <w:t>40</w:t>
      </w:r>
      <w:r>
        <w:rPr>
          <w:spacing w:val="-6"/>
          <w:sz w:val="18"/>
        </w:rPr>
        <w:t>，则报告乙型肝炎病毒 </w:t>
      </w:r>
      <w:r>
        <w:rPr>
          <w:rFonts w:ascii="Times New Roman" w:hAnsi="Times New Roman" w:eastAsia="Times New Roman"/>
          <w:sz w:val="18"/>
        </w:rPr>
        <w:t>YMDD</w:t>
      </w:r>
      <w:r>
        <w:rPr>
          <w:rFonts w:ascii="Times New Roman" w:hAnsi="Times New Roman" w:eastAsia="Times New Roman"/>
          <w:spacing w:val="-5"/>
          <w:sz w:val="18"/>
        </w:rPr>
        <w:t> </w:t>
      </w:r>
      <w:r>
        <w:rPr>
          <w:rFonts w:ascii="Times New Roman" w:hAnsi="Times New Roman" w:eastAsia="Times New Roman"/>
          <w:sz w:val="18"/>
        </w:rPr>
        <w:t>DNA</w:t>
      </w:r>
    </w:p>
    <w:p>
      <w:pPr>
        <w:pStyle w:val="BodyText"/>
        <w:spacing w:line="187" w:lineRule="auto" w:before="14"/>
        <w:ind w:left="103" w:right="113" w:firstLine="417"/>
      </w:pPr>
      <w:r>
        <w:rPr/>
        <w:drawing>
          <wp:anchor distT="0" distB="0" distL="0" distR="0" allowOverlap="1" layoutInCell="1" locked="0" behindDoc="0" simplePos="0" relativeHeight="2">
            <wp:simplePos x="0" y="0"/>
            <wp:positionH relativeFrom="page">
              <wp:posOffset>1219200</wp:posOffset>
            </wp:positionH>
            <wp:positionV relativeFrom="paragraph">
              <wp:posOffset>281812</wp:posOffset>
            </wp:positionV>
            <wp:extent cx="2481847" cy="1500759"/>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7" cstate="print"/>
                    <a:stretch>
                      <a:fillRect/>
                    </a:stretch>
                  </pic:blipFill>
                  <pic:spPr>
                    <a:xfrm>
                      <a:off x="0" y="0"/>
                      <a:ext cx="2481847" cy="1500759"/>
                    </a:xfrm>
                    <a:prstGeom prst="rect">
                      <a:avLst/>
                    </a:prstGeom>
                  </pic:spPr>
                </pic:pic>
              </a:graphicData>
            </a:graphic>
          </wp:anchor>
        </w:drawing>
      </w:r>
      <w:r>
        <w:rPr/>
        <w:drawing>
          <wp:anchor distT="0" distB="0" distL="0" distR="0" allowOverlap="1" layoutInCell="1" locked="0" behindDoc="0" simplePos="0" relativeHeight="3">
            <wp:simplePos x="0" y="0"/>
            <wp:positionH relativeFrom="page">
              <wp:posOffset>3924300</wp:posOffset>
            </wp:positionH>
            <wp:positionV relativeFrom="paragraph">
              <wp:posOffset>281812</wp:posOffset>
            </wp:positionV>
            <wp:extent cx="2466390" cy="1495805"/>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8" cstate="print"/>
                    <a:stretch>
                      <a:fillRect/>
                    </a:stretch>
                  </pic:blipFill>
                  <pic:spPr>
                    <a:xfrm>
                      <a:off x="0" y="0"/>
                      <a:ext cx="2466390" cy="1495805"/>
                    </a:xfrm>
                    <a:prstGeom prst="rect">
                      <a:avLst/>
                    </a:prstGeom>
                  </pic:spPr>
                </pic:pic>
              </a:graphicData>
            </a:graphic>
          </wp:anchor>
        </w:drawing>
      </w:r>
      <w:r>
        <w:rPr>
          <w:spacing w:val="-6"/>
        </w:rPr>
        <w:t>含量低于试剂盒检测下限或者乙型肝炎病毒 </w:t>
      </w:r>
      <w:r>
        <w:rPr>
          <w:rFonts w:ascii="Times New Roman" w:eastAsia="Times New Roman"/>
          <w:spacing w:val="-1"/>
        </w:rPr>
        <w:t>Y</w:t>
      </w:r>
      <w:r>
        <w:rPr>
          <w:rFonts w:ascii="Times New Roman" w:eastAsia="Times New Roman"/>
          <w:spacing w:val="-2"/>
        </w:rPr>
        <w:t>M</w:t>
      </w:r>
      <w:r>
        <w:rPr>
          <w:rFonts w:ascii="Times New Roman" w:eastAsia="Times New Roman"/>
          <w:spacing w:val="-3"/>
        </w:rPr>
        <w:t>D</w:t>
      </w:r>
      <w:r>
        <w:rPr>
          <w:rFonts w:ascii="Times New Roman" w:eastAsia="Times New Roman"/>
        </w:rPr>
        <w:t>D </w:t>
      </w:r>
      <w:r>
        <w:rPr>
          <w:spacing w:val="-8"/>
        </w:rPr>
        <w:t>突变株占总乙型肝炎病毒的比率小于 </w:t>
      </w:r>
      <w:r>
        <w:rPr>
          <w:rFonts w:ascii="Times New Roman" w:eastAsia="Times New Roman"/>
          <w:spacing w:val="-2"/>
        </w:rPr>
        <w:t>10</w:t>
      </w:r>
      <w:r>
        <w:rPr>
          <w:rFonts w:ascii="Times New Roman" w:eastAsia="Times New Roman"/>
          <w:spacing w:val="-4"/>
        </w:rPr>
        <w:t>%</w:t>
      </w:r>
      <w:r>
        <w:rPr>
          <w:spacing w:val="-25"/>
        </w:rPr>
        <w:t>；若内标不正常</w:t>
      </w:r>
      <w:r>
        <w:rPr>
          <w:spacing w:val="-5"/>
        </w:rPr>
        <w:t>（</w:t>
      </w:r>
      <w:r>
        <w:rPr>
          <w:rFonts w:ascii="Times New Roman" w:eastAsia="Times New Roman"/>
          <w:spacing w:val="-1"/>
        </w:rPr>
        <w:t>C</w:t>
      </w:r>
      <w:r>
        <w:rPr>
          <w:rFonts w:ascii="Times New Roman" w:eastAsia="Times New Roman"/>
          <w:spacing w:val="-2"/>
        </w:rPr>
        <w:t>t</w:t>
      </w:r>
      <w:r>
        <w:rPr>
          <w:spacing w:val="-5"/>
        </w:rPr>
        <w:t>＞</w:t>
      </w:r>
      <w:r>
        <w:rPr>
          <w:rFonts w:ascii="Times New Roman" w:eastAsia="Times New Roman"/>
          <w:spacing w:val="-2"/>
        </w:rPr>
        <w:t>4</w:t>
      </w:r>
      <w:r>
        <w:rPr>
          <w:rFonts w:ascii="Times New Roman" w:eastAsia="Times New Roman"/>
        </w:rPr>
        <w:t>0</w:t>
      </w:r>
      <w:r>
        <w:rPr>
          <w:rFonts w:ascii="Times New Roman" w:eastAsia="Times New Roman"/>
          <w:spacing w:val="-4"/>
        </w:rPr>
        <w:t>  </w:t>
      </w:r>
      <w:r>
        <w:rPr>
          <w:spacing w:val="-5"/>
        </w:rPr>
        <w:t>或无数值</w:t>
      </w:r>
      <w:r>
        <w:rPr>
          <w:spacing w:val="-94"/>
        </w:rPr>
        <w:t>）</w:t>
      </w:r>
      <w:r>
        <w:rPr/>
        <w:t>，</w:t>
      </w:r>
      <w:r>
        <w:rPr>
          <w:spacing w:val="-5"/>
        </w:rPr>
        <w:t>则该样本的检测结果无效，应查找并排除原因，并对此样本进行重复实验（若检测结果仍无效，请与本公司联系</w:t>
      </w:r>
      <w:r>
        <w:rPr>
          <w:spacing w:val="-3"/>
        </w:rPr>
        <w:t>）</w:t>
      </w:r>
      <w:r>
        <w:rPr/>
        <w:t>。</w:t>
      </w:r>
    </w:p>
    <w:p>
      <w:pPr>
        <w:pStyle w:val="BodyText"/>
        <w:tabs>
          <w:tab w:pos="4293" w:val="left" w:leader="none"/>
        </w:tabs>
        <w:spacing w:before="18" w:after="83"/>
        <w:ind w:left="312"/>
        <w:jc w:val="center"/>
      </w:pPr>
      <w:r>
        <w:rPr/>
        <w:t>图</w:t>
      </w:r>
      <w:r>
        <w:rPr>
          <w:spacing w:val="-51"/>
        </w:rPr>
        <w:t> </w:t>
      </w:r>
      <w:r>
        <w:rPr>
          <w:rFonts w:ascii="Times New Roman" w:eastAsia="Times New Roman"/>
        </w:rPr>
        <w:t>1  </w:t>
      </w:r>
      <w:r>
        <w:rPr>
          <w:rFonts w:ascii="Times New Roman" w:eastAsia="Times New Roman"/>
          <w:spacing w:val="24"/>
        </w:rPr>
        <w:t> </w:t>
      </w:r>
      <w:r>
        <w:rPr>
          <w:rFonts w:ascii="Times New Roman" w:eastAsia="Times New Roman"/>
        </w:rPr>
        <w:t>YIDD</w:t>
      </w:r>
      <w:r>
        <w:rPr>
          <w:rFonts w:ascii="Times New Roman" w:eastAsia="Times New Roman"/>
          <w:spacing w:val="-4"/>
        </w:rPr>
        <w:t> </w:t>
      </w:r>
      <w:r>
        <w:rPr>
          <w:spacing w:val="-5"/>
        </w:rPr>
        <w:t>突</w:t>
      </w:r>
      <w:r>
        <w:rPr>
          <w:spacing w:val="-3"/>
        </w:rPr>
        <w:t>变</w:t>
      </w:r>
      <w:r>
        <w:rPr/>
        <w:t>株</w:t>
        <w:tab/>
        <w:t>图</w:t>
      </w:r>
      <w:r>
        <w:rPr>
          <w:spacing w:val="-50"/>
        </w:rPr>
        <w:t> </w:t>
      </w:r>
      <w:r>
        <w:rPr>
          <w:rFonts w:ascii="Times New Roman" w:eastAsia="Times New Roman"/>
        </w:rPr>
        <w:t>2  </w:t>
      </w:r>
      <w:r>
        <w:rPr>
          <w:rFonts w:ascii="Times New Roman" w:eastAsia="Times New Roman"/>
          <w:spacing w:val="26"/>
        </w:rPr>
        <w:t> </w:t>
      </w:r>
      <w:r>
        <w:rPr>
          <w:rFonts w:ascii="Times New Roman" w:eastAsia="Times New Roman"/>
        </w:rPr>
        <w:t>YVDD</w:t>
      </w:r>
      <w:r>
        <w:rPr>
          <w:rFonts w:ascii="Times New Roman" w:eastAsia="Times New Roman"/>
          <w:spacing w:val="-5"/>
        </w:rPr>
        <w:t> </w:t>
      </w:r>
      <w:r>
        <w:rPr>
          <w:spacing w:val="-5"/>
        </w:rPr>
        <w:t>突</w:t>
      </w:r>
      <w:r>
        <w:rPr>
          <w:spacing w:val="-3"/>
        </w:rPr>
        <w:t>变</w:t>
      </w:r>
      <w:r>
        <w:rPr/>
        <w:t>株</w:t>
      </w:r>
    </w:p>
    <w:p>
      <w:pPr>
        <w:tabs>
          <w:tab w:pos="5660" w:val="left" w:leader="none"/>
        </w:tabs>
        <w:spacing w:line="240" w:lineRule="auto"/>
        <w:ind w:left="1400" w:right="0" w:firstLine="0"/>
        <w:rPr>
          <w:sz w:val="20"/>
        </w:rPr>
      </w:pPr>
      <w:r>
        <w:rPr>
          <w:sz w:val="20"/>
        </w:rPr>
        <w:drawing>
          <wp:inline distT="0" distB="0" distL="0" distR="0">
            <wp:extent cx="2483011" cy="1510664"/>
            <wp:effectExtent l="0" t="0" r="0" b="0"/>
            <wp:docPr id="5" name="image3.jpeg"/>
            <wp:cNvGraphicFramePr>
              <a:graphicFrameLocks noChangeAspect="1"/>
            </wp:cNvGraphicFramePr>
            <a:graphic>
              <a:graphicData uri="http://schemas.openxmlformats.org/drawingml/2006/picture">
                <pic:pic>
                  <pic:nvPicPr>
                    <pic:cNvPr id="6" name="image3.jpeg"/>
                    <pic:cNvPicPr/>
                  </pic:nvPicPr>
                  <pic:blipFill>
                    <a:blip r:embed="rId9" cstate="print"/>
                    <a:stretch>
                      <a:fillRect/>
                    </a:stretch>
                  </pic:blipFill>
                  <pic:spPr>
                    <a:xfrm>
                      <a:off x="0" y="0"/>
                      <a:ext cx="2483011" cy="1510664"/>
                    </a:xfrm>
                    <a:prstGeom prst="rect">
                      <a:avLst/>
                    </a:prstGeom>
                  </pic:spPr>
                </pic:pic>
              </a:graphicData>
            </a:graphic>
          </wp:inline>
        </w:drawing>
      </w:r>
      <w:r>
        <w:rPr>
          <w:sz w:val="20"/>
        </w:rPr>
      </w:r>
      <w:r>
        <w:rPr>
          <w:sz w:val="20"/>
        </w:rPr>
        <w:tab/>
      </w:r>
      <w:r>
        <w:rPr>
          <w:position w:val="5"/>
          <w:sz w:val="20"/>
        </w:rPr>
        <w:drawing>
          <wp:inline distT="0" distB="0" distL="0" distR="0">
            <wp:extent cx="2427502" cy="1476756"/>
            <wp:effectExtent l="0" t="0" r="0" b="0"/>
            <wp:docPr id="7" name="image4.jpeg"/>
            <wp:cNvGraphicFramePr>
              <a:graphicFrameLocks noChangeAspect="1"/>
            </wp:cNvGraphicFramePr>
            <a:graphic>
              <a:graphicData uri="http://schemas.openxmlformats.org/drawingml/2006/picture">
                <pic:pic>
                  <pic:nvPicPr>
                    <pic:cNvPr id="8" name="image4.jpeg"/>
                    <pic:cNvPicPr/>
                  </pic:nvPicPr>
                  <pic:blipFill>
                    <a:blip r:embed="rId10" cstate="print"/>
                    <a:stretch>
                      <a:fillRect/>
                    </a:stretch>
                  </pic:blipFill>
                  <pic:spPr>
                    <a:xfrm>
                      <a:off x="0" y="0"/>
                      <a:ext cx="2427502" cy="1476756"/>
                    </a:xfrm>
                    <a:prstGeom prst="rect">
                      <a:avLst/>
                    </a:prstGeom>
                  </pic:spPr>
                </pic:pic>
              </a:graphicData>
            </a:graphic>
          </wp:inline>
        </w:drawing>
      </w:r>
      <w:r>
        <w:rPr>
          <w:position w:val="5"/>
          <w:sz w:val="20"/>
        </w:rPr>
      </w:r>
    </w:p>
    <w:p>
      <w:pPr>
        <w:spacing w:after="0" w:line="240" w:lineRule="auto"/>
        <w:rPr>
          <w:sz w:val="20"/>
        </w:rPr>
        <w:sectPr>
          <w:pgSz w:w="11910" w:h="16840"/>
          <w:pgMar w:header="462" w:footer="426" w:top="660" w:bottom="660" w:left="520" w:right="700"/>
        </w:sectPr>
      </w:pPr>
    </w:p>
    <w:p>
      <w:pPr>
        <w:pStyle w:val="BodyText"/>
        <w:spacing w:before="8"/>
        <w:ind w:left="0"/>
        <w:rPr>
          <w:sz w:val="14"/>
        </w:rPr>
      </w:pPr>
    </w:p>
    <w:p>
      <w:pPr>
        <w:pStyle w:val="Heading1"/>
        <w:spacing w:line="205" w:lineRule="exact"/>
      </w:pPr>
      <w:r>
        <w:rPr>
          <w:spacing w:val="-7"/>
        </w:rPr>
        <w:t>【检测方法的局限性】</w:t>
      </w:r>
    </w:p>
    <w:p>
      <w:pPr>
        <w:pStyle w:val="BodyText"/>
        <w:tabs>
          <w:tab w:pos="4210" w:val="left" w:leader="none"/>
        </w:tabs>
        <w:spacing w:before="7"/>
        <w:ind w:left="144"/>
      </w:pPr>
      <w:r>
        <w:rPr/>
        <w:br w:type="column"/>
      </w:r>
      <w:r>
        <w:rPr/>
        <w:t>图</w:t>
      </w:r>
      <w:r>
        <w:rPr>
          <w:spacing w:val="-51"/>
        </w:rPr>
        <w:t> </w:t>
      </w:r>
      <w:r>
        <w:rPr>
          <w:rFonts w:ascii="Times New Roman" w:eastAsia="Times New Roman"/>
        </w:rPr>
        <w:t>3  </w:t>
      </w:r>
      <w:r>
        <w:rPr>
          <w:rFonts w:ascii="Times New Roman" w:eastAsia="Times New Roman"/>
          <w:spacing w:val="26"/>
        </w:rPr>
        <w:t> </w:t>
      </w:r>
      <w:r>
        <w:rPr>
          <w:rFonts w:ascii="Times New Roman" w:eastAsia="Times New Roman"/>
          <w:spacing w:val="-3"/>
        </w:rPr>
        <w:t>YIDD</w:t>
      </w:r>
      <w:r>
        <w:rPr>
          <w:spacing w:val="-5"/>
        </w:rPr>
        <w:t>、</w:t>
      </w:r>
      <w:r>
        <w:rPr>
          <w:rFonts w:ascii="Times New Roman" w:eastAsia="Times New Roman"/>
        </w:rPr>
        <w:t>YVDD</w:t>
      </w:r>
      <w:r>
        <w:rPr>
          <w:rFonts w:ascii="Times New Roman" w:eastAsia="Times New Roman"/>
          <w:spacing w:val="-5"/>
        </w:rPr>
        <w:t> </w:t>
      </w:r>
      <w:r>
        <w:rPr>
          <w:spacing w:val="-5"/>
        </w:rPr>
        <w:t>共</w:t>
      </w:r>
      <w:r>
        <w:rPr>
          <w:spacing w:val="-3"/>
        </w:rPr>
        <w:t>生</w:t>
      </w:r>
      <w:r>
        <w:rPr/>
        <w:t>株</w:t>
        <w:tab/>
        <w:t>图</w:t>
      </w:r>
      <w:r>
        <w:rPr>
          <w:spacing w:val="-50"/>
        </w:rPr>
        <w:t> </w:t>
      </w:r>
      <w:r>
        <w:rPr>
          <w:rFonts w:ascii="Times New Roman" w:eastAsia="Times New Roman"/>
        </w:rPr>
        <w:t>2</w:t>
      </w:r>
      <w:r>
        <w:rPr>
          <w:rFonts w:ascii="Times New Roman" w:eastAsia="Times New Roman"/>
          <w:spacing w:val="34"/>
        </w:rPr>
        <w:t> </w:t>
      </w:r>
      <w:r>
        <w:rPr>
          <w:spacing w:val="-5"/>
        </w:rPr>
        <w:t>乙</w:t>
      </w:r>
      <w:r>
        <w:rPr>
          <w:spacing w:val="-3"/>
        </w:rPr>
        <w:t>型</w:t>
      </w:r>
      <w:r>
        <w:rPr>
          <w:spacing w:val="-5"/>
        </w:rPr>
        <w:t>肝炎</w:t>
      </w:r>
      <w:r>
        <w:rPr>
          <w:spacing w:val="-3"/>
        </w:rPr>
        <w:t>病</w:t>
      </w:r>
      <w:r>
        <w:rPr>
          <w:spacing w:val="-5"/>
        </w:rPr>
        <w:t>毒野</w:t>
      </w:r>
      <w:r>
        <w:rPr>
          <w:spacing w:val="-3"/>
        </w:rPr>
        <w:t>生</w:t>
      </w:r>
      <w:r>
        <w:rPr>
          <w:spacing w:val="-5"/>
        </w:rPr>
        <w:t>型</w:t>
      </w:r>
      <w:r>
        <w:rPr/>
        <w:t>株</w:t>
      </w:r>
    </w:p>
    <w:p>
      <w:pPr>
        <w:spacing w:after="0"/>
        <w:sectPr>
          <w:type w:val="continuous"/>
          <w:pgSz w:w="11910" w:h="16840"/>
          <w:pgMar w:top="660" w:bottom="620" w:left="520" w:right="700"/>
          <w:cols w:num="2" w:equalWidth="0">
            <w:col w:w="2159" w:space="40"/>
            <w:col w:w="8491"/>
          </w:cols>
        </w:sectPr>
      </w:pPr>
    </w:p>
    <w:p>
      <w:pPr>
        <w:pStyle w:val="BodyText"/>
        <w:spacing w:line="187" w:lineRule="auto" w:before="14"/>
        <w:ind w:right="200" w:firstLine="352"/>
      </w:pPr>
      <w:r>
        <w:rPr>
          <w:spacing w:val="-5"/>
        </w:rPr>
        <w:t>样本检测结果与样本收集、处理、运送及保存质量有关，其中任何失误都将会导致结果不准确。如果样本处理时没有控制好交叉污染，可能出现假阳性结果。检测结果不能作为临床确诊依据，仅供临床医生参考使用。</w:t>
      </w:r>
    </w:p>
    <w:p>
      <w:pPr>
        <w:pStyle w:val="Heading1"/>
      </w:pPr>
      <w:r>
        <w:rPr/>
        <w:t>【产品性能指标】</w:t>
      </w:r>
    </w:p>
    <w:p>
      <w:pPr>
        <w:pStyle w:val="BodyText"/>
        <w:spacing w:line="187" w:lineRule="auto" w:before="14"/>
        <w:ind w:right="101" w:firstLine="352"/>
      </w:pPr>
      <w:r>
        <w:rPr>
          <w:spacing w:val="-10"/>
        </w:rPr>
        <w:t>本试剂盒检测企业工作参考品，阴、阳性符合率均为 </w:t>
      </w:r>
      <w:r>
        <w:rPr>
          <w:rFonts w:ascii="Times New Roman" w:hAnsi="Times New Roman" w:eastAsia="Times New Roman"/>
          <w:spacing w:val="-3"/>
        </w:rPr>
        <w:t>100%</w:t>
      </w:r>
      <w:r>
        <w:rPr>
          <w:spacing w:val="-11"/>
        </w:rPr>
        <w:t>。精密度试验表明：批内和批间重复性好，检测浓度对数值的变异系数（</w:t>
      </w:r>
      <w:r>
        <w:rPr>
          <w:rFonts w:ascii="Times New Roman" w:hAnsi="Times New Roman" w:eastAsia="Times New Roman"/>
          <w:spacing w:val="-11"/>
        </w:rPr>
        <w:t>CV</w:t>
      </w:r>
      <w:r>
        <w:rPr>
          <w:spacing w:val="-11"/>
        </w:rPr>
        <w:t>，</w:t>
      </w:r>
      <w:r>
        <w:rPr>
          <w:rFonts w:ascii="Times New Roman" w:hAnsi="Times New Roman" w:eastAsia="Times New Roman"/>
          <w:spacing w:val="-11"/>
        </w:rPr>
        <w:t>%</w:t>
      </w:r>
      <w:r>
        <w:rPr>
          <w:spacing w:val="-11"/>
        </w:rPr>
        <w:t>）</w:t>
      </w:r>
      <w:r>
        <w:rPr>
          <w:rFonts w:ascii="Times New Roman" w:hAnsi="Times New Roman" w:eastAsia="Times New Roman"/>
          <w:spacing w:val="-11"/>
        </w:rPr>
        <w:t>≤5%</w:t>
      </w:r>
      <w:r>
        <w:rPr>
          <w:spacing w:val="-6"/>
        </w:rPr>
        <w:t>。本试剂盒可检测乙型肝炎病毒 </w:t>
      </w:r>
      <w:r>
        <w:rPr>
          <w:rFonts w:ascii="Times New Roman" w:hAnsi="Times New Roman" w:eastAsia="Times New Roman"/>
        </w:rPr>
        <w:t>YIDD </w:t>
      </w:r>
      <w:r>
        <w:rPr>
          <w:spacing w:val="40"/>
        </w:rPr>
        <w:t>和</w:t>
      </w:r>
      <w:r>
        <w:rPr>
          <w:rFonts w:ascii="Times New Roman" w:hAnsi="Times New Roman" w:eastAsia="Times New Roman"/>
        </w:rPr>
        <w:t>YVDD </w:t>
      </w:r>
      <w:r>
        <w:rPr>
          <w:spacing w:val="-10"/>
        </w:rPr>
        <w:t>突变，检测灵敏度为 </w:t>
      </w:r>
      <w:r>
        <w:rPr>
          <w:rFonts w:ascii="Times New Roman" w:hAnsi="Times New Roman" w:eastAsia="Times New Roman"/>
          <w:spacing w:val="-2"/>
        </w:rPr>
        <w:t>200 </w:t>
      </w:r>
      <w:r>
        <w:rPr>
          <w:rFonts w:ascii="Times New Roman" w:hAnsi="Times New Roman" w:eastAsia="Times New Roman"/>
          <w:spacing w:val="-3"/>
        </w:rPr>
        <w:t>IU/ml</w:t>
      </w:r>
      <w:r>
        <w:rPr>
          <w:spacing w:val="-5"/>
        </w:rPr>
        <w:t>，或者样本中乙型肝炎病毒总量</w:t>
      </w:r>
      <w:r>
        <w:rPr>
          <w:spacing w:val="-28"/>
        </w:rPr>
        <w:t>为 </w:t>
      </w:r>
      <w:r>
        <w:rPr>
          <w:rFonts w:ascii="Times New Roman" w:hAnsi="Times New Roman" w:eastAsia="Times New Roman"/>
          <w:spacing w:val="-2"/>
        </w:rPr>
        <w:t>1</w:t>
      </w:r>
      <w:r>
        <w:rPr>
          <w:rFonts w:ascii="Times New Roman" w:hAnsi="Times New Roman" w:eastAsia="Times New Roman"/>
          <w:spacing w:val="-4"/>
        </w:rPr>
        <w:t>0</w:t>
      </w:r>
      <w:r>
        <w:rPr>
          <w:rFonts w:ascii="Times New Roman" w:hAnsi="Times New Roman" w:eastAsia="Times New Roman"/>
          <w:spacing w:val="-3"/>
          <w:w w:val="104"/>
          <w:position w:val="6"/>
          <w:sz w:val="11"/>
        </w:rPr>
        <w:t>6</w:t>
      </w:r>
      <w:r>
        <w:rPr>
          <w:rFonts w:ascii="Times New Roman" w:hAnsi="Times New Roman" w:eastAsia="Times New Roman"/>
        </w:rPr>
        <w:t>I</w:t>
      </w:r>
      <w:r>
        <w:rPr>
          <w:rFonts w:ascii="Times New Roman" w:hAnsi="Times New Roman" w:eastAsia="Times New Roman"/>
          <w:spacing w:val="-3"/>
        </w:rPr>
        <w:t>U</w:t>
      </w:r>
      <w:r>
        <w:rPr>
          <w:rFonts w:ascii="Times New Roman" w:hAnsi="Times New Roman" w:eastAsia="Times New Roman"/>
          <w:spacing w:val="-2"/>
        </w:rPr>
        <w:t>/</w:t>
      </w:r>
      <w:r>
        <w:rPr>
          <w:rFonts w:ascii="Times New Roman" w:hAnsi="Times New Roman" w:eastAsia="Times New Roman"/>
          <w:spacing w:val="-4"/>
        </w:rPr>
        <w:t>m</w:t>
      </w:r>
      <w:r>
        <w:rPr>
          <w:rFonts w:ascii="Times New Roman" w:hAnsi="Times New Roman" w:eastAsia="Times New Roman"/>
        </w:rPr>
        <w:t>l </w:t>
      </w:r>
      <w:r>
        <w:rPr>
          <w:spacing w:val="-37"/>
        </w:rPr>
        <w:t>时，</w:t>
      </w:r>
      <w:r>
        <w:rPr>
          <w:rFonts w:ascii="Times New Roman" w:hAnsi="Times New Roman" w:eastAsia="Times New Roman"/>
          <w:spacing w:val="-1"/>
        </w:rPr>
        <w:t>Y</w:t>
      </w:r>
      <w:r>
        <w:rPr>
          <w:rFonts w:ascii="Times New Roman" w:hAnsi="Times New Roman" w:eastAsia="Times New Roman"/>
          <w:spacing w:val="-2"/>
        </w:rPr>
        <w:t>M</w:t>
      </w:r>
      <w:r>
        <w:rPr>
          <w:rFonts w:ascii="Times New Roman" w:hAnsi="Times New Roman" w:eastAsia="Times New Roman"/>
          <w:spacing w:val="-3"/>
        </w:rPr>
        <w:t>D</w:t>
      </w:r>
      <w:r>
        <w:rPr>
          <w:rFonts w:ascii="Times New Roman" w:hAnsi="Times New Roman" w:eastAsia="Times New Roman"/>
        </w:rPr>
        <w:t>D </w:t>
      </w:r>
      <w:r>
        <w:rPr>
          <w:spacing w:val="-10"/>
        </w:rPr>
        <w:t>突变株所占比例超过 </w:t>
      </w:r>
      <w:r>
        <w:rPr>
          <w:rFonts w:ascii="Times New Roman" w:hAnsi="Times New Roman" w:eastAsia="Times New Roman"/>
          <w:spacing w:val="-2"/>
        </w:rPr>
        <w:t>10</w:t>
      </w:r>
      <w:r>
        <w:rPr>
          <w:rFonts w:ascii="Times New Roman" w:hAnsi="Times New Roman" w:eastAsia="Times New Roman"/>
          <w:spacing w:val="-4"/>
        </w:rPr>
        <w:t>%</w:t>
      </w:r>
      <w:r>
        <w:rPr>
          <w:spacing w:val="-19"/>
        </w:rPr>
        <w:t>即可检出。血红蛋白</w:t>
      </w:r>
      <w:r>
        <w:rPr>
          <w:spacing w:val="-8"/>
        </w:rPr>
        <w:t>（</w:t>
      </w:r>
      <w:r>
        <w:rPr>
          <w:spacing w:val="-3"/>
        </w:rPr>
        <w:t>≤</w:t>
      </w:r>
      <w:r>
        <w:rPr>
          <w:rFonts w:ascii="Times New Roman" w:hAnsi="Times New Roman" w:eastAsia="Times New Roman"/>
          <w:spacing w:val="1"/>
        </w:rPr>
        <w:t>2</w:t>
      </w:r>
      <w:r>
        <w:rPr>
          <w:rFonts w:ascii="Times New Roman" w:hAnsi="Times New Roman" w:eastAsia="Times New Roman"/>
          <w:spacing w:val="-2"/>
        </w:rPr>
        <w:t>g</w:t>
      </w:r>
      <w:r>
        <w:rPr>
          <w:rFonts w:ascii="Times New Roman" w:hAnsi="Times New Roman" w:eastAsia="Times New Roman"/>
        </w:rPr>
        <w:t>/</w:t>
      </w:r>
      <w:r>
        <w:rPr>
          <w:rFonts w:ascii="Times New Roman" w:hAnsi="Times New Roman" w:eastAsia="Times New Roman"/>
          <w:spacing w:val="1"/>
        </w:rPr>
        <w:t>d</w:t>
      </w:r>
      <w:r>
        <w:rPr>
          <w:rFonts w:ascii="Times New Roman" w:hAnsi="Times New Roman" w:eastAsia="Times New Roman"/>
          <w:spacing w:val="-2"/>
        </w:rPr>
        <w:t>L</w:t>
      </w:r>
      <w:r>
        <w:rPr>
          <w:spacing w:val="-68"/>
        </w:rPr>
        <w:t>）</w:t>
      </w:r>
      <w:r>
        <w:rPr>
          <w:spacing w:val="-30"/>
        </w:rPr>
        <w:t>、总胆红素</w:t>
      </w:r>
      <w:r>
        <w:rPr>
          <w:spacing w:val="-5"/>
        </w:rPr>
        <w:t>（≤</w:t>
      </w:r>
      <w:r>
        <w:rPr>
          <w:rFonts w:ascii="Times New Roman" w:hAnsi="Times New Roman" w:eastAsia="Times New Roman"/>
          <w:spacing w:val="1"/>
        </w:rPr>
        <w:t>2</w:t>
      </w:r>
      <w:r>
        <w:rPr>
          <w:rFonts w:ascii="Times New Roman" w:hAnsi="Times New Roman" w:eastAsia="Times New Roman"/>
          <w:spacing w:val="-2"/>
        </w:rPr>
        <w:t>8</w:t>
      </w:r>
      <w:r>
        <w:rPr>
          <w:rFonts w:ascii="Times New Roman" w:hAnsi="Times New Roman" w:eastAsia="Times New Roman"/>
          <w:spacing w:val="-1"/>
        </w:rPr>
        <w:t>m</w:t>
      </w:r>
      <w:r>
        <w:rPr>
          <w:rFonts w:ascii="Times New Roman" w:hAnsi="Times New Roman" w:eastAsia="Times New Roman"/>
          <w:spacing w:val="-2"/>
        </w:rPr>
        <w:t>g</w:t>
      </w:r>
      <w:r>
        <w:rPr>
          <w:rFonts w:ascii="Times New Roman" w:hAnsi="Times New Roman" w:eastAsia="Times New Roman"/>
        </w:rPr>
        <w:t>/</w:t>
      </w:r>
      <w:r>
        <w:rPr>
          <w:rFonts w:ascii="Times New Roman" w:hAnsi="Times New Roman" w:eastAsia="Times New Roman"/>
          <w:spacing w:val="1"/>
        </w:rPr>
        <w:t>d</w:t>
      </w:r>
      <w:r>
        <w:rPr>
          <w:rFonts w:ascii="Times New Roman" w:hAnsi="Times New Roman" w:eastAsia="Times New Roman"/>
        </w:rPr>
        <w:t>L</w:t>
      </w:r>
      <w:r>
        <w:rPr>
          <w:spacing w:val="-68"/>
        </w:rPr>
        <w:t>）</w:t>
      </w:r>
      <w:r>
        <w:rPr>
          <w:spacing w:val="-30"/>
        </w:rPr>
        <w:t>、甘油三酯</w:t>
      </w:r>
      <w:r>
        <w:rPr>
          <w:spacing w:val="-8"/>
        </w:rPr>
        <w:t>（</w:t>
      </w:r>
      <w:r>
        <w:rPr>
          <w:spacing w:val="-3"/>
        </w:rPr>
        <w:t>≤</w:t>
      </w:r>
      <w:r>
        <w:rPr>
          <w:rFonts w:ascii="Times New Roman" w:hAnsi="Times New Roman" w:eastAsia="Times New Roman"/>
          <w:spacing w:val="1"/>
        </w:rPr>
        <w:t>3</w:t>
      </w:r>
      <w:r>
        <w:rPr>
          <w:rFonts w:ascii="Times New Roman" w:hAnsi="Times New Roman" w:eastAsia="Times New Roman"/>
          <w:spacing w:val="-2"/>
        </w:rPr>
        <w:t>0</w:t>
      </w:r>
      <w:r>
        <w:rPr>
          <w:rFonts w:ascii="Times New Roman" w:hAnsi="Times New Roman" w:eastAsia="Times New Roman"/>
          <w:spacing w:val="1"/>
        </w:rPr>
        <w:t>0</w:t>
      </w:r>
      <w:r>
        <w:rPr>
          <w:rFonts w:ascii="Times New Roman" w:hAnsi="Times New Roman" w:eastAsia="Times New Roman"/>
          <w:spacing w:val="-2"/>
        </w:rPr>
        <w:t>0</w:t>
      </w:r>
      <w:r>
        <w:rPr>
          <w:rFonts w:ascii="Times New Roman" w:hAnsi="Times New Roman" w:eastAsia="Times New Roman"/>
          <w:spacing w:val="-4"/>
        </w:rPr>
        <w:t>m</w:t>
      </w:r>
      <w:r>
        <w:rPr>
          <w:rFonts w:ascii="Times New Roman" w:hAnsi="Times New Roman" w:eastAsia="Times New Roman"/>
          <w:spacing w:val="1"/>
        </w:rPr>
        <w:t>g</w:t>
      </w:r>
      <w:r>
        <w:rPr>
          <w:rFonts w:ascii="Times New Roman" w:hAnsi="Times New Roman" w:eastAsia="Times New Roman"/>
        </w:rPr>
        <w:t>/</w:t>
      </w:r>
      <w:r>
        <w:rPr>
          <w:rFonts w:ascii="Times New Roman" w:hAnsi="Times New Roman" w:eastAsia="Times New Roman"/>
          <w:spacing w:val="1"/>
        </w:rPr>
        <w:t>d</w:t>
      </w:r>
      <w:r>
        <w:rPr>
          <w:rFonts w:ascii="Times New Roman" w:hAnsi="Times New Roman" w:eastAsia="Times New Roman"/>
        </w:rPr>
        <w:t>L</w:t>
      </w:r>
      <w:r>
        <w:rPr>
          <w:spacing w:val="-94"/>
        </w:rPr>
        <w:t>）</w:t>
      </w:r>
      <w:r>
        <w:rPr/>
        <w:t>、</w:t>
      </w:r>
      <w:r>
        <w:rPr>
          <w:spacing w:val="-23"/>
        </w:rPr>
        <w:t>总 </w:t>
      </w:r>
      <w:r>
        <w:rPr>
          <w:rFonts w:ascii="Times New Roman" w:hAnsi="Times New Roman" w:eastAsia="Times New Roman"/>
        </w:rPr>
        <w:t>IgG</w:t>
      </w:r>
      <w:r>
        <w:rPr/>
        <w:t>（≤</w:t>
      </w:r>
      <w:r>
        <w:rPr>
          <w:rFonts w:ascii="Times New Roman" w:hAnsi="Times New Roman" w:eastAsia="Times New Roman"/>
        </w:rPr>
        <w:t>40g/L</w:t>
      </w:r>
      <w:r>
        <w:rPr/>
        <w:t>）</w:t>
      </w:r>
      <w:r>
        <w:rPr>
          <w:spacing w:val="-5"/>
        </w:rPr>
        <w:t>对检测结果没有影响。</w:t>
      </w:r>
    </w:p>
    <w:p>
      <w:pPr>
        <w:pStyle w:val="Heading1"/>
      </w:pPr>
      <w:r>
        <w:rPr/>
        <w:t>【注意事项】</w:t>
      </w:r>
    </w:p>
    <w:p>
      <w:pPr>
        <w:pStyle w:val="ListParagraph"/>
        <w:numPr>
          <w:ilvl w:val="0"/>
          <w:numId w:val="6"/>
        </w:numPr>
        <w:tabs>
          <w:tab w:pos="522" w:val="left" w:leader="none"/>
        </w:tabs>
        <w:spacing w:line="180" w:lineRule="exact" w:before="0" w:after="0"/>
        <w:ind w:left="521" w:right="0" w:hanging="135"/>
        <w:jc w:val="left"/>
        <w:rPr>
          <w:rFonts w:ascii="Times New Roman" w:eastAsia="Times New Roman"/>
          <w:sz w:val="16"/>
        </w:rPr>
      </w:pPr>
      <w:r>
        <w:rPr>
          <w:spacing w:val="-5"/>
          <w:sz w:val="18"/>
        </w:rPr>
        <w:t>本品仅用于体外诊断，使用前请仔细阅读本说明书。</w:t>
      </w:r>
    </w:p>
    <w:p>
      <w:pPr>
        <w:pStyle w:val="ListParagraph"/>
        <w:numPr>
          <w:ilvl w:val="0"/>
          <w:numId w:val="6"/>
        </w:numPr>
        <w:tabs>
          <w:tab w:pos="522" w:val="left" w:leader="none"/>
        </w:tabs>
        <w:spacing w:line="180" w:lineRule="exact" w:before="0" w:after="0"/>
        <w:ind w:left="521" w:right="0" w:hanging="135"/>
        <w:jc w:val="left"/>
        <w:rPr>
          <w:rFonts w:ascii="Times New Roman" w:eastAsia="Times New Roman"/>
          <w:sz w:val="16"/>
        </w:rPr>
      </w:pPr>
      <w:r>
        <w:rPr>
          <w:spacing w:val="-5"/>
          <w:sz w:val="18"/>
        </w:rPr>
        <w:t>试验前请熟悉和掌握需使用的各种仪器的操作方法和注意事项，对每次实验进行质量控制。</w:t>
      </w:r>
    </w:p>
    <w:p>
      <w:pPr>
        <w:pStyle w:val="ListParagraph"/>
        <w:numPr>
          <w:ilvl w:val="0"/>
          <w:numId w:val="6"/>
        </w:numPr>
        <w:tabs>
          <w:tab w:pos="522" w:val="left" w:leader="none"/>
        </w:tabs>
        <w:spacing w:line="187" w:lineRule="auto" w:before="15" w:after="0"/>
        <w:ind w:left="567" w:right="202" w:hanging="180"/>
        <w:jc w:val="left"/>
        <w:rPr>
          <w:rFonts w:ascii="Times New Roman" w:eastAsia="Times New Roman"/>
          <w:sz w:val="16"/>
        </w:rPr>
      </w:pPr>
      <w:r>
        <w:rPr>
          <w:spacing w:val="-5"/>
          <w:sz w:val="18"/>
        </w:rPr>
        <w:t>实验室管理应严格按照</w:t>
      </w:r>
      <w:r>
        <w:rPr>
          <w:rFonts w:ascii="Times New Roman" w:eastAsia="Times New Roman"/>
          <w:spacing w:val="-3"/>
          <w:sz w:val="18"/>
        </w:rPr>
        <w:t>PCR</w:t>
      </w:r>
      <w:r>
        <w:rPr>
          <w:spacing w:val="-9"/>
          <w:sz w:val="18"/>
        </w:rPr>
        <w:t>基因扩增实验室的管理规范，实验人员必须进行专业培训，实验过程严格分区进行，所用消耗品应灭菌</w:t>
      </w:r>
      <w:r>
        <w:rPr>
          <w:spacing w:val="-5"/>
          <w:sz w:val="18"/>
        </w:rPr>
        <w:t>后一次性使用，实验操作的每个阶段使用专用的仪器和设备，各区各阶段用品不能交叉使用。</w:t>
      </w:r>
    </w:p>
    <w:p>
      <w:pPr>
        <w:pStyle w:val="ListParagraph"/>
        <w:numPr>
          <w:ilvl w:val="0"/>
          <w:numId w:val="6"/>
        </w:numPr>
        <w:tabs>
          <w:tab w:pos="525" w:val="left" w:leader="none"/>
        </w:tabs>
        <w:spacing w:line="191" w:lineRule="exact" w:before="0" w:after="0"/>
        <w:ind w:left="524" w:right="0" w:hanging="136"/>
        <w:jc w:val="left"/>
        <w:rPr>
          <w:rFonts w:ascii="Times New Roman" w:eastAsia="Times New Roman"/>
          <w:sz w:val="16"/>
        </w:rPr>
      </w:pPr>
      <w:r>
        <w:rPr>
          <w:spacing w:val="-5"/>
          <w:sz w:val="18"/>
        </w:rPr>
        <w:t>所有检测样品应视为具有传染性物质，实验过程中穿工作服，戴一次性手套并经常替换手套以避免样品间的交叉污染；样本操作、</w:t>
      </w:r>
    </w:p>
    <w:p>
      <w:pPr>
        <w:spacing w:after="0" w:line="191" w:lineRule="exact"/>
        <w:jc w:val="left"/>
        <w:rPr>
          <w:rFonts w:ascii="Times New Roman" w:eastAsia="Times New Roman"/>
          <w:sz w:val="16"/>
        </w:rPr>
        <w:sectPr>
          <w:type w:val="continuous"/>
          <w:pgSz w:w="11910" w:h="16840"/>
          <w:pgMar w:top="660" w:bottom="620" w:left="520" w:right="700"/>
        </w:sectPr>
      </w:pPr>
    </w:p>
    <w:p>
      <w:pPr>
        <w:pStyle w:val="BodyText"/>
        <w:spacing w:before="5"/>
        <w:ind w:left="0"/>
        <w:rPr>
          <w:sz w:val="3"/>
        </w:rPr>
      </w:pPr>
    </w:p>
    <w:p>
      <w:pPr>
        <w:pStyle w:val="BodyText"/>
        <w:spacing w:line="20" w:lineRule="exact"/>
        <w:ind w:left="379"/>
        <w:rPr>
          <w:sz w:val="2"/>
        </w:rPr>
      </w:pPr>
      <w:r>
        <w:rPr>
          <w:sz w:val="2"/>
        </w:rPr>
        <w:pict>
          <v:group style="width:504.6pt;height:.75pt;mso-position-horizontal-relative:char;mso-position-vertical-relative:line" coordorigin="0,0" coordsize="10092,15">
            <v:line style="position:absolute" from="0,7" to="10092,7" stroked="true" strokeweight=".72pt" strokecolor="#000000">
              <v:stroke dashstyle="solid"/>
            </v:line>
          </v:group>
        </w:pict>
      </w:r>
      <w:r>
        <w:rPr>
          <w:sz w:val="2"/>
        </w:rPr>
      </w:r>
    </w:p>
    <w:p>
      <w:pPr>
        <w:pStyle w:val="BodyText"/>
        <w:spacing w:line="166" w:lineRule="exact"/>
        <w:ind w:left="567"/>
      </w:pPr>
      <w:r>
        <w:rPr/>
        <w:t>废弃物处理均需符合相关法规要求：卫生部《微生物生物医学实验室生物安全通用准则》和《医疗废物管理条例》。</w:t>
      </w:r>
    </w:p>
    <w:p>
      <w:pPr>
        <w:pStyle w:val="ListParagraph"/>
        <w:numPr>
          <w:ilvl w:val="0"/>
          <w:numId w:val="6"/>
        </w:numPr>
        <w:tabs>
          <w:tab w:pos="525" w:val="left" w:leader="none"/>
        </w:tabs>
        <w:spacing w:line="187" w:lineRule="auto" w:before="14" w:after="0"/>
        <w:ind w:left="567" w:right="197" w:hanging="178"/>
        <w:jc w:val="both"/>
        <w:rPr>
          <w:rFonts w:ascii="Times New Roman" w:hAnsi="Times New Roman" w:eastAsia="Times New Roman"/>
          <w:sz w:val="16"/>
        </w:rPr>
      </w:pPr>
      <w:r>
        <w:rPr>
          <w:spacing w:val="-8"/>
          <w:sz w:val="18"/>
        </w:rPr>
        <w:t>所有的试剂在使用前，均需在室温下充分融化、混匀后使用。提取样本核酸前，请确保</w:t>
      </w:r>
      <w:r>
        <w:rPr>
          <w:rFonts w:ascii="Times New Roman" w:hAnsi="Times New Roman" w:eastAsia="Times New Roman"/>
          <w:spacing w:val="-3"/>
          <w:sz w:val="18"/>
        </w:rPr>
        <w:t>DNA</w:t>
      </w:r>
      <w:r>
        <w:rPr>
          <w:spacing w:val="-5"/>
          <w:sz w:val="18"/>
        </w:rPr>
        <w:t>提取溶液</w:t>
      </w:r>
      <w:r>
        <w:rPr>
          <w:rFonts w:ascii="Times New Roman" w:hAnsi="Times New Roman" w:eastAsia="Times New Roman"/>
          <w:spacing w:val="-4"/>
          <w:sz w:val="18"/>
        </w:rPr>
        <w:t>1</w:t>
      </w:r>
      <w:r>
        <w:rPr>
          <w:spacing w:val="-5"/>
          <w:sz w:val="18"/>
        </w:rPr>
        <w:t>、</w:t>
      </w:r>
      <w:r>
        <w:rPr>
          <w:rFonts w:ascii="Times New Roman" w:hAnsi="Times New Roman" w:eastAsia="Times New Roman"/>
          <w:spacing w:val="-4"/>
          <w:sz w:val="18"/>
        </w:rPr>
        <w:t>3</w:t>
      </w:r>
      <w:r>
        <w:rPr>
          <w:spacing w:val="-8"/>
          <w:sz w:val="18"/>
        </w:rPr>
        <w:t>、</w:t>
      </w:r>
      <w:r>
        <w:rPr>
          <w:rFonts w:ascii="Times New Roman" w:hAnsi="Times New Roman" w:eastAsia="Times New Roman"/>
          <w:sz w:val="18"/>
        </w:rPr>
        <w:t>4</w:t>
      </w:r>
      <w:r>
        <w:rPr>
          <w:spacing w:val="-5"/>
          <w:sz w:val="18"/>
        </w:rPr>
        <w:t>的温度平衡至室温或</w:t>
      </w:r>
      <w:r>
        <w:rPr>
          <w:spacing w:val="-10"/>
          <w:sz w:val="18"/>
        </w:rPr>
        <w:t>以上</w:t>
      </w:r>
      <w:r>
        <w:rPr>
          <w:spacing w:val="-8"/>
          <w:sz w:val="18"/>
        </w:rPr>
        <w:t>（</w:t>
      </w:r>
      <w:r>
        <w:rPr>
          <w:spacing w:val="-5"/>
          <w:sz w:val="18"/>
        </w:rPr>
        <w:t>建议室温放置</w:t>
      </w:r>
      <w:r>
        <w:rPr>
          <w:rFonts w:ascii="Times New Roman" w:hAnsi="Times New Roman" w:eastAsia="Times New Roman"/>
          <w:sz w:val="18"/>
        </w:rPr>
        <w:t>1</w:t>
      </w:r>
      <w:r>
        <w:rPr>
          <w:spacing w:val="-5"/>
          <w:sz w:val="18"/>
        </w:rPr>
        <w:t>小时以上或置于</w:t>
      </w:r>
      <w:r>
        <w:rPr>
          <w:rFonts w:ascii="Times New Roman" w:hAnsi="Times New Roman" w:eastAsia="Times New Roman"/>
          <w:spacing w:val="-2"/>
          <w:sz w:val="18"/>
        </w:rPr>
        <w:t>30</w:t>
      </w:r>
      <w:r>
        <w:rPr>
          <w:spacing w:val="-5"/>
          <w:sz w:val="18"/>
        </w:rPr>
        <w:t>℃ 水浴</w:t>
      </w:r>
      <w:r>
        <w:rPr>
          <w:rFonts w:ascii="Times New Roman" w:hAnsi="Times New Roman" w:eastAsia="Times New Roman"/>
          <w:spacing w:val="-3"/>
          <w:sz w:val="18"/>
        </w:rPr>
        <w:t>30</w:t>
      </w:r>
      <w:r>
        <w:rPr>
          <w:spacing w:val="-5"/>
          <w:sz w:val="18"/>
        </w:rPr>
        <w:t>分钟以上</w:t>
      </w:r>
      <w:r>
        <w:rPr>
          <w:spacing w:val="-17"/>
          <w:sz w:val="18"/>
        </w:rPr>
        <w:t>）</w:t>
      </w:r>
      <w:r>
        <w:rPr>
          <w:spacing w:val="-8"/>
          <w:sz w:val="18"/>
        </w:rPr>
        <w:t>。静置的</w:t>
      </w:r>
      <w:r>
        <w:rPr>
          <w:rFonts w:ascii="Times New Roman" w:hAnsi="Times New Roman" w:eastAsia="Times New Roman"/>
          <w:spacing w:val="-3"/>
          <w:sz w:val="18"/>
        </w:rPr>
        <w:t>DNA</w:t>
      </w:r>
      <w:r>
        <w:rPr>
          <w:spacing w:val="-5"/>
          <w:sz w:val="18"/>
        </w:rPr>
        <w:t>提取溶液</w:t>
      </w:r>
      <w:r>
        <w:rPr>
          <w:rFonts w:ascii="Times New Roman" w:hAnsi="Times New Roman" w:eastAsia="Times New Roman"/>
          <w:spacing w:val="-4"/>
          <w:sz w:val="18"/>
        </w:rPr>
        <w:t>2</w:t>
      </w:r>
      <w:r>
        <w:rPr>
          <w:spacing w:val="-8"/>
          <w:sz w:val="18"/>
        </w:rPr>
        <w:t>会形成棕色沉淀，使用前须充分混匀。乙型</w:t>
      </w:r>
      <w:r>
        <w:rPr>
          <w:spacing w:val="-5"/>
          <w:sz w:val="18"/>
        </w:rPr>
        <w:t>肝炎病毒</w:t>
      </w:r>
      <w:r>
        <w:rPr>
          <w:rFonts w:ascii="Times New Roman" w:hAnsi="Times New Roman" w:eastAsia="Times New Roman"/>
          <w:spacing w:val="-3"/>
          <w:sz w:val="18"/>
        </w:rPr>
        <w:t>YMDD</w:t>
      </w:r>
      <w:r>
        <w:rPr>
          <w:spacing w:val="-5"/>
          <w:sz w:val="18"/>
        </w:rPr>
        <w:t>酶混合液易粘着于管壁，使用前请瞬时离心数秒。</w:t>
      </w:r>
    </w:p>
    <w:p>
      <w:pPr>
        <w:pStyle w:val="Heading1"/>
        <w:numPr>
          <w:ilvl w:val="0"/>
          <w:numId w:val="6"/>
        </w:numPr>
        <w:tabs>
          <w:tab w:pos="525" w:val="left" w:leader="none"/>
        </w:tabs>
        <w:spacing w:line="166" w:lineRule="exact" w:before="0" w:after="0"/>
        <w:ind w:left="524" w:right="0" w:hanging="136"/>
        <w:jc w:val="both"/>
        <w:rPr>
          <w:rFonts w:ascii="Times New Roman" w:eastAsia="Times New Roman"/>
          <w:sz w:val="16"/>
        </w:rPr>
      </w:pPr>
      <w:r>
        <w:rPr>
          <w:spacing w:val="4"/>
        </w:rPr>
        <w:t>若实时荧光</w:t>
      </w:r>
      <w:r>
        <w:rPr>
          <w:rFonts w:ascii="Times New Roman" w:eastAsia="Times New Roman"/>
        </w:rPr>
        <w:t>PCR</w:t>
      </w:r>
      <w:r>
        <w:rPr>
          <w:rFonts w:ascii="Times New Roman" w:eastAsia="Times New Roman"/>
          <w:spacing w:val="-5"/>
        </w:rPr>
        <w:t> </w:t>
      </w:r>
      <w:r>
        <w:rPr>
          <w:spacing w:val="-5"/>
        </w:rPr>
        <w:t>仪仅有双通道</w:t>
      </w:r>
      <w:r>
        <w:rPr>
          <w:rFonts w:ascii="Times New Roman" w:eastAsia="Times New Roman"/>
          <w:spacing w:val="-3"/>
        </w:rPr>
        <w:t>(</w:t>
      </w:r>
      <w:r>
        <w:rPr>
          <w:spacing w:val="40"/>
        </w:rPr>
        <w:t>如</w:t>
      </w:r>
      <w:r>
        <w:rPr>
          <w:rFonts w:ascii="Times New Roman" w:eastAsia="Times New Roman"/>
          <w:spacing w:val="-5"/>
        </w:rPr>
        <w:t>FAM</w:t>
      </w:r>
      <w:r>
        <w:rPr>
          <w:rFonts w:ascii="Times New Roman" w:eastAsia="Times New Roman"/>
          <w:spacing w:val="-9"/>
        </w:rPr>
        <w:t> </w:t>
      </w:r>
      <w:r>
        <w:rPr>
          <w:spacing w:val="40"/>
        </w:rPr>
        <w:t>和</w:t>
      </w:r>
      <w:r>
        <w:rPr>
          <w:rFonts w:ascii="Times New Roman" w:eastAsia="Times New Roman"/>
          <w:spacing w:val="-3"/>
        </w:rPr>
        <w:t>ROX)</w:t>
      </w:r>
      <w:r>
        <w:rPr>
          <w:spacing w:val="-4"/>
        </w:rPr>
        <w:t>，则可忽略内标扩增监测；若只有单通道可以忽略参比荧光</w:t>
      </w:r>
      <w:r>
        <w:rPr>
          <w:rFonts w:ascii="Times New Roman" w:eastAsia="Times New Roman"/>
        </w:rPr>
        <w:t>ROX</w:t>
      </w:r>
      <w:r>
        <w:rPr>
          <w:rFonts w:ascii="Times New Roman" w:eastAsia="Times New Roman"/>
          <w:spacing w:val="-4"/>
        </w:rPr>
        <w:t> </w:t>
      </w:r>
      <w:r>
        <w:rPr>
          <w:spacing w:val="-3"/>
        </w:rPr>
        <w:t>设置。</w:t>
      </w:r>
    </w:p>
    <w:p>
      <w:pPr>
        <w:pStyle w:val="ListParagraph"/>
        <w:numPr>
          <w:ilvl w:val="0"/>
          <w:numId w:val="6"/>
        </w:numPr>
        <w:tabs>
          <w:tab w:pos="525" w:val="left" w:leader="none"/>
        </w:tabs>
        <w:spacing w:line="187" w:lineRule="auto" w:before="14" w:after="0"/>
        <w:ind w:left="567" w:right="197" w:hanging="178"/>
        <w:jc w:val="left"/>
        <w:rPr>
          <w:rFonts w:ascii="Times New Roman" w:eastAsia="Times New Roman"/>
          <w:sz w:val="16"/>
        </w:rPr>
      </w:pPr>
      <w:r>
        <w:rPr>
          <w:spacing w:val="-3"/>
          <w:sz w:val="18"/>
        </w:rPr>
        <w:t>对于检测为阴性的样本，应确定乙型肝炎病毒</w:t>
      </w:r>
      <w:r>
        <w:rPr>
          <w:rFonts w:ascii="Times New Roman" w:eastAsia="Times New Roman"/>
          <w:sz w:val="18"/>
        </w:rPr>
        <w:t>YMDD</w:t>
      </w:r>
      <w:r>
        <w:rPr>
          <w:rFonts w:ascii="Times New Roman" w:eastAsia="Times New Roman"/>
          <w:spacing w:val="-9"/>
          <w:sz w:val="18"/>
        </w:rPr>
        <w:t> </w:t>
      </w:r>
      <w:r>
        <w:rPr>
          <w:spacing w:val="-5"/>
          <w:sz w:val="18"/>
        </w:rPr>
        <w:t>内标的扩增信号是否正常，以保证实验操作和检测试剂的正常使用以及抑制</w:t>
      </w:r>
      <w:r>
        <w:rPr>
          <w:spacing w:val="-6"/>
          <w:sz w:val="18"/>
        </w:rPr>
        <w:t>样本的出现，避免假阴性结果；对于阳性检测样本，乙型肝炎病毒 </w:t>
      </w:r>
      <w:r>
        <w:rPr>
          <w:rFonts w:ascii="Times New Roman" w:eastAsia="Times New Roman"/>
          <w:sz w:val="18"/>
        </w:rPr>
        <w:t>YMDD</w:t>
      </w:r>
      <w:r>
        <w:rPr>
          <w:rFonts w:ascii="Times New Roman" w:eastAsia="Times New Roman"/>
          <w:spacing w:val="-3"/>
          <w:sz w:val="18"/>
        </w:rPr>
        <w:t> </w:t>
      </w:r>
      <w:r>
        <w:rPr>
          <w:spacing w:val="-5"/>
          <w:sz w:val="18"/>
        </w:rPr>
        <w:t>内标的扩增信号可不予考虑。</w:t>
      </w:r>
    </w:p>
    <w:p>
      <w:pPr>
        <w:pStyle w:val="Heading1"/>
      </w:pPr>
      <w:r>
        <w:rPr/>
        <w:t>【参考文献】</w:t>
      </w:r>
    </w:p>
    <w:p>
      <w:pPr>
        <w:pStyle w:val="ListParagraph"/>
        <w:numPr>
          <w:ilvl w:val="0"/>
          <w:numId w:val="7"/>
        </w:numPr>
        <w:tabs>
          <w:tab w:pos="680" w:val="left" w:leader="none"/>
        </w:tabs>
        <w:spacing w:line="187" w:lineRule="auto" w:before="15" w:after="0"/>
        <w:ind w:left="567" w:right="193" w:hanging="178"/>
        <w:jc w:val="left"/>
        <w:rPr>
          <w:rFonts w:ascii="Times New Roman" w:eastAsia="Times New Roman"/>
          <w:sz w:val="18"/>
        </w:rPr>
      </w:pPr>
      <w:hyperlink r:id="rId11">
        <w:r>
          <w:rPr>
            <w:spacing w:val="-5"/>
            <w:sz w:val="18"/>
          </w:rPr>
          <w:t>刘兴态</w:t>
        </w:r>
      </w:hyperlink>
      <w:r>
        <w:rPr>
          <w:spacing w:val="-36"/>
          <w:sz w:val="18"/>
        </w:rPr>
        <w:t>，</w:t>
      </w:r>
      <w:hyperlink r:id="rId12">
        <w:r>
          <w:rPr>
            <w:spacing w:val="-4"/>
            <w:sz w:val="18"/>
          </w:rPr>
          <w:t>郑霞</w:t>
        </w:r>
      </w:hyperlink>
      <w:r>
        <w:rPr>
          <w:spacing w:val="-34"/>
          <w:sz w:val="18"/>
        </w:rPr>
        <w:t>，</w:t>
      </w:r>
      <w:hyperlink r:id="rId13">
        <w:r>
          <w:rPr>
            <w:spacing w:val="-5"/>
            <w:sz w:val="18"/>
          </w:rPr>
          <w:t>汪亚洲</w:t>
        </w:r>
      </w:hyperlink>
      <w:r>
        <w:rPr>
          <w:spacing w:val="-3"/>
          <w:sz w:val="18"/>
        </w:rPr>
        <w:t>等</w:t>
      </w:r>
      <w:r>
        <w:rPr>
          <w:rFonts w:ascii="Times New Roman" w:eastAsia="Times New Roman"/>
          <w:sz w:val="18"/>
        </w:rPr>
        <w:t>.</w:t>
      </w:r>
      <w:r>
        <w:rPr>
          <w:spacing w:val="-6"/>
          <w:sz w:val="18"/>
        </w:rPr>
        <w:t>实时荧光定量聚合酶链反应在乙型肝炎病毒 </w:t>
      </w:r>
      <w:r>
        <w:rPr>
          <w:rFonts w:ascii="Times New Roman" w:eastAsia="Times New Roman"/>
          <w:sz w:val="18"/>
        </w:rPr>
        <w:t>YMDD</w:t>
      </w:r>
      <w:r>
        <w:rPr>
          <w:rFonts w:ascii="Times New Roman" w:eastAsia="Times New Roman"/>
          <w:spacing w:val="-5"/>
          <w:sz w:val="18"/>
        </w:rPr>
        <w:t> </w:t>
      </w:r>
      <w:r>
        <w:rPr>
          <w:spacing w:val="-5"/>
          <w:sz w:val="18"/>
        </w:rPr>
        <w:t>基因变异检测中的应用</w:t>
      </w:r>
      <w:r>
        <w:rPr>
          <w:rFonts w:ascii="Times New Roman" w:eastAsia="Times New Roman"/>
          <w:sz w:val="18"/>
        </w:rPr>
        <w:t>[J</w:t>
      </w:r>
      <w:r>
        <w:rPr>
          <w:rFonts w:ascii="Times New Roman" w:eastAsia="Times New Roman"/>
          <w:spacing w:val="9"/>
          <w:sz w:val="18"/>
        </w:rPr>
        <w:t>]. </w:t>
      </w:r>
      <w:hyperlink r:id="rId14">
        <w:r>
          <w:rPr>
            <w:spacing w:val="-6"/>
            <w:sz w:val="18"/>
          </w:rPr>
          <w:t>检验医学与临床 </w:t>
        </w:r>
      </w:hyperlink>
      <w:r>
        <w:rPr>
          <w:rFonts w:ascii="Times New Roman" w:eastAsia="Times New Roman"/>
          <w:spacing w:val="-4"/>
          <w:sz w:val="18"/>
        </w:rPr>
        <w:t>, </w:t>
      </w:r>
      <w:r>
        <w:rPr>
          <w:rFonts w:ascii="Times New Roman" w:eastAsia="Times New Roman"/>
          <w:sz w:val="18"/>
        </w:rPr>
        <w:t>2012. </w:t>
      </w:r>
      <w:r>
        <w:rPr>
          <w:rFonts w:ascii="Times New Roman" w:eastAsia="Times New Roman"/>
          <w:spacing w:val="-3"/>
          <w:sz w:val="18"/>
        </w:rPr>
        <w:t>9(9)</w:t>
      </w:r>
      <w:r>
        <w:rPr>
          <w:spacing w:val="-3"/>
          <w:sz w:val="18"/>
        </w:rPr>
        <w:t>：</w:t>
      </w:r>
      <w:r>
        <w:rPr>
          <w:rFonts w:ascii="Times New Roman" w:eastAsia="Times New Roman"/>
          <w:spacing w:val="-3"/>
          <w:sz w:val="18"/>
        </w:rPr>
        <w:t>1091-1092.</w:t>
      </w:r>
    </w:p>
    <w:p>
      <w:pPr>
        <w:pStyle w:val="ListParagraph"/>
        <w:numPr>
          <w:ilvl w:val="0"/>
          <w:numId w:val="7"/>
        </w:numPr>
        <w:tabs>
          <w:tab w:pos="644" w:val="left" w:leader="none"/>
        </w:tabs>
        <w:spacing w:line="199" w:lineRule="auto" w:before="0" w:after="0"/>
        <w:ind w:left="567" w:right="167" w:hanging="178"/>
        <w:jc w:val="left"/>
        <w:rPr>
          <w:sz w:val="18"/>
        </w:rPr>
      </w:pPr>
      <w:r>
        <w:rPr>
          <w:rFonts w:ascii="Times New Roman" w:eastAsia="Times New Roman"/>
          <w:spacing w:val="-3"/>
          <w:sz w:val="18"/>
        </w:rPr>
        <w:t>Kobayashi, Mariko, Suzuki.Correlation </w:t>
      </w:r>
      <w:r>
        <w:rPr>
          <w:rFonts w:ascii="Times New Roman" w:eastAsia="Times New Roman"/>
          <w:sz w:val="18"/>
        </w:rPr>
        <w:t>of YMDD mutation and </w:t>
      </w:r>
      <w:r>
        <w:rPr>
          <w:rFonts w:ascii="Times New Roman" w:eastAsia="Times New Roman"/>
          <w:spacing w:val="-3"/>
          <w:sz w:val="18"/>
        </w:rPr>
        <w:t>breakthrough </w:t>
      </w:r>
      <w:r>
        <w:rPr>
          <w:rFonts w:ascii="Times New Roman" w:eastAsia="Times New Roman"/>
          <w:sz w:val="18"/>
        </w:rPr>
        <w:t>hepatitis with </w:t>
      </w:r>
      <w:r>
        <w:rPr>
          <w:rFonts w:ascii="Times New Roman" w:eastAsia="Times New Roman"/>
          <w:spacing w:val="-3"/>
          <w:sz w:val="18"/>
        </w:rPr>
        <w:t>hepatitis </w:t>
      </w:r>
      <w:r>
        <w:rPr>
          <w:rFonts w:ascii="Times New Roman" w:eastAsia="Times New Roman"/>
          <w:sz w:val="18"/>
        </w:rPr>
        <w:t>B virus DNA and serum </w:t>
      </w:r>
      <w:r>
        <w:rPr>
          <w:rFonts w:ascii="Times New Roman" w:eastAsia="Times New Roman"/>
          <w:spacing w:val="-6"/>
          <w:sz w:val="18"/>
        </w:rPr>
        <w:t>ALT </w:t>
      </w:r>
      <w:r>
        <w:rPr>
          <w:rFonts w:ascii="Times New Roman" w:eastAsia="Times New Roman"/>
          <w:sz w:val="18"/>
        </w:rPr>
        <w:t>during lamivudine </w:t>
      </w:r>
      <w:r>
        <w:rPr>
          <w:rFonts w:ascii="Times New Roman" w:eastAsia="Times New Roman"/>
          <w:spacing w:val="-3"/>
          <w:sz w:val="18"/>
        </w:rPr>
        <w:t>treatment </w:t>
      </w:r>
      <w:r>
        <w:rPr>
          <w:rFonts w:ascii="Times New Roman" w:eastAsia="Times New Roman"/>
          <w:sz w:val="18"/>
        </w:rPr>
        <w:t>[J]. </w:t>
      </w:r>
      <w:hyperlink r:id="rId15">
        <w:r>
          <w:rPr>
            <w:rFonts w:ascii="Times New Roman" w:eastAsia="Times New Roman"/>
            <w:spacing w:val="-3"/>
            <w:sz w:val="18"/>
          </w:rPr>
          <w:t>Hepatology Research</w:t>
        </w:r>
      </w:hyperlink>
      <w:r>
        <w:rPr>
          <w:rFonts w:ascii="Times New Roman" w:eastAsia="Times New Roman"/>
          <w:spacing w:val="-3"/>
          <w:sz w:val="18"/>
        </w:rPr>
        <w:t>,.</w:t>
      </w:r>
      <w:r>
        <w:rPr>
          <w:rFonts w:ascii="Times New Roman" w:eastAsia="Times New Roman"/>
          <w:spacing w:val="-31"/>
          <w:sz w:val="18"/>
        </w:rPr>
        <w:t> </w:t>
      </w:r>
      <w:r>
        <w:rPr>
          <w:rFonts w:ascii="Times New Roman" w:eastAsia="Times New Roman"/>
          <w:spacing w:val="-3"/>
          <w:sz w:val="18"/>
        </w:rPr>
        <w:t>2010.40</w:t>
      </w:r>
      <w:r>
        <w:rPr>
          <w:spacing w:val="-3"/>
          <w:sz w:val="18"/>
        </w:rPr>
        <w:t>（</w:t>
      </w:r>
      <w:r>
        <w:rPr>
          <w:rFonts w:ascii="Times New Roman" w:eastAsia="Times New Roman"/>
          <w:spacing w:val="-3"/>
          <w:sz w:val="18"/>
        </w:rPr>
        <w:t>2</w:t>
      </w:r>
      <w:r>
        <w:rPr>
          <w:spacing w:val="-3"/>
          <w:sz w:val="18"/>
        </w:rPr>
        <w:t>）：</w:t>
      </w:r>
      <w:r>
        <w:rPr>
          <w:rFonts w:ascii="Times New Roman" w:eastAsia="Times New Roman"/>
          <w:spacing w:val="-3"/>
          <w:sz w:val="18"/>
        </w:rPr>
        <w:t>125-134</w:t>
      </w:r>
      <w:r>
        <w:rPr>
          <w:spacing w:val="-3"/>
          <w:sz w:val="18"/>
        </w:rPr>
        <w:t>．</w:t>
      </w:r>
    </w:p>
    <w:p>
      <w:pPr>
        <w:pStyle w:val="ListParagraph"/>
        <w:numPr>
          <w:ilvl w:val="0"/>
          <w:numId w:val="7"/>
        </w:numPr>
        <w:tabs>
          <w:tab w:pos="649" w:val="left" w:leader="none"/>
        </w:tabs>
        <w:spacing w:line="208" w:lineRule="auto" w:before="0" w:after="0"/>
        <w:ind w:left="567" w:right="165" w:hanging="178"/>
        <w:jc w:val="left"/>
        <w:rPr>
          <w:rFonts w:ascii="Times New Roman"/>
          <w:sz w:val="18"/>
        </w:rPr>
      </w:pPr>
      <w:hyperlink r:id="rId16">
        <w:r>
          <w:rPr>
            <w:rFonts w:ascii="Times New Roman"/>
            <w:sz w:val="18"/>
          </w:rPr>
          <w:t>Hua R</w:t>
        </w:r>
      </w:hyperlink>
      <w:r>
        <w:rPr>
          <w:rFonts w:ascii="Times New Roman"/>
          <w:sz w:val="18"/>
        </w:rPr>
        <w:t>, </w:t>
      </w:r>
      <w:hyperlink r:id="rId16">
        <w:r>
          <w:rPr>
            <w:rFonts w:ascii="Times New Roman"/>
            <w:spacing w:val="-5"/>
            <w:sz w:val="18"/>
          </w:rPr>
          <w:t>Tanaka </w:t>
        </w:r>
        <w:r>
          <w:rPr>
            <w:rFonts w:ascii="Times New Roman"/>
            <w:spacing w:val="-13"/>
            <w:sz w:val="18"/>
          </w:rPr>
          <w:t>Y</w:t>
        </w:r>
      </w:hyperlink>
      <w:r>
        <w:rPr>
          <w:rFonts w:ascii="Times New Roman"/>
          <w:spacing w:val="-13"/>
          <w:sz w:val="18"/>
        </w:rPr>
        <w:t>, </w:t>
      </w:r>
      <w:hyperlink r:id="rId16">
        <w:r>
          <w:rPr>
            <w:rFonts w:ascii="Times New Roman"/>
            <w:sz w:val="18"/>
          </w:rPr>
          <w:t>Fukai K</w:t>
        </w:r>
      </w:hyperlink>
      <w:r>
        <w:rPr>
          <w:rFonts w:ascii="Times New Roman"/>
          <w:sz w:val="18"/>
        </w:rPr>
        <w:t>. Rapid detection of the hepatitis B virus YMDD mutant using </w:t>
      </w:r>
      <w:r>
        <w:rPr>
          <w:rFonts w:ascii="Times New Roman"/>
          <w:spacing w:val="-4"/>
          <w:sz w:val="18"/>
        </w:rPr>
        <w:t>TaqMan-minor </w:t>
      </w:r>
      <w:r>
        <w:rPr>
          <w:rFonts w:ascii="Times New Roman"/>
          <w:spacing w:val="-3"/>
          <w:sz w:val="18"/>
        </w:rPr>
        <w:t>groove </w:t>
      </w:r>
      <w:r>
        <w:rPr>
          <w:rFonts w:ascii="Times New Roman"/>
          <w:spacing w:val="-2"/>
          <w:sz w:val="18"/>
        </w:rPr>
        <w:t>binder </w:t>
      </w:r>
      <w:r>
        <w:rPr>
          <w:rFonts w:ascii="Times New Roman"/>
          <w:sz w:val="18"/>
        </w:rPr>
        <w:t>probes[J]. </w:t>
      </w:r>
      <w:hyperlink r:id="rId17">
        <w:r>
          <w:rPr>
            <w:rFonts w:ascii="Times New Roman"/>
            <w:sz w:val="18"/>
          </w:rPr>
          <w:t>Clinica</w:t>
        </w:r>
      </w:hyperlink>
      <w:r>
        <w:rPr>
          <w:rFonts w:ascii="Times New Roman"/>
          <w:sz w:val="18"/>
        </w:rPr>
        <w:t> chimica </w:t>
      </w:r>
      <w:r>
        <w:rPr>
          <w:rFonts w:ascii="Times New Roman"/>
          <w:spacing w:val="-3"/>
          <w:sz w:val="18"/>
        </w:rPr>
        <w:t>acta,2008,</w:t>
      </w:r>
      <w:r>
        <w:rPr>
          <w:rFonts w:ascii="Times New Roman"/>
          <w:spacing w:val="-14"/>
          <w:sz w:val="18"/>
        </w:rPr>
        <w:t> </w:t>
      </w:r>
      <w:r>
        <w:rPr>
          <w:rFonts w:ascii="Times New Roman"/>
          <w:spacing w:val="-3"/>
          <w:sz w:val="18"/>
        </w:rPr>
        <w:t>395(1-2):151-154</w:t>
      </w:r>
    </w:p>
    <w:p>
      <w:pPr>
        <w:pStyle w:val="ListParagraph"/>
        <w:numPr>
          <w:ilvl w:val="0"/>
          <w:numId w:val="7"/>
        </w:numPr>
        <w:tabs>
          <w:tab w:pos="632" w:val="left" w:leader="none"/>
        </w:tabs>
        <w:spacing w:line="194" w:lineRule="auto" w:before="0" w:after="0"/>
        <w:ind w:left="567" w:right="165" w:hanging="178"/>
        <w:jc w:val="left"/>
        <w:rPr>
          <w:rFonts w:ascii="Times New Roman" w:eastAsia="Times New Roman"/>
          <w:sz w:val="18"/>
        </w:rPr>
      </w:pPr>
      <w:r>
        <w:rPr>
          <w:rFonts w:ascii="Times New Roman" w:eastAsia="Times New Roman"/>
          <w:sz w:val="18"/>
        </w:rPr>
        <w:t>Y</w:t>
      </w:r>
      <w:r>
        <w:rPr>
          <w:rFonts w:ascii="Times New Roman" w:eastAsia="Times New Roman"/>
          <w:spacing w:val="-13"/>
          <w:sz w:val="18"/>
        </w:rPr>
        <w:t> </w:t>
      </w:r>
      <w:r>
        <w:rPr>
          <w:rFonts w:ascii="Times New Roman" w:eastAsia="Times New Roman"/>
          <w:sz w:val="18"/>
        </w:rPr>
        <w:t>Shih,</w:t>
      </w:r>
      <w:r>
        <w:rPr>
          <w:rFonts w:ascii="Times New Roman" w:eastAsia="Times New Roman"/>
          <w:spacing w:val="-8"/>
          <w:sz w:val="18"/>
        </w:rPr>
        <w:t> </w:t>
      </w:r>
      <w:r>
        <w:rPr>
          <w:rFonts w:ascii="Times New Roman" w:eastAsia="Times New Roman"/>
          <w:sz w:val="18"/>
        </w:rPr>
        <w:t>SH</w:t>
      </w:r>
      <w:r>
        <w:rPr>
          <w:rFonts w:ascii="Times New Roman" w:eastAsia="Times New Roman"/>
          <w:spacing w:val="-10"/>
          <w:sz w:val="18"/>
        </w:rPr>
        <w:t> </w:t>
      </w:r>
      <w:r>
        <w:rPr>
          <w:rFonts w:ascii="Times New Roman" w:eastAsia="Times New Roman"/>
          <w:spacing w:val="-6"/>
          <w:sz w:val="18"/>
        </w:rPr>
        <w:t>Yeh,</w:t>
      </w:r>
      <w:r>
        <w:rPr>
          <w:rFonts w:ascii="Times New Roman" w:eastAsia="Times New Roman"/>
          <w:spacing w:val="-9"/>
          <w:sz w:val="18"/>
        </w:rPr>
        <w:t> </w:t>
      </w:r>
      <w:r>
        <w:rPr>
          <w:rFonts w:ascii="Times New Roman" w:eastAsia="Times New Roman"/>
          <w:sz w:val="18"/>
        </w:rPr>
        <w:t>PJ</w:t>
      </w:r>
      <w:r>
        <w:rPr>
          <w:rFonts w:ascii="Times New Roman" w:eastAsia="Times New Roman"/>
          <w:spacing w:val="-7"/>
          <w:sz w:val="18"/>
        </w:rPr>
        <w:t> </w:t>
      </w:r>
      <w:r>
        <w:rPr>
          <w:rFonts w:ascii="Times New Roman" w:eastAsia="Times New Roman"/>
          <w:sz w:val="18"/>
        </w:rPr>
        <w:t>Chen</w:t>
      </w:r>
      <w:r>
        <w:rPr>
          <w:sz w:val="18"/>
        </w:rPr>
        <w:t>，</w:t>
      </w:r>
      <w:r>
        <w:rPr>
          <w:rFonts w:ascii="Times New Roman" w:eastAsia="Times New Roman"/>
          <w:sz w:val="18"/>
        </w:rPr>
        <w:t>et</w:t>
      </w:r>
      <w:r>
        <w:rPr>
          <w:rFonts w:ascii="Times New Roman" w:eastAsia="Times New Roman"/>
          <w:spacing w:val="-5"/>
          <w:sz w:val="18"/>
        </w:rPr>
        <w:t> </w:t>
      </w:r>
      <w:r>
        <w:rPr>
          <w:rFonts w:ascii="Times New Roman" w:eastAsia="Times New Roman"/>
          <w:sz w:val="18"/>
        </w:rPr>
        <w:t>al.</w:t>
      </w:r>
      <w:r>
        <w:rPr>
          <w:rFonts w:ascii="Times New Roman" w:eastAsia="Times New Roman"/>
          <w:spacing w:val="-8"/>
          <w:sz w:val="18"/>
        </w:rPr>
        <w:t> </w:t>
      </w:r>
      <w:hyperlink r:id="rId18">
        <w:r>
          <w:rPr>
            <w:rFonts w:ascii="Times New Roman" w:eastAsia="Times New Roman"/>
            <w:spacing w:val="-3"/>
            <w:sz w:val="18"/>
          </w:rPr>
          <w:t>Hepatitis </w:t>
        </w:r>
        <w:r>
          <w:rPr>
            <w:rFonts w:ascii="Times New Roman" w:eastAsia="Times New Roman"/>
            <w:sz w:val="18"/>
          </w:rPr>
          <w:t>B</w:t>
        </w:r>
        <w:r>
          <w:rPr>
            <w:rFonts w:ascii="Times New Roman" w:eastAsia="Times New Roman"/>
            <w:spacing w:val="-6"/>
            <w:sz w:val="18"/>
          </w:rPr>
          <w:t> </w:t>
        </w:r>
        <w:r>
          <w:rPr>
            <w:rFonts w:ascii="Times New Roman" w:eastAsia="Times New Roman"/>
            <w:sz w:val="18"/>
          </w:rPr>
          <w:t>virus</w:t>
        </w:r>
        <w:r>
          <w:rPr>
            <w:rFonts w:ascii="Times New Roman" w:eastAsia="Times New Roman"/>
            <w:spacing w:val="-8"/>
            <w:sz w:val="18"/>
          </w:rPr>
          <w:t> </w:t>
        </w:r>
        <w:r>
          <w:rPr>
            <w:rFonts w:ascii="Times New Roman" w:eastAsia="Times New Roman"/>
            <w:spacing w:val="-3"/>
            <w:sz w:val="18"/>
          </w:rPr>
          <w:t>quantification</w:t>
        </w:r>
        <w:r>
          <w:rPr>
            <w:rFonts w:ascii="Times New Roman" w:eastAsia="Times New Roman"/>
            <w:spacing w:val="-5"/>
            <w:sz w:val="18"/>
          </w:rPr>
          <w:t> </w:t>
        </w:r>
        <w:r>
          <w:rPr>
            <w:rFonts w:ascii="Times New Roman" w:eastAsia="Times New Roman"/>
            <w:sz w:val="18"/>
          </w:rPr>
          <w:t>and</w:t>
        </w:r>
        <w:r>
          <w:rPr>
            <w:rFonts w:ascii="Times New Roman" w:eastAsia="Times New Roman"/>
            <w:spacing w:val="-9"/>
            <w:sz w:val="18"/>
          </w:rPr>
          <w:t> </w:t>
        </w:r>
        <w:r>
          <w:rPr>
            <w:rFonts w:ascii="Times New Roman" w:eastAsia="Times New Roman"/>
            <w:sz w:val="18"/>
          </w:rPr>
          <w:t>detection</w:t>
        </w:r>
        <w:r>
          <w:rPr>
            <w:rFonts w:ascii="Times New Roman" w:eastAsia="Times New Roman"/>
            <w:spacing w:val="-9"/>
            <w:sz w:val="18"/>
          </w:rPr>
          <w:t> </w:t>
        </w:r>
        <w:r>
          <w:rPr>
            <w:rFonts w:ascii="Times New Roman" w:eastAsia="Times New Roman"/>
            <w:sz w:val="18"/>
          </w:rPr>
          <w:t>of</w:t>
        </w:r>
        <w:r>
          <w:rPr>
            <w:rFonts w:ascii="Times New Roman" w:eastAsia="Times New Roman"/>
            <w:spacing w:val="-10"/>
            <w:sz w:val="18"/>
          </w:rPr>
          <w:t> </w:t>
        </w:r>
        <w:r>
          <w:rPr>
            <w:rFonts w:ascii="Times New Roman" w:eastAsia="Times New Roman"/>
            <w:sz w:val="18"/>
          </w:rPr>
          <w:t>YMDD</w:t>
        </w:r>
        <w:r>
          <w:rPr>
            <w:rFonts w:ascii="Times New Roman" w:eastAsia="Times New Roman"/>
            <w:spacing w:val="-7"/>
            <w:sz w:val="18"/>
          </w:rPr>
          <w:t> </w:t>
        </w:r>
        <w:r>
          <w:rPr>
            <w:rFonts w:ascii="Times New Roman" w:eastAsia="Times New Roman"/>
            <w:sz w:val="18"/>
          </w:rPr>
          <w:t>mutants</w:t>
        </w:r>
        <w:r>
          <w:rPr>
            <w:rFonts w:ascii="Times New Roman" w:eastAsia="Times New Roman"/>
            <w:spacing w:val="-8"/>
            <w:sz w:val="18"/>
          </w:rPr>
          <w:t> </w:t>
        </w:r>
        <w:r>
          <w:rPr>
            <w:rFonts w:ascii="Times New Roman" w:eastAsia="Times New Roman"/>
            <w:sz w:val="18"/>
          </w:rPr>
          <w:t>in</w:t>
        </w:r>
        <w:r>
          <w:rPr>
            <w:rFonts w:ascii="Times New Roman" w:eastAsia="Times New Roman"/>
            <w:spacing w:val="-7"/>
            <w:sz w:val="18"/>
          </w:rPr>
          <w:t> </w:t>
        </w:r>
        <w:r>
          <w:rPr>
            <w:rFonts w:ascii="Times New Roman" w:eastAsia="Times New Roman"/>
            <w:sz w:val="18"/>
          </w:rPr>
          <w:t>a</w:t>
        </w:r>
        <w:r>
          <w:rPr>
            <w:rFonts w:ascii="Times New Roman" w:eastAsia="Times New Roman"/>
            <w:spacing w:val="-6"/>
            <w:sz w:val="18"/>
          </w:rPr>
          <w:t> </w:t>
        </w:r>
        <w:r>
          <w:rPr>
            <w:rFonts w:ascii="Times New Roman" w:eastAsia="Times New Roman"/>
            <w:sz w:val="18"/>
          </w:rPr>
          <w:t>single</w:t>
        </w:r>
        <w:r>
          <w:rPr>
            <w:rFonts w:ascii="Times New Roman" w:eastAsia="Times New Roman"/>
            <w:spacing w:val="-7"/>
            <w:sz w:val="18"/>
          </w:rPr>
          <w:t> </w:t>
        </w:r>
        <w:r>
          <w:rPr>
            <w:rFonts w:ascii="Times New Roman" w:eastAsia="Times New Roman"/>
            <w:sz w:val="18"/>
          </w:rPr>
          <w:t>reaction</w:t>
        </w:r>
        <w:r>
          <w:rPr>
            <w:rFonts w:ascii="Times New Roman" w:eastAsia="Times New Roman"/>
            <w:spacing w:val="-6"/>
            <w:sz w:val="18"/>
          </w:rPr>
          <w:t> </w:t>
        </w:r>
        <w:r>
          <w:rPr>
            <w:rFonts w:ascii="Times New Roman" w:eastAsia="Times New Roman"/>
            <w:sz w:val="18"/>
          </w:rPr>
          <w:t>by</w:t>
        </w:r>
        <w:r>
          <w:rPr>
            <w:rFonts w:ascii="Times New Roman" w:eastAsia="Times New Roman"/>
            <w:spacing w:val="-5"/>
            <w:sz w:val="18"/>
          </w:rPr>
          <w:t> </w:t>
        </w:r>
        <w:r>
          <w:rPr>
            <w:rFonts w:ascii="Times New Roman" w:eastAsia="Times New Roman"/>
            <w:spacing w:val="-3"/>
            <w:sz w:val="18"/>
          </w:rPr>
          <w:t>real-time</w:t>
        </w:r>
        <w:r>
          <w:rPr>
            <w:rFonts w:ascii="Times New Roman" w:eastAsia="Times New Roman"/>
            <w:spacing w:val="-4"/>
            <w:sz w:val="18"/>
          </w:rPr>
          <w:t> </w:t>
        </w:r>
        <w:r>
          <w:rPr>
            <w:rFonts w:ascii="Times New Roman" w:eastAsia="Times New Roman"/>
            <w:sz w:val="18"/>
          </w:rPr>
          <w:t>PCR</w:t>
        </w:r>
        <w:r>
          <w:rPr>
            <w:rFonts w:ascii="Times New Roman" w:eastAsia="Times New Roman"/>
            <w:spacing w:val="-9"/>
            <w:sz w:val="18"/>
          </w:rPr>
          <w:t> </w:t>
        </w:r>
        <w:r>
          <w:rPr>
            <w:rFonts w:ascii="Times New Roman" w:eastAsia="Times New Roman"/>
            <w:sz w:val="18"/>
          </w:rPr>
          <w:t>and</w:t>
        </w:r>
      </w:hyperlink>
      <w:r>
        <w:rPr>
          <w:rFonts w:ascii="Times New Roman" w:eastAsia="Times New Roman"/>
          <w:sz w:val="18"/>
        </w:rPr>
        <w:t> </w:t>
      </w:r>
      <w:r>
        <w:rPr>
          <w:rFonts w:ascii="Times New Roman" w:eastAsia="Times New Roman"/>
          <w:spacing w:val="-3"/>
          <w:sz w:val="18"/>
        </w:rPr>
        <w:t>annealing </w:t>
      </w:r>
      <w:r>
        <w:rPr>
          <w:rFonts w:ascii="Times New Roman" w:eastAsia="Times New Roman"/>
          <w:sz w:val="18"/>
        </w:rPr>
        <w:t>curve </w:t>
      </w:r>
      <w:r>
        <w:rPr>
          <w:rFonts w:ascii="Times New Roman" w:eastAsia="Times New Roman"/>
          <w:spacing w:val="-3"/>
          <w:sz w:val="18"/>
        </w:rPr>
        <w:t>analysis. Antiviral </w:t>
      </w:r>
      <w:r>
        <w:rPr>
          <w:rFonts w:ascii="Times New Roman" w:eastAsia="Times New Roman"/>
          <w:spacing w:val="-5"/>
          <w:sz w:val="18"/>
        </w:rPr>
        <w:t>Therapy, </w:t>
      </w:r>
      <w:r>
        <w:rPr>
          <w:rFonts w:ascii="Times New Roman" w:eastAsia="Times New Roman"/>
          <w:sz w:val="18"/>
        </w:rPr>
        <w:t>2008, </w:t>
      </w:r>
      <w:r>
        <w:rPr>
          <w:rFonts w:ascii="Times New Roman" w:eastAsia="Times New Roman"/>
          <w:spacing w:val="-3"/>
          <w:sz w:val="18"/>
        </w:rPr>
        <w:t>13(4):</w:t>
      </w:r>
      <w:r>
        <w:rPr>
          <w:rFonts w:ascii="Times New Roman" w:eastAsia="Times New Roman"/>
          <w:spacing w:val="-30"/>
          <w:sz w:val="18"/>
        </w:rPr>
        <w:t> </w:t>
      </w:r>
      <w:r>
        <w:rPr>
          <w:rFonts w:ascii="Times New Roman" w:eastAsia="Times New Roman"/>
          <w:spacing w:val="-3"/>
          <w:sz w:val="18"/>
        </w:rPr>
        <w:t>469-480.</w:t>
      </w:r>
    </w:p>
    <w:p>
      <w:pPr>
        <w:pStyle w:val="ListParagraph"/>
        <w:numPr>
          <w:ilvl w:val="0"/>
          <w:numId w:val="7"/>
        </w:numPr>
        <w:tabs>
          <w:tab w:pos="652" w:val="left" w:leader="none"/>
        </w:tabs>
        <w:spacing w:line="208" w:lineRule="auto" w:before="0" w:after="0"/>
        <w:ind w:left="567" w:right="163" w:hanging="178"/>
        <w:jc w:val="left"/>
        <w:rPr>
          <w:rFonts w:ascii="Times New Roman" w:hAnsi="Times New Roman"/>
          <w:sz w:val="18"/>
        </w:rPr>
      </w:pPr>
      <w:hyperlink r:id="rId19">
        <w:r>
          <w:rPr>
            <w:rFonts w:ascii="Times New Roman" w:hAnsi="Times New Roman"/>
            <w:sz w:val="18"/>
          </w:rPr>
          <w:t>Sun PH</w:t>
        </w:r>
      </w:hyperlink>
      <w:r>
        <w:rPr>
          <w:rFonts w:ascii="Times New Roman" w:hAnsi="Times New Roman"/>
          <w:sz w:val="18"/>
        </w:rPr>
        <w:t>, </w:t>
      </w:r>
      <w:hyperlink r:id="rId19">
        <w:r>
          <w:rPr>
            <w:rFonts w:ascii="Times New Roman" w:hAnsi="Times New Roman"/>
            <w:sz w:val="18"/>
          </w:rPr>
          <w:t>Nam KK</w:t>
        </w:r>
      </w:hyperlink>
      <w:r>
        <w:rPr>
          <w:rFonts w:ascii="Times New Roman" w:hAnsi="Times New Roman"/>
          <w:sz w:val="18"/>
        </w:rPr>
        <w:t>, </w:t>
      </w:r>
      <w:hyperlink r:id="rId19">
        <w:r>
          <w:rPr>
            <w:rFonts w:ascii="Times New Roman" w:hAnsi="Times New Roman"/>
            <w:sz w:val="18"/>
          </w:rPr>
          <w:t>Seong GH</w:t>
        </w:r>
      </w:hyperlink>
      <w:r>
        <w:rPr>
          <w:rFonts w:ascii="Times New Roman" w:hAnsi="Times New Roman"/>
          <w:sz w:val="18"/>
        </w:rPr>
        <w:t>, et al. Detection of hepatitis B virus YMDD variants using mass </w:t>
      </w:r>
      <w:r>
        <w:rPr>
          <w:rFonts w:ascii="Times New Roman" w:hAnsi="Times New Roman"/>
          <w:spacing w:val="-3"/>
          <w:sz w:val="18"/>
        </w:rPr>
        <w:t>spectrometric </w:t>
      </w:r>
      <w:r>
        <w:rPr>
          <w:rFonts w:ascii="Times New Roman" w:hAnsi="Times New Roman"/>
          <w:spacing w:val="-2"/>
          <w:sz w:val="18"/>
        </w:rPr>
        <w:t>analysis </w:t>
      </w:r>
      <w:r>
        <w:rPr>
          <w:rFonts w:ascii="Times New Roman" w:hAnsi="Times New Roman"/>
          <w:sz w:val="18"/>
        </w:rPr>
        <w:t>of </w:t>
      </w:r>
      <w:r>
        <w:rPr>
          <w:rFonts w:ascii="Times New Roman" w:hAnsi="Times New Roman"/>
          <w:spacing w:val="-3"/>
          <w:sz w:val="18"/>
        </w:rPr>
        <w:t>oligonucleotide fragments. [J]. </w:t>
      </w:r>
      <w:hyperlink r:id="rId20">
        <w:r>
          <w:rPr>
            <w:rFonts w:ascii="Times New Roman" w:hAnsi="Times New Roman"/>
            <w:sz w:val="18"/>
          </w:rPr>
          <w:t>Journal of </w:t>
        </w:r>
        <w:r>
          <w:rPr>
            <w:rFonts w:ascii="Times New Roman" w:hAnsi="Times New Roman"/>
            <w:spacing w:val="-4"/>
            <w:sz w:val="18"/>
          </w:rPr>
          <w:t>Hepatology</w:t>
        </w:r>
      </w:hyperlink>
      <w:r>
        <w:rPr>
          <w:rFonts w:ascii="Times New Roman" w:hAnsi="Times New Roman"/>
          <w:spacing w:val="-4"/>
          <w:sz w:val="18"/>
        </w:rPr>
        <w:t>, </w:t>
      </w:r>
      <w:r>
        <w:rPr>
          <w:rFonts w:ascii="Times New Roman" w:hAnsi="Times New Roman"/>
          <w:sz w:val="18"/>
        </w:rPr>
        <w:t>2004, 40(5):</w:t>
      </w:r>
      <w:r>
        <w:rPr>
          <w:rFonts w:ascii="Times New Roman" w:hAnsi="Times New Roman"/>
          <w:spacing w:val="-30"/>
          <w:sz w:val="18"/>
        </w:rPr>
        <w:t> </w:t>
      </w:r>
      <w:r>
        <w:rPr>
          <w:rFonts w:ascii="Times New Roman" w:hAnsi="Times New Roman"/>
          <w:spacing w:val="-3"/>
          <w:sz w:val="18"/>
        </w:rPr>
        <w:t>837–844.</w:t>
      </w:r>
    </w:p>
    <w:p>
      <w:pPr>
        <w:pStyle w:val="Heading1"/>
        <w:spacing w:line="199" w:lineRule="exact"/>
      </w:pPr>
      <w:r>
        <w:rPr/>
        <w:t>【基本信息】</w:t>
      </w:r>
    </w:p>
    <w:p>
      <w:pPr>
        <w:pStyle w:val="BodyText"/>
        <w:spacing w:line="206" w:lineRule="auto" w:before="4"/>
        <w:ind w:left="915" w:right="5764"/>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tabs>
          <w:tab w:pos="3252" w:val="left" w:leader="none"/>
        </w:tabs>
        <w:spacing w:line="193" w:lineRule="exact"/>
        <w:ind w:left="915"/>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spacing w:line="200" w:lineRule="exact"/>
        <w:ind w:left="915"/>
      </w:pPr>
      <w:r>
        <w:rPr/>
        <w:t>售后服务单位名称：圣湘生物科技股份有限公司</w:t>
      </w:r>
    </w:p>
    <w:p>
      <w:pPr>
        <w:pStyle w:val="BodyText"/>
        <w:tabs>
          <w:tab w:pos="3252" w:val="left" w:leader="none"/>
        </w:tabs>
        <w:spacing w:line="199" w:lineRule="exact"/>
        <w:ind w:left="915"/>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spacing w:line="194" w:lineRule="exact"/>
        <w:ind w:left="915"/>
      </w:pPr>
      <w:r>
        <w:rPr>
          <w:spacing w:val="-8"/>
        </w:rPr>
        <w:t>生产地址：长沙高新技术产业开发区麓松路 </w:t>
      </w:r>
      <w:r>
        <w:rPr>
          <w:rFonts w:ascii="Times New Roman" w:eastAsia="Times New Roman"/>
        </w:rPr>
        <w:t>680</w:t>
      </w:r>
      <w:r>
        <w:rPr>
          <w:rFonts w:ascii="Times New Roman" w:eastAsia="Times New Roman"/>
          <w:spacing w:val="-7"/>
        </w:rPr>
        <w:t> </w:t>
      </w:r>
      <w:r>
        <w:rPr/>
        <w:t>号</w:t>
      </w:r>
    </w:p>
    <w:p>
      <w:pPr>
        <w:pStyle w:val="BodyText"/>
        <w:spacing w:line="190" w:lineRule="exact"/>
        <w:ind w:left="915"/>
      </w:pPr>
      <w:r>
        <w:rPr>
          <w:spacing w:val="-8"/>
        </w:rPr>
        <w:t>生产许可证编号：湘食药监械生产许 </w:t>
      </w:r>
      <w:r>
        <w:rPr>
          <w:rFonts w:ascii="Times New Roman" w:eastAsia="Times New Roman"/>
        </w:rPr>
        <w:t>20150036</w:t>
      </w:r>
      <w:r>
        <w:rPr>
          <w:rFonts w:ascii="Times New Roman" w:eastAsia="Times New Roman"/>
          <w:spacing w:val="-2"/>
        </w:rPr>
        <w:t> </w:t>
      </w:r>
      <w:r>
        <w:rPr/>
        <w:t>号</w:t>
      </w:r>
    </w:p>
    <w:p>
      <w:pPr>
        <w:pStyle w:val="Heading1"/>
        <w:spacing w:line="190" w:lineRule="exact"/>
        <w:rPr>
          <w:rFonts w:ascii="Times New Roman" w:eastAsia="Times New Roman"/>
        </w:rPr>
      </w:pPr>
      <w:r>
        <w:rPr/>
        <w:t>【医疗器械注册证编号</w:t>
      </w:r>
      <w:r>
        <w:rPr>
          <w:rFonts w:ascii="Times New Roman" w:eastAsia="Times New Roman"/>
        </w:rPr>
        <w:t>/</w:t>
      </w:r>
      <w:r>
        <w:rPr/>
        <w:t>产品技术要求编号】国械注准 </w:t>
      </w:r>
      <w:r>
        <w:rPr>
          <w:rFonts w:ascii="Times New Roman" w:eastAsia="Times New Roman"/>
        </w:rPr>
        <w:t>20163401807</w:t>
      </w:r>
    </w:p>
    <w:p>
      <w:pPr>
        <w:spacing w:line="196" w:lineRule="auto" w:before="12"/>
        <w:ind w:left="473" w:right="6365" w:hanging="87"/>
        <w:jc w:val="left"/>
        <w:rPr>
          <w:sz w:val="18"/>
        </w:rPr>
      </w:pPr>
      <w:r>
        <w:rPr>
          <w:b/>
          <w:spacing w:val="-5"/>
          <w:sz w:val="18"/>
        </w:rPr>
        <w:t>【说明书核准日期及修改日期】</w:t>
      </w:r>
      <w:r>
        <w:rPr>
          <w:rFonts w:ascii="Times New Roman" w:eastAsia="Times New Roman"/>
          <w:b/>
          <w:sz w:val="18"/>
        </w:rPr>
        <w:t>2019</w:t>
      </w:r>
      <w:r>
        <w:rPr>
          <w:rFonts w:ascii="Times New Roman" w:eastAsia="Times New Roman"/>
          <w:b/>
          <w:spacing w:val="-10"/>
          <w:sz w:val="18"/>
        </w:rPr>
        <w:t> </w:t>
      </w:r>
      <w:r>
        <w:rPr>
          <w:b/>
          <w:spacing w:val="-27"/>
          <w:sz w:val="18"/>
        </w:rPr>
        <w:t>年 </w:t>
      </w:r>
      <w:r>
        <w:rPr>
          <w:rFonts w:ascii="Times New Roman" w:eastAsia="Times New Roman"/>
          <w:b/>
          <w:sz w:val="18"/>
        </w:rPr>
        <w:t>10</w:t>
      </w:r>
      <w:r>
        <w:rPr>
          <w:rFonts w:ascii="Times New Roman" w:eastAsia="Times New Roman"/>
          <w:b/>
          <w:spacing w:val="-7"/>
          <w:sz w:val="18"/>
        </w:rPr>
        <w:t> </w:t>
      </w:r>
      <w:r>
        <w:rPr>
          <w:b/>
          <w:spacing w:val="-27"/>
          <w:sz w:val="18"/>
        </w:rPr>
        <w:t>月 </w:t>
      </w:r>
      <w:r>
        <w:rPr>
          <w:rFonts w:ascii="Times New Roman" w:eastAsia="Times New Roman"/>
          <w:b/>
          <w:sz w:val="18"/>
        </w:rPr>
        <w:t>10</w:t>
      </w:r>
      <w:r>
        <w:rPr>
          <w:rFonts w:ascii="Times New Roman" w:eastAsia="Times New Roman"/>
          <w:b/>
          <w:spacing w:val="-8"/>
          <w:sz w:val="18"/>
        </w:rPr>
        <w:t> </w:t>
      </w:r>
      <w:r>
        <w:rPr>
          <w:b/>
          <w:sz w:val="18"/>
        </w:rPr>
        <w:t>日</w:t>
      </w:r>
      <w:r>
        <w:rPr>
          <w:b/>
          <w:spacing w:val="-5"/>
          <w:sz w:val="18"/>
        </w:rPr>
        <w:t>生产日期：</w:t>
      </w:r>
      <w:r>
        <w:rPr>
          <w:spacing w:val="-5"/>
          <w:sz w:val="18"/>
        </w:rPr>
        <w:t>见外包装盒。</w:t>
      </w:r>
    </w:p>
    <w:p>
      <w:pPr>
        <w:spacing w:line="199" w:lineRule="exact" w:before="0"/>
        <w:ind w:left="473" w:right="0" w:firstLine="0"/>
        <w:jc w:val="left"/>
        <w:rPr>
          <w:sz w:val="18"/>
        </w:rPr>
      </w:pPr>
      <w:r>
        <w:rPr>
          <w:b/>
          <w:spacing w:val="-5"/>
          <w:w w:val="95"/>
          <w:sz w:val="18"/>
        </w:rPr>
        <w:t>失效日期：</w:t>
      </w:r>
      <w:r>
        <w:rPr>
          <w:spacing w:val="-5"/>
          <w:w w:val="95"/>
          <w:sz w:val="18"/>
        </w:rPr>
        <w:t>见外包装盒。</w:t>
      </w:r>
    </w:p>
    <w:sectPr>
      <w:pgSz w:w="11910" w:h="16840"/>
      <w:pgMar w:header="462" w:footer="426" w:top="660" w:bottom="660" w:left="52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543.400024pt;margin-top:806.910034pt;width:8.5pt;height:12pt;mso-position-horizontal-relative:page;mso-position-vertical-relative:page;z-index:-252153856" type="#_x0000_t202" filled="false" stroked="false">
          <v:textbox inset="0,0,0,0">
            <w:txbxContent>
              <w:p>
                <w:pPr>
                  <w:pStyle w:val="BodyText"/>
                  <w:spacing w:before="12"/>
                  <w:ind w:left="40"/>
                  <w:rPr>
                    <w:rFonts w:ascii="Times New Roman"/>
                  </w:rPr>
                </w:pPr>
                <w:r>
                  <w:rPr/>
                  <w:fldChar w:fldCharType="begin"/>
                </w:r>
                <w:r>
                  <w:rPr>
                    <w:rFonts w:ascii="Times New Roman"/>
                  </w:rPr>
                  <w:instrText> PAGE </w:instrText>
                </w:r>
                <w:r>
                  <w:rPr/>
                  <w:fldChar w:fldCharType="separate"/>
                </w:r>
                <w:r>
                  <w:rPr/>
                  <w:t>1</w:t>
                </w:r>
                <w:r>
                  <w:rPr/>
                  <w:fldChar w:fldCharType="end"/>
                </w:r>
              </w:p>
            </w:txbxContent>
          </v:textbox>
          <w10:wrap type="none"/>
        </v:shape>
      </w:pict>
    </w:r>
    <w:r>
      <w:rPr/>
      <w:pict>
        <v:shape style="position:absolute;margin-left:251.358994pt;margin-top:807.630005pt;width:169.05pt;height:12pt;mso-position-horizontal-relative:page;mso-position-vertical-relative:page;z-index:-252152832" type="#_x0000_t202" filled="false" stroked="false">
          <v:textbox inset="0,0,0,0">
            <w:txbxContent>
              <w:p>
                <w:pPr>
                  <w:pStyle w:val="BodyText"/>
                  <w:ind w:left="20"/>
                </w:pPr>
                <w:r>
                  <w:rPr>
                    <w:spacing w:val="-7"/>
                  </w:rPr>
                  <w:t>乙型肝炎病毒 </w:t>
                </w:r>
                <w:r>
                  <w:rPr>
                    <w:rFonts w:ascii="Times New Roman" w:eastAsia="Times New Roman"/>
                  </w:rPr>
                  <w:t>YMDD </w:t>
                </w:r>
                <w:r>
                  <w:rPr/>
                  <w:t>基因突变产品说明书</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3.359009pt;margin-top:23.11565pt;width:107.85pt;height:11pt;mso-position-horizontal-relative:page;mso-position-vertical-relative:page;z-index:-252154880" type="#_x0000_t202" filled="false" stroked="false">
          <v:textbox inset="0,0,0,0">
            <w:txbxContent>
              <w:p>
                <w:pPr>
                  <w:pStyle w:val="BodyText"/>
                  <w:spacing w:line="220" w:lineRule="exact"/>
                  <w:ind w:left="20"/>
                </w:pPr>
                <w:r>
                  <w:rPr>
                    <w:spacing w:val="-5"/>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567" w:hanging="291"/>
        <w:jc w:val="left"/>
      </w:pPr>
      <w:rPr>
        <w:rFonts w:hint="default" w:ascii="Times New Roman" w:hAnsi="Times New Roman" w:eastAsia="Times New Roman" w:cs="Times New Roman"/>
        <w:spacing w:val="-36"/>
        <w:w w:val="100"/>
        <w:sz w:val="18"/>
        <w:szCs w:val="18"/>
        <w:lang w:val="zh-CN" w:eastAsia="zh-CN" w:bidi="zh-CN"/>
      </w:rPr>
    </w:lvl>
    <w:lvl w:ilvl="1">
      <w:start w:val="0"/>
      <w:numFmt w:val="bullet"/>
      <w:lvlText w:val="•"/>
      <w:lvlJc w:val="left"/>
      <w:pPr>
        <w:ind w:left="1572" w:hanging="291"/>
      </w:pPr>
      <w:rPr>
        <w:rFonts w:hint="default"/>
        <w:lang w:val="zh-CN" w:eastAsia="zh-CN" w:bidi="zh-CN"/>
      </w:rPr>
    </w:lvl>
    <w:lvl w:ilvl="2">
      <w:start w:val="0"/>
      <w:numFmt w:val="bullet"/>
      <w:lvlText w:val="•"/>
      <w:lvlJc w:val="left"/>
      <w:pPr>
        <w:ind w:left="2585" w:hanging="291"/>
      </w:pPr>
      <w:rPr>
        <w:rFonts w:hint="default"/>
        <w:lang w:val="zh-CN" w:eastAsia="zh-CN" w:bidi="zh-CN"/>
      </w:rPr>
    </w:lvl>
    <w:lvl w:ilvl="3">
      <w:start w:val="0"/>
      <w:numFmt w:val="bullet"/>
      <w:lvlText w:val="•"/>
      <w:lvlJc w:val="left"/>
      <w:pPr>
        <w:ind w:left="3597" w:hanging="291"/>
      </w:pPr>
      <w:rPr>
        <w:rFonts w:hint="default"/>
        <w:lang w:val="zh-CN" w:eastAsia="zh-CN" w:bidi="zh-CN"/>
      </w:rPr>
    </w:lvl>
    <w:lvl w:ilvl="4">
      <w:start w:val="0"/>
      <w:numFmt w:val="bullet"/>
      <w:lvlText w:val="•"/>
      <w:lvlJc w:val="left"/>
      <w:pPr>
        <w:ind w:left="4610" w:hanging="291"/>
      </w:pPr>
      <w:rPr>
        <w:rFonts w:hint="default"/>
        <w:lang w:val="zh-CN" w:eastAsia="zh-CN" w:bidi="zh-CN"/>
      </w:rPr>
    </w:lvl>
    <w:lvl w:ilvl="5">
      <w:start w:val="0"/>
      <w:numFmt w:val="bullet"/>
      <w:lvlText w:val="•"/>
      <w:lvlJc w:val="left"/>
      <w:pPr>
        <w:ind w:left="5623" w:hanging="291"/>
      </w:pPr>
      <w:rPr>
        <w:rFonts w:hint="default"/>
        <w:lang w:val="zh-CN" w:eastAsia="zh-CN" w:bidi="zh-CN"/>
      </w:rPr>
    </w:lvl>
    <w:lvl w:ilvl="6">
      <w:start w:val="0"/>
      <w:numFmt w:val="bullet"/>
      <w:lvlText w:val="•"/>
      <w:lvlJc w:val="left"/>
      <w:pPr>
        <w:ind w:left="6635" w:hanging="291"/>
      </w:pPr>
      <w:rPr>
        <w:rFonts w:hint="default"/>
        <w:lang w:val="zh-CN" w:eastAsia="zh-CN" w:bidi="zh-CN"/>
      </w:rPr>
    </w:lvl>
    <w:lvl w:ilvl="7">
      <w:start w:val="0"/>
      <w:numFmt w:val="bullet"/>
      <w:lvlText w:val="•"/>
      <w:lvlJc w:val="left"/>
      <w:pPr>
        <w:ind w:left="7648" w:hanging="291"/>
      </w:pPr>
      <w:rPr>
        <w:rFonts w:hint="default"/>
        <w:lang w:val="zh-CN" w:eastAsia="zh-CN" w:bidi="zh-CN"/>
      </w:rPr>
    </w:lvl>
    <w:lvl w:ilvl="8">
      <w:start w:val="0"/>
      <w:numFmt w:val="bullet"/>
      <w:lvlText w:val="•"/>
      <w:lvlJc w:val="left"/>
      <w:pPr>
        <w:ind w:left="8660" w:hanging="291"/>
      </w:pPr>
      <w:rPr>
        <w:rFonts w:hint="default"/>
        <w:lang w:val="zh-CN" w:eastAsia="zh-CN" w:bidi="zh-CN"/>
      </w:rPr>
    </w:lvl>
  </w:abstractNum>
  <w:abstractNum w:abstractNumId="5">
    <w:multiLevelType w:val="hybridMultilevel"/>
    <w:lvl w:ilvl="0">
      <w:start w:val="1"/>
      <w:numFmt w:val="decimal"/>
      <w:lvlText w:val="%1."/>
      <w:lvlJc w:val="left"/>
      <w:pPr>
        <w:ind w:left="521" w:hanging="135"/>
        <w:jc w:val="left"/>
      </w:pPr>
      <w:rPr>
        <w:rFonts w:hint="default"/>
        <w:spacing w:val="-5"/>
        <w:w w:val="100"/>
        <w:lang w:val="zh-CN" w:eastAsia="zh-CN" w:bidi="zh-CN"/>
      </w:rPr>
    </w:lvl>
    <w:lvl w:ilvl="1">
      <w:start w:val="0"/>
      <w:numFmt w:val="bullet"/>
      <w:lvlText w:val="•"/>
      <w:lvlJc w:val="left"/>
      <w:pPr>
        <w:ind w:left="1536" w:hanging="135"/>
      </w:pPr>
      <w:rPr>
        <w:rFonts w:hint="default"/>
        <w:lang w:val="zh-CN" w:eastAsia="zh-CN" w:bidi="zh-CN"/>
      </w:rPr>
    </w:lvl>
    <w:lvl w:ilvl="2">
      <w:start w:val="0"/>
      <w:numFmt w:val="bullet"/>
      <w:lvlText w:val="•"/>
      <w:lvlJc w:val="left"/>
      <w:pPr>
        <w:ind w:left="2553" w:hanging="135"/>
      </w:pPr>
      <w:rPr>
        <w:rFonts w:hint="default"/>
        <w:lang w:val="zh-CN" w:eastAsia="zh-CN" w:bidi="zh-CN"/>
      </w:rPr>
    </w:lvl>
    <w:lvl w:ilvl="3">
      <w:start w:val="0"/>
      <w:numFmt w:val="bullet"/>
      <w:lvlText w:val="•"/>
      <w:lvlJc w:val="left"/>
      <w:pPr>
        <w:ind w:left="3569" w:hanging="135"/>
      </w:pPr>
      <w:rPr>
        <w:rFonts w:hint="default"/>
        <w:lang w:val="zh-CN" w:eastAsia="zh-CN" w:bidi="zh-CN"/>
      </w:rPr>
    </w:lvl>
    <w:lvl w:ilvl="4">
      <w:start w:val="0"/>
      <w:numFmt w:val="bullet"/>
      <w:lvlText w:val="•"/>
      <w:lvlJc w:val="left"/>
      <w:pPr>
        <w:ind w:left="4586" w:hanging="135"/>
      </w:pPr>
      <w:rPr>
        <w:rFonts w:hint="default"/>
        <w:lang w:val="zh-CN" w:eastAsia="zh-CN" w:bidi="zh-CN"/>
      </w:rPr>
    </w:lvl>
    <w:lvl w:ilvl="5">
      <w:start w:val="0"/>
      <w:numFmt w:val="bullet"/>
      <w:lvlText w:val="•"/>
      <w:lvlJc w:val="left"/>
      <w:pPr>
        <w:ind w:left="5603" w:hanging="135"/>
      </w:pPr>
      <w:rPr>
        <w:rFonts w:hint="default"/>
        <w:lang w:val="zh-CN" w:eastAsia="zh-CN" w:bidi="zh-CN"/>
      </w:rPr>
    </w:lvl>
    <w:lvl w:ilvl="6">
      <w:start w:val="0"/>
      <w:numFmt w:val="bullet"/>
      <w:lvlText w:val="•"/>
      <w:lvlJc w:val="left"/>
      <w:pPr>
        <w:ind w:left="6619" w:hanging="135"/>
      </w:pPr>
      <w:rPr>
        <w:rFonts w:hint="default"/>
        <w:lang w:val="zh-CN" w:eastAsia="zh-CN" w:bidi="zh-CN"/>
      </w:rPr>
    </w:lvl>
    <w:lvl w:ilvl="7">
      <w:start w:val="0"/>
      <w:numFmt w:val="bullet"/>
      <w:lvlText w:val="•"/>
      <w:lvlJc w:val="left"/>
      <w:pPr>
        <w:ind w:left="7636" w:hanging="135"/>
      </w:pPr>
      <w:rPr>
        <w:rFonts w:hint="default"/>
        <w:lang w:val="zh-CN" w:eastAsia="zh-CN" w:bidi="zh-CN"/>
      </w:rPr>
    </w:lvl>
    <w:lvl w:ilvl="8">
      <w:start w:val="0"/>
      <w:numFmt w:val="bullet"/>
      <w:lvlText w:val="•"/>
      <w:lvlJc w:val="left"/>
      <w:pPr>
        <w:ind w:left="8652" w:hanging="135"/>
      </w:pPr>
      <w:rPr>
        <w:rFonts w:hint="default"/>
        <w:lang w:val="zh-CN" w:eastAsia="zh-CN" w:bidi="zh-CN"/>
      </w:rPr>
    </w:lvl>
  </w:abstractNum>
  <w:abstractNum w:abstractNumId="4">
    <w:multiLevelType w:val="hybridMultilevel"/>
    <w:lvl w:ilvl="0">
      <w:start w:val="1"/>
      <w:numFmt w:val="decimal"/>
      <w:lvlText w:val="%1."/>
      <w:lvlJc w:val="left"/>
      <w:pPr>
        <w:ind w:left="555" w:hanging="135"/>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572" w:hanging="135"/>
      </w:pPr>
      <w:rPr>
        <w:rFonts w:hint="default"/>
        <w:lang w:val="zh-CN" w:eastAsia="zh-CN" w:bidi="zh-CN"/>
      </w:rPr>
    </w:lvl>
    <w:lvl w:ilvl="2">
      <w:start w:val="0"/>
      <w:numFmt w:val="bullet"/>
      <w:lvlText w:val="•"/>
      <w:lvlJc w:val="left"/>
      <w:pPr>
        <w:ind w:left="2585" w:hanging="135"/>
      </w:pPr>
      <w:rPr>
        <w:rFonts w:hint="default"/>
        <w:lang w:val="zh-CN" w:eastAsia="zh-CN" w:bidi="zh-CN"/>
      </w:rPr>
    </w:lvl>
    <w:lvl w:ilvl="3">
      <w:start w:val="0"/>
      <w:numFmt w:val="bullet"/>
      <w:lvlText w:val="•"/>
      <w:lvlJc w:val="left"/>
      <w:pPr>
        <w:ind w:left="3597" w:hanging="135"/>
      </w:pPr>
      <w:rPr>
        <w:rFonts w:hint="default"/>
        <w:lang w:val="zh-CN" w:eastAsia="zh-CN" w:bidi="zh-CN"/>
      </w:rPr>
    </w:lvl>
    <w:lvl w:ilvl="4">
      <w:start w:val="0"/>
      <w:numFmt w:val="bullet"/>
      <w:lvlText w:val="•"/>
      <w:lvlJc w:val="left"/>
      <w:pPr>
        <w:ind w:left="4610" w:hanging="135"/>
      </w:pPr>
      <w:rPr>
        <w:rFonts w:hint="default"/>
        <w:lang w:val="zh-CN" w:eastAsia="zh-CN" w:bidi="zh-CN"/>
      </w:rPr>
    </w:lvl>
    <w:lvl w:ilvl="5">
      <w:start w:val="0"/>
      <w:numFmt w:val="bullet"/>
      <w:lvlText w:val="•"/>
      <w:lvlJc w:val="left"/>
      <w:pPr>
        <w:ind w:left="5623" w:hanging="135"/>
      </w:pPr>
      <w:rPr>
        <w:rFonts w:hint="default"/>
        <w:lang w:val="zh-CN" w:eastAsia="zh-CN" w:bidi="zh-CN"/>
      </w:rPr>
    </w:lvl>
    <w:lvl w:ilvl="6">
      <w:start w:val="0"/>
      <w:numFmt w:val="bullet"/>
      <w:lvlText w:val="•"/>
      <w:lvlJc w:val="left"/>
      <w:pPr>
        <w:ind w:left="6635" w:hanging="135"/>
      </w:pPr>
      <w:rPr>
        <w:rFonts w:hint="default"/>
        <w:lang w:val="zh-CN" w:eastAsia="zh-CN" w:bidi="zh-CN"/>
      </w:rPr>
    </w:lvl>
    <w:lvl w:ilvl="7">
      <w:start w:val="0"/>
      <w:numFmt w:val="bullet"/>
      <w:lvlText w:val="•"/>
      <w:lvlJc w:val="left"/>
      <w:pPr>
        <w:ind w:left="7648" w:hanging="135"/>
      </w:pPr>
      <w:rPr>
        <w:rFonts w:hint="default"/>
        <w:lang w:val="zh-CN" w:eastAsia="zh-CN" w:bidi="zh-CN"/>
      </w:rPr>
    </w:lvl>
    <w:lvl w:ilvl="8">
      <w:start w:val="0"/>
      <w:numFmt w:val="bullet"/>
      <w:lvlText w:val="•"/>
      <w:lvlJc w:val="left"/>
      <w:pPr>
        <w:ind w:left="8660" w:hanging="135"/>
      </w:pPr>
      <w:rPr>
        <w:rFonts w:hint="default"/>
        <w:lang w:val="zh-CN" w:eastAsia="zh-CN" w:bidi="zh-CN"/>
      </w:rPr>
    </w:lvl>
  </w:abstractNum>
  <w:abstractNum w:abstractNumId="3">
    <w:multiLevelType w:val="hybridMultilevel"/>
    <w:lvl w:ilvl="0">
      <w:start w:val="1"/>
      <w:numFmt w:val="decimal"/>
      <w:lvlText w:val="%1."/>
      <w:lvlJc w:val="left"/>
      <w:pPr>
        <w:ind w:left="603" w:hanging="216"/>
        <w:jc w:val="left"/>
      </w:pPr>
      <w:rPr>
        <w:rFonts w:hint="default" w:ascii="Times New Roman" w:hAnsi="Times New Roman" w:eastAsia="Times New Roman" w:cs="Times New Roman"/>
        <w:b/>
        <w:bCs/>
        <w:spacing w:val="-8"/>
        <w:w w:val="99"/>
        <w:sz w:val="18"/>
        <w:szCs w:val="18"/>
        <w:lang w:val="zh-CN" w:eastAsia="zh-CN" w:bidi="zh-CN"/>
      </w:rPr>
    </w:lvl>
    <w:lvl w:ilvl="1">
      <w:start w:val="1"/>
      <w:numFmt w:val="decimal"/>
      <w:lvlText w:val="%1.%2"/>
      <w:lvlJc w:val="left"/>
      <w:pPr>
        <w:ind w:left="648" w:hanging="262"/>
        <w:jc w:val="left"/>
      </w:pPr>
      <w:rPr>
        <w:rFonts w:hint="default" w:ascii="Times New Roman" w:hAnsi="Times New Roman" w:eastAsia="Times New Roman" w:cs="Times New Roman"/>
        <w:spacing w:val="-2"/>
        <w:w w:val="100"/>
        <w:sz w:val="18"/>
        <w:szCs w:val="18"/>
        <w:lang w:val="zh-CN" w:eastAsia="zh-CN" w:bidi="zh-CN"/>
      </w:rPr>
    </w:lvl>
    <w:lvl w:ilvl="2">
      <w:start w:val="1"/>
      <w:numFmt w:val="decimal"/>
      <w:lvlText w:val="%1.%2.%3"/>
      <w:lvlJc w:val="left"/>
      <w:pPr>
        <w:ind w:left="824" w:hanging="437"/>
        <w:jc w:val="left"/>
      </w:pPr>
      <w:rPr>
        <w:rFonts w:hint="default" w:ascii="Times New Roman" w:hAnsi="Times New Roman" w:eastAsia="Times New Roman" w:cs="Times New Roman"/>
        <w:spacing w:val="-52"/>
        <w:w w:val="100"/>
        <w:sz w:val="18"/>
        <w:szCs w:val="18"/>
        <w:lang w:val="zh-CN" w:eastAsia="zh-CN" w:bidi="zh-CN"/>
      </w:rPr>
    </w:lvl>
    <w:lvl w:ilvl="3">
      <w:start w:val="0"/>
      <w:numFmt w:val="bullet"/>
      <w:lvlText w:val="•"/>
      <w:lvlJc w:val="left"/>
      <w:pPr>
        <w:ind w:left="820" w:hanging="437"/>
      </w:pPr>
      <w:rPr>
        <w:rFonts w:hint="default"/>
        <w:lang w:val="zh-CN" w:eastAsia="zh-CN" w:bidi="zh-CN"/>
      </w:rPr>
    </w:lvl>
    <w:lvl w:ilvl="4">
      <w:start w:val="0"/>
      <w:numFmt w:val="bullet"/>
      <w:lvlText w:val="•"/>
      <w:lvlJc w:val="left"/>
      <w:pPr>
        <w:ind w:left="2229" w:hanging="437"/>
      </w:pPr>
      <w:rPr>
        <w:rFonts w:hint="default"/>
        <w:lang w:val="zh-CN" w:eastAsia="zh-CN" w:bidi="zh-CN"/>
      </w:rPr>
    </w:lvl>
    <w:lvl w:ilvl="5">
      <w:start w:val="0"/>
      <w:numFmt w:val="bullet"/>
      <w:lvlText w:val="•"/>
      <w:lvlJc w:val="left"/>
      <w:pPr>
        <w:ind w:left="3638" w:hanging="437"/>
      </w:pPr>
      <w:rPr>
        <w:rFonts w:hint="default"/>
        <w:lang w:val="zh-CN" w:eastAsia="zh-CN" w:bidi="zh-CN"/>
      </w:rPr>
    </w:lvl>
    <w:lvl w:ilvl="6">
      <w:start w:val="0"/>
      <w:numFmt w:val="bullet"/>
      <w:lvlText w:val="•"/>
      <w:lvlJc w:val="left"/>
      <w:pPr>
        <w:ind w:left="5048" w:hanging="437"/>
      </w:pPr>
      <w:rPr>
        <w:rFonts w:hint="default"/>
        <w:lang w:val="zh-CN" w:eastAsia="zh-CN" w:bidi="zh-CN"/>
      </w:rPr>
    </w:lvl>
    <w:lvl w:ilvl="7">
      <w:start w:val="0"/>
      <w:numFmt w:val="bullet"/>
      <w:lvlText w:val="•"/>
      <w:lvlJc w:val="left"/>
      <w:pPr>
        <w:ind w:left="6457" w:hanging="437"/>
      </w:pPr>
      <w:rPr>
        <w:rFonts w:hint="default"/>
        <w:lang w:val="zh-CN" w:eastAsia="zh-CN" w:bidi="zh-CN"/>
      </w:rPr>
    </w:lvl>
    <w:lvl w:ilvl="8">
      <w:start w:val="0"/>
      <w:numFmt w:val="bullet"/>
      <w:lvlText w:val="•"/>
      <w:lvlJc w:val="left"/>
      <w:pPr>
        <w:ind w:left="7867" w:hanging="437"/>
      </w:pPr>
      <w:rPr>
        <w:rFonts w:hint="default"/>
        <w:lang w:val="zh-CN" w:eastAsia="zh-CN" w:bidi="zh-CN"/>
      </w:rPr>
    </w:lvl>
  </w:abstractNum>
  <w:abstractNum w:abstractNumId="2">
    <w:multiLevelType w:val="hybridMultilevel"/>
    <w:lvl w:ilvl="0">
      <w:start w:val="1"/>
      <w:numFmt w:val="decimal"/>
      <w:lvlText w:val="%1"/>
      <w:lvlJc w:val="left"/>
      <w:pPr>
        <w:ind w:left="560" w:hanging="173"/>
        <w:jc w:val="left"/>
      </w:pPr>
      <w:rPr>
        <w:rFonts w:hint="default" w:ascii="Times New Roman" w:hAnsi="Times New Roman" w:eastAsia="Times New Roman" w:cs="Times New Roman"/>
        <w:spacing w:val="-8"/>
        <w:w w:val="100"/>
        <w:sz w:val="18"/>
        <w:szCs w:val="18"/>
        <w:lang w:val="zh-CN" w:eastAsia="zh-CN" w:bidi="zh-CN"/>
      </w:rPr>
    </w:lvl>
    <w:lvl w:ilvl="1">
      <w:start w:val="1"/>
      <w:numFmt w:val="decimal"/>
      <w:lvlText w:val="%1.%2"/>
      <w:lvlJc w:val="left"/>
      <w:pPr>
        <w:ind w:left="996" w:hanging="305"/>
        <w:jc w:val="left"/>
      </w:pPr>
      <w:rPr>
        <w:rFonts w:hint="default" w:ascii="Times New Roman" w:hAnsi="Times New Roman" w:eastAsia="Times New Roman" w:cs="Times New Roman"/>
        <w:spacing w:val="-8"/>
        <w:w w:val="100"/>
        <w:sz w:val="18"/>
        <w:szCs w:val="18"/>
        <w:lang w:val="zh-CN" w:eastAsia="zh-CN" w:bidi="zh-CN"/>
      </w:rPr>
    </w:lvl>
    <w:lvl w:ilvl="2">
      <w:start w:val="0"/>
      <w:numFmt w:val="bullet"/>
      <w:lvlText w:val="•"/>
      <w:lvlJc w:val="left"/>
      <w:pPr>
        <w:ind w:left="2076" w:hanging="305"/>
      </w:pPr>
      <w:rPr>
        <w:rFonts w:hint="default"/>
        <w:lang w:val="zh-CN" w:eastAsia="zh-CN" w:bidi="zh-CN"/>
      </w:rPr>
    </w:lvl>
    <w:lvl w:ilvl="3">
      <w:start w:val="0"/>
      <w:numFmt w:val="bullet"/>
      <w:lvlText w:val="•"/>
      <w:lvlJc w:val="left"/>
      <w:pPr>
        <w:ind w:left="3152" w:hanging="305"/>
      </w:pPr>
      <w:rPr>
        <w:rFonts w:hint="default"/>
        <w:lang w:val="zh-CN" w:eastAsia="zh-CN" w:bidi="zh-CN"/>
      </w:rPr>
    </w:lvl>
    <w:lvl w:ilvl="4">
      <w:start w:val="0"/>
      <w:numFmt w:val="bullet"/>
      <w:lvlText w:val="•"/>
      <w:lvlJc w:val="left"/>
      <w:pPr>
        <w:ind w:left="4228" w:hanging="305"/>
      </w:pPr>
      <w:rPr>
        <w:rFonts w:hint="default"/>
        <w:lang w:val="zh-CN" w:eastAsia="zh-CN" w:bidi="zh-CN"/>
      </w:rPr>
    </w:lvl>
    <w:lvl w:ilvl="5">
      <w:start w:val="0"/>
      <w:numFmt w:val="bullet"/>
      <w:lvlText w:val="•"/>
      <w:lvlJc w:val="left"/>
      <w:pPr>
        <w:ind w:left="5304" w:hanging="305"/>
      </w:pPr>
      <w:rPr>
        <w:rFonts w:hint="default"/>
        <w:lang w:val="zh-CN" w:eastAsia="zh-CN" w:bidi="zh-CN"/>
      </w:rPr>
    </w:lvl>
    <w:lvl w:ilvl="6">
      <w:start w:val="0"/>
      <w:numFmt w:val="bullet"/>
      <w:lvlText w:val="•"/>
      <w:lvlJc w:val="left"/>
      <w:pPr>
        <w:ind w:left="6381" w:hanging="305"/>
      </w:pPr>
      <w:rPr>
        <w:rFonts w:hint="default"/>
        <w:lang w:val="zh-CN" w:eastAsia="zh-CN" w:bidi="zh-CN"/>
      </w:rPr>
    </w:lvl>
    <w:lvl w:ilvl="7">
      <w:start w:val="0"/>
      <w:numFmt w:val="bullet"/>
      <w:lvlText w:val="•"/>
      <w:lvlJc w:val="left"/>
      <w:pPr>
        <w:ind w:left="7457" w:hanging="305"/>
      </w:pPr>
      <w:rPr>
        <w:rFonts w:hint="default"/>
        <w:lang w:val="zh-CN" w:eastAsia="zh-CN" w:bidi="zh-CN"/>
      </w:rPr>
    </w:lvl>
    <w:lvl w:ilvl="8">
      <w:start w:val="0"/>
      <w:numFmt w:val="bullet"/>
      <w:lvlText w:val="•"/>
      <w:lvlJc w:val="left"/>
      <w:pPr>
        <w:ind w:left="8533" w:hanging="305"/>
      </w:pPr>
      <w:rPr>
        <w:rFonts w:hint="default"/>
        <w:lang w:val="zh-CN" w:eastAsia="zh-CN" w:bidi="zh-CN"/>
      </w:rPr>
    </w:lvl>
  </w:abstractNum>
  <w:abstractNum w:abstractNumId="1">
    <w:multiLevelType w:val="hybridMultilevel"/>
    <w:lvl w:ilvl="0">
      <w:start w:val="1"/>
      <w:numFmt w:val="decimal"/>
      <w:lvlText w:val="%1"/>
      <w:lvlJc w:val="left"/>
      <w:pPr>
        <w:ind w:left="560" w:hanging="173"/>
        <w:jc w:val="left"/>
      </w:pPr>
      <w:rPr>
        <w:rFonts w:hint="default" w:ascii="Times New Roman" w:hAnsi="Times New Roman" w:eastAsia="Times New Roman" w:cs="Times New Roman"/>
        <w:spacing w:val="-49"/>
        <w:w w:val="100"/>
        <w:sz w:val="18"/>
        <w:szCs w:val="18"/>
        <w:lang w:val="zh-CN" w:eastAsia="zh-CN" w:bidi="zh-CN"/>
      </w:rPr>
    </w:lvl>
    <w:lvl w:ilvl="1">
      <w:start w:val="0"/>
      <w:numFmt w:val="bullet"/>
      <w:lvlText w:val="•"/>
      <w:lvlJc w:val="left"/>
      <w:pPr>
        <w:ind w:left="1572" w:hanging="173"/>
      </w:pPr>
      <w:rPr>
        <w:rFonts w:hint="default"/>
        <w:lang w:val="zh-CN" w:eastAsia="zh-CN" w:bidi="zh-CN"/>
      </w:rPr>
    </w:lvl>
    <w:lvl w:ilvl="2">
      <w:start w:val="0"/>
      <w:numFmt w:val="bullet"/>
      <w:lvlText w:val="•"/>
      <w:lvlJc w:val="left"/>
      <w:pPr>
        <w:ind w:left="2585" w:hanging="173"/>
      </w:pPr>
      <w:rPr>
        <w:rFonts w:hint="default"/>
        <w:lang w:val="zh-CN" w:eastAsia="zh-CN" w:bidi="zh-CN"/>
      </w:rPr>
    </w:lvl>
    <w:lvl w:ilvl="3">
      <w:start w:val="0"/>
      <w:numFmt w:val="bullet"/>
      <w:lvlText w:val="•"/>
      <w:lvlJc w:val="left"/>
      <w:pPr>
        <w:ind w:left="3597" w:hanging="173"/>
      </w:pPr>
      <w:rPr>
        <w:rFonts w:hint="default"/>
        <w:lang w:val="zh-CN" w:eastAsia="zh-CN" w:bidi="zh-CN"/>
      </w:rPr>
    </w:lvl>
    <w:lvl w:ilvl="4">
      <w:start w:val="0"/>
      <w:numFmt w:val="bullet"/>
      <w:lvlText w:val="•"/>
      <w:lvlJc w:val="left"/>
      <w:pPr>
        <w:ind w:left="4610" w:hanging="173"/>
      </w:pPr>
      <w:rPr>
        <w:rFonts w:hint="default"/>
        <w:lang w:val="zh-CN" w:eastAsia="zh-CN" w:bidi="zh-CN"/>
      </w:rPr>
    </w:lvl>
    <w:lvl w:ilvl="5">
      <w:start w:val="0"/>
      <w:numFmt w:val="bullet"/>
      <w:lvlText w:val="•"/>
      <w:lvlJc w:val="left"/>
      <w:pPr>
        <w:ind w:left="5623" w:hanging="173"/>
      </w:pPr>
      <w:rPr>
        <w:rFonts w:hint="default"/>
        <w:lang w:val="zh-CN" w:eastAsia="zh-CN" w:bidi="zh-CN"/>
      </w:rPr>
    </w:lvl>
    <w:lvl w:ilvl="6">
      <w:start w:val="0"/>
      <w:numFmt w:val="bullet"/>
      <w:lvlText w:val="•"/>
      <w:lvlJc w:val="left"/>
      <w:pPr>
        <w:ind w:left="6635" w:hanging="173"/>
      </w:pPr>
      <w:rPr>
        <w:rFonts w:hint="default"/>
        <w:lang w:val="zh-CN" w:eastAsia="zh-CN" w:bidi="zh-CN"/>
      </w:rPr>
    </w:lvl>
    <w:lvl w:ilvl="7">
      <w:start w:val="0"/>
      <w:numFmt w:val="bullet"/>
      <w:lvlText w:val="•"/>
      <w:lvlJc w:val="left"/>
      <w:pPr>
        <w:ind w:left="7648" w:hanging="173"/>
      </w:pPr>
      <w:rPr>
        <w:rFonts w:hint="default"/>
        <w:lang w:val="zh-CN" w:eastAsia="zh-CN" w:bidi="zh-CN"/>
      </w:rPr>
    </w:lvl>
    <w:lvl w:ilvl="8">
      <w:start w:val="0"/>
      <w:numFmt w:val="bullet"/>
      <w:lvlText w:val="•"/>
      <w:lvlJc w:val="left"/>
      <w:pPr>
        <w:ind w:left="8660" w:hanging="173"/>
      </w:pPr>
      <w:rPr>
        <w:rFonts w:hint="default"/>
        <w:lang w:val="zh-CN" w:eastAsia="zh-CN" w:bidi="zh-CN"/>
      </w:rPr>
    </w:lvl>
  </w:abstractNum>
  <w:abstractNum w:abstractNumId="0">
    <w:multiLevelType w:val="hybridMultilevel"/>
    <w:lvl w:ilvl="0">
      <w:start w:val="2"/>
      <w:numFmt w:val="decimal"/>
      <w:lvlText w:val="%1"/>
      <w:lvlJc w:val="left"/>
      <w:pPr>
        <w:ind w:left="387" w:hanging="176"/>
        <w:jc w:val="left"/>
      </w:pPr>
      <w:rPr>
        <w:rFonts w:hint="default" w:ascii="Times New Roman" w:hAnsi="Times New Roman" w:eastAsia="Times New Roman" w:cs="Times New Roman"/>
        <w:spacing w:val="-9"/>
        <w:w w:val="100"/>
        <w:sz w:val="18"/>
        <w:szCs w:val="18"/>
        <w:lang w:val="zh-CN" w:eastAsia="zh-CN" w:bidi="zh-CN"/>
      </w:rPr>
    </w:lvl>
    <w:lvl w:ilvl="1">
      <w:start w:val="0"/>
      <w:numFmt w:val="bullet"/>
      <w:lvlText w:val="•"/>
      <w:lvlJc w:val="left"/>
      <w:pPr>
        <w:ind w:left="1410" w:hanging="176"/>
      </w:pPr>
      <w:rPr>
        <w:rFonts w:hint="default"/>
        <w:lang w:val="zh-CN" w:eastAsia="zh-CN" w:bidi="zh-CN"/>
      </w:rPr>
    </w:lvl>
    <w:lvl w:ilvl="2">
      <w:start w:val="0"/>
      <w:numFmt w:val="bullet"/>
      <w:lvlText w:val="•"/>
      <w:lvlJc w:val="left"/>
      <w:pPr>
        <w:ind w:left="2441" w:hanging="176"/>
      </w:pPr>
      <w:rPr>
        <w:rFonts w:hint="default"/>
        <w:lang w:val="zh-CN" w:eastAsia="zh-CN" w:bidi="zh-CN"/>
      </w:rPr>
    </w:lvl>
    <w:lvl w:ilvl="3">
      <w:start w:val="0"/>
      <w:numFmt w:val="bullet"/>
      <w:lvlText w:val="•"/>
      <w:lvlJc w:val="left"/>
      <w:pPr>
        <w:ind w:left="3471" w:hanging="176"/>
      </w:pPr>
      <w:rPr>
        <w:rFonts w:hint="default"/>
        <w:lang w:val="zh-CN" w:eastAsia="zh-CN" w:bidi="zh-CN"/>
      </w:rPr>
    </w:lvl>
    <w:lvl w:ilvl="4">
      <w:start w:val="0"/>
      <w:numFmt w:val="bullet"/>
      <w:lvlText w:val="•"/>
      <w:lvlJc w:val="left"/>
      <w:pPr>
        <w:ind w:left="4502" w:hanging="176"/>
      </w:pPr>
      <w:rPr>
        <w:rFonts w:hint="default"/>
        <w:lang w:val="zh-CN" w:eastAsia="zh-CN" w:bidi="zh-CN"/>
      </w:rPr>
    </w:lvl>
    <w:lvl w:ilvl="5">
      <w:start w:val="0"/>
      <w:numFmt w:val="bullet"/>
      <w:lvlText w:val="•"/>
      <w:lvlJc w:val="left"/>
      <w:pPr>
        <w:ind w:left="5533" w:hanging="176"/>
      </w:pPr>
      <w:rPr>
        <w:rFonts w:hint="default"/>
        <w:lang w:val="zh-CN" w:eastAsia="zh-CN" w:bidi="zh-CN"/>
      </w:rPr>
    </w:lvl>
    <w:lvl w:ilvl="6">
      <w:start w:val="0"/>
      <w:numFmt w:val="bullet"/>
      <w:lvlText w:val="•"/>
      <w:lvlJc w:val="left"/>
      <w:pPr>
        <w:ind w:left="6563" w:hanging="176"/>
      </w:pPr>
      <w:rPr>
        <w:rFonts w:hint="default"/>
        <w:lang w:val="zh-CN" w:eastAsia="zh-CN" w:bidi="zh-CN"/>
      </w:rPr>
    </w:lvl>
    <w:lvl w:ilvl="7">
      <w:start w:val="0"/>
      <w:numFmt w:val="bullet"/>
      <w:lvlText w:val="•"/>
      <w:lvlJc w:val="left"/>
      <w:pPr>
        <w:ind w:left="7594" w:hanging="176"/>
      </w:pPr>
      <w:rPr>
        <w:rFonts w:hint="default"/>
        <w:lang w:val="zh-CN" w:eastAsia="zh-CN" w:bidi="zh-CN"/>
      </w:rPr>
    </w:lvl>
    <w:lvl w:ilvl="8">
      <w:start w:val="0"/>
      <w:numFmt w:val="bullet"/>
      <w:lvlText w:val="•"/>
      <w:lvlJc w:val="left"/>
      <w:pPr>
        <w:ind w:left="8624" w:hanging="176"/>
      </w:pPr>
      <w:rPr>
        <w:rFonts w:hint="default"/>
        <w:lang w:val="zh-CN" w:eastAsia="zh-CN" w:bidi="zh-CN"/>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ind w:left="387"/>
    </w:pPr>
    <w:rPr>
      <w:rFonts w:ascii="宋体" w:hAnsi="宋体" w:eastAsia="宋体" w:cs="宋体"/>
      <w:sz w:val="18"/>
      <w:szCs w:val="18"/>
      <w:lang w:val="zh-CN" w:eastAsia="zh-CN" w:bidi="zh-CN"/>
    </w:rPr>
  </w:style>
  <w:style w:styleId="Heading1" w:type="paragraph">
    <w:name w:val="Heading 1"/>
    <w:basedOn w:val="Normal"/>
    <w:uiPriority w:val="1"/>
    <w:qFormat/>
    <w:pPr>
      <w:spacing w:line="166" w:lineRule="exact"/>
      <w:ind w:left="38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180" w:lineRule="exact"/>
      <w:ind w:left="567" w:hanging="178"/>
    </w:pPr>
    <w:rPr>
      <w:rFonts w:ascii="宋体" w:hAnsi="宋体" w:eastAsia="宋体" w:cs="宋体"/>
      <w:lang w:val="zh-CN" w:eastAsia="zh-CN" w:bidi="zh-CN"/>
    </w:rPr>
  </w:style>
  <w:style w:styleId="TableParagraph" w:type="paragraph">
    <w:name w:val="Table Paragraph"/>
    <w:basedOn w:val="Normal"/>
    <w:uiPriority w:val="1"/>
    <w:qFormat/>
    <w:pPr>
      <w:spacing w:line="160" w:lineRule="exact"/>
      <w:ind w:left="106"/>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hyperlink" Target="http://www.cqvip.com/Main/Search.aspx?w=%E9%8D%92%E6%A8%BA%E5%8F%B4%E9%8E%AC%3F" TargetMode="External"/><Relationship Id="rId12" Type="http://schemas.openxmlformats.org/officeDocument/2006/relationships/hyperlink" Target="http://www.cqvip.com/Main/Search.aspx?w=%E9%96%AE%E6%88%A6%E6%B9%A0" TargetMode="External"/><Relationship Id="rId13" Type="http://schemas.openxmlformats.org/officeDocument/2006/relationships/hyperlink" Target="http://www.cqvip.com/Main/Search.aspx?w=%E5%A7%B9%EE%81%83%E7%B0%B9%E5%A8%B2%3F" TargetMode="External"/><Relationship Id="rId14" Type="http://schemas.openxmlformats.org/officeDocument/2006/relationships/hyperlink" Target="http://c.wanfangdata.com.cn/Periodical-jyyxylc.aspx" TargetMode="External"/><Relationship Id="rId15" Type="http://schemas.openxmlformats.org/officeDocument/2006/relationships/hyperlink" Target="http://www.ingentaconnect.com/content/bpl/hep%3Bjsessionid%3D1edd9jqjs25e3.victoria" TargetMode="External"/><Relationship Id="rId16" Type="http://schemas.openxmlformats.org/officeDocument/2006/relationships/hyperlink" Target="http://europepmc.org/search?page=1&amp;amp;query=AUTH" TargetMode="External"/><Relationship Id="rId17" Type="http://schemas.openxmlformats.org/officeDocument/2006/relationships/hyperlink" Target="http://www.refdoc.fr/?traduire=en&amp;amp;FormRechercher=submit&amp;amp;FormRechercher_Txt_Recherche_name_attr=listeTitreSerie%3A%20(Clinica%20chimica%20acta)" TargetMode="External"/><Relationship Id="rId18" Type="http://schemas.openxmlformats.org/officeDocument/2006/relationships/hyperlink" Target="http://www.intmedpress.com/serveFile.cfm?sUID=74d2bef0-90bf-4fa7-ac27-25e69365cd60" TargetMode="External"/><Relationship Id="rId19" Type="http://schemas.openxmlformats.org/officeDocument/2006/relationships/hyperlink" Target="http://www.sciencedirect.com/science/article/pii/S0168827804000170" TargetMode="External"/><Relationship Id="rId20" Type="http://schemas.openxmlformats.org/officeDocument/2006/relationships/hyperlink" Target="http://www.sciencedirect.com/science/journal/01688278" TargetMode="External"/><Relationship Id="rId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雨林木风</dc:creator>
  <dc:title>乙型肝炎病毒YMDD基因突变核酸检测试剂盒（PCR-荧光探针法）说明书</dc:title>
  <dcterms:created xsi:type="dcterms:W3CDTF">2021-04-21T13:46:17Z</dcterms:created>
  <dcterms:modified xsi:type="dcterms:W3CDTF">2021-04-21T13:46:17Z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WPS 文字</vt:lpwstr>
  </property>
  <property fmtid="{D5CDD505-2E9C-101B-9397-08002B2CF9AE}" pid="4" name="LastSaved">
    <vt:filetime>2021-04-21T00:00:00Z</vt:filetime>
  </property>
</Properties>
</file>