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b/>
          <w:sz w:val="20"/>
        </w:rPr>
      </w:pPr>
      <w:bookmarkStart w:id="0" w:name="_GoBack"/>
      <w:bookmarkEnd w:id="0"/>
      <w:r>
        <w:rPr>
          <w:rFonts w:hint="eastAsia"/>
          <w:b/>
          <w:sz w:val="20"/>
        </w:rPr>
        <w:t>肠道病毒通用型核酸检测</w:t>
      </w:r>
      <w:r>
        <w:rPr>
          <w:b/>
          <w:sz w:val="20"/>
        </w:rPr>
        <w:t>试剂盒（PCR荧光探针法）</w:t>
      </w:r>
    </w:p>
    <w:p>
      <w:pPr>
        <w:jc w:val="center"/>
        <w:rPr>
          <w:b/>
          <w:sz w:val="20"/>
        </w:rPr>
      </w:pPr>
      <w:r>
        <w:rPr>
          <w:b/>
          <w:sz w:val="20"/>
        </w:rPr>
        <w:t>说明书</w:t>
      </w:r>
    </w:p>
    <w:p>
      <w:pPr>
        <w:spacing w:line="220" w:lineRule="exact"/>
        <w:jc w:val="left"/>
        <w:rPr>
          <w:b/>
          <w:sz w:val="16"/>
          <w:szCs w:val="21"/>
        </w:rPr>
      </w:pPr>
      <w:r>
        <w:rPr>
          <w:b/>
          <w:sz w:val="16"/>
          <w:szCs w:val="21"/>
        </w:rPr>
        <w:t>【产品名称】</w:t>
      </w:r>
    </w:p>
    <w:p>
      <w:pPr>
        <w:tabs>
          <w:tab w:val="left" w:pos="2520"/>
          <w:tab w:val="left" w:pos="3060"/>
        </w:tabs>
        <w:adjustRightInd w:val="0"/>
        <w:snapToGrid w:val="0"/>
        <w:spacing w:line="220" w:lineRule="exact"/>
        <w:ind w:firstLine="320" w:firstLineChars="200"/>
        <w:rPr>
          <w:sz w:val="16"/>
          <w:szCs w:val="21"/>
        </w:rPr>
      </w:pPr>
      <w:r>
        <w:rPr>
          <w:sz w:val="16"/>
          <w:szCs w:val="21"/>
        </w:rPr>
        <w:t>通用名称：</w:t>
      </w:r>
      <w:r>
        <w:rPr>
          <w:rFonts w:hint="eastAsia"/>
          <w:sz w:val="16"/>
          <w:szCs w:val="21"/>
        </w:rPr>
        <w:t>肠道病毒通用型核酸检测</w:t>
      </w:r>
      <w:r>
        <w:rPr>
          <w:sz w:val="16"/>
          <w:szCs w:val="21"/>
        </w:rPr>
        <w:t>试剂盒（PCR荧光探针法）</w:t>
      </w:r>
    </w:p>
    <w:p>
      <w:pPr>
        <w:tabs>
          <w:tab w:val="left" w:pos="2520"/>
          <w:tab w:val="left" w:pos="3060"/>
        </w:tabs>
        <w:adjustRightInd w:val="0"/>
        <w:snapToGrid w:val="0"/>
        <w:spacing w:line="220" w:lineRule="exact"/>
        <w:rPr>
          <w:sz w:val="16"/>
          <w:szCs w:val="21"/>
        </w:rPr>
      </w:pPr>
      <w:r>
        <w:rPr>
          <w:b/>
          <w:sz w:val="16"/>
          <w:szCs w:val="21"/>
        </w:rPr>
        <w:t>【包装规格】</w:t>
      </w:r>
      <w:r>
        <w:rPr>
          <w:sz w:val="16"/>
          <w:szCs w:val="21"/>
        </w:rPr>
        <w:t>24</w:t>
      </w:r>
      <w:r>
        <w:rPr>
          <w:rFonts w:hint="eastAsia"/>
          <w:sz w:val="16"/>
          <w:szCs w:val="21"/>
        </w:rPr>
        <w:t>人份/盒、</w:t>
      </w:r>
      <w:r>
        <w:rPr>
          <w:sz w:val="16"/>
          <w:szCs w:val="21"/>
        </w:rPr>
        <w:t>48人份/盒</w:t>
      </w:r>
    </w:p>
    <w:p>
      <w:pPr>
        <w:tabs>
          <w:tab w:val="left" w:pos="2520"/>
          <w:tab w:val="left" w:pos="3060"/>
        </w:tabs>
        <w:adjustRightInd w:val="0"/>
        <w:snapToGrid w:val="0"/>
        <w:spacing w:line="220" w:lineRule="exact"/>
        <w:rPr>
          <w:b/>
          <w:sz w:val="16"/>
          <w:szCs w:val="21"/>
        </w:rPr>
      </w:pPr>
      <w:r>
        <w:rPr>
          <w:b/>
          <w:sz w:val="16"/>
          <w:szCs w:val="21"/>
        </w:rPr>
        <w:t>【预期用途】</w:t>
      </w:r>
    </w:p>
    <w:p>
      <w:pPr>
        <w:adjustRightInd w:val="0"/>
        <w:snapToGrid w:val="0"/>
        <w:spacing w:line="220" w:lineRule="exact"/>
        <w:ind w:firstLine="320" w:firstLineChars="200"/>
        <w:rPr>
          <w:sz w:val="16"/>
          <w:szCs w:val="21"/>
        </w:rPr>
      </w:pPr>
      <w:r>
        <w:rPr>
          <w:rFonts w:hint="eastAsia"/>
          <w:sz w:val="16"/>
          <w:szCs w:val="21"/>
        </w:rPr>
        <w:t>本试剂盒用于定性检测人咽拭子中肠道病毒</w:t>
      </w:r>
      <w:r>
        <w:rPr>
          <w:sz w:val="16"/>
          <w:szCs w:val="21"/>
        </w:rPr>
        <w:t>71</w:t>
      </w:r>
      <w:r>
        <w:rPr>
          <w:rFonts w:hint="eastAsia"/>
          <w:sz w:val="16"/>
          <w:szCs w:val="21"/>
        </w:rPr>
        <w:t>型，柯萨奇病毒</w:t>
      </w:r>
      <w:r>
        <w:rPr>
          <w:sz w:val="16"/>
          <w:szCs w:val="21"/>
        </w:rPr>
        <w:t>A2</w:t>
      </w:r>
      <w:r>
        <w:rPr>
          <w:rFonts w:hint="eastAsia"/>
          <w:sz w:val="16"/>
          <w:szCs w:val="21"/>
        </w:rPr>
        <w:t>、</w:t>
      </w:r>
      <w:r>
        <w:rPr>
          <w:sz w:val="16"/>
          <w:szCs w:val="21"/>
        </w:rPr>
        <w:t>A4</w:t>
      </w:r>
      <w:r>
        <w:rPr>
          <w:rFonts w:hint="eastAsia"/>
          <w:sz w:val="16"/>
          <w:szCs w:val="21"/>
        </w:rPr>
        <w:t>、</w:t>
      </w:r>
      <w:r>
        <w:rPr>
          <w:sz w:val="16"/>
          <w:szCs w:val="21"/>
        </w:rPr>
        <w:t>A5</w:t>
      </w:r>
      <w:r>
        <w:rPr>
          <w:rFonts w:hint="eastAsia"/>
          <w:sz w:val="16"/>
          <w:szCs w:val="21"/>
        </w:rPr>
        <w:t>、</w:t>
      </w:r>
      <w:r>
        <w:rPr>
          <w:sz w:val="16"/>
          <w:szCs w:val="21"/>
        </w:rPr>
        <w:t>A6</w:t>
      </w:r>
      <w:r>
        <w:rPr>
          <w:rFonts w:hint="eastAsia"/>
          <w:sz w:val="16"/>
          <w:szCs w:val="21"/>
        </w:rPr>
        <w:t>、</w:t>
      </w:r>
      <w:r>
        <w:rPr>
          <w:sz w:val="16"/>
          <w:szCs w:val="21"/>
        </w:rPr>
        <w:t>A9</w:t>
      </w:r>
      <w:r>
        <w:rPr>
          <w:rFonts w:hint="eastAsia"/>
          <w:sz w:val="16"/>
          <w:szCs w:val="21"/>
        </w:rPr>
        <w:t>、</w:t>
      </w:r>
      <w:r>
        <w:rPr>
          <w:sz w:val="16"/>
          <w:szCs w:val="21"/>
        </w:rPr>
        <w:t>A10</w:t>
      </w:r>
      <w:r>
        <w:rPr>
          <w:rFonts w:hint="eastAsia"/>
          <w:sz w:val="16"/>
          <w:szCs w:val="21"/>
        </w:rPr>
        <w:t>、</w:t>
      </w:r>
      <w:r>
        <w:rPr>
          <w:sz w:val="16"/>
          <w:szCs w:val="21"/>
        </w:rPr>
        <w:t>A12</w:t>
      </w:r>
      <w:r>
        <w:rPr>
          <w:rFonts w:hint="eastAsia"/>
          <w:sz w:val="16"/>
          <w:szCs w:val="21"/>
        </w:rPr>
        <w:t>、</w:t>
      </w:r>
      <w:r>
        <w:rPr>
          <w:sz w:val="16"/>
          <w:szCs w:val="21"/>
        </w:rPr>
        <w:t>A16</w:t>
      </w:r>
      <w:r>
        <w:rPr>
          <w:rFonts w:hint="eastAsia"/>
          <w:sz w:val="16"/>
          <w:szCs w:val="21"/>
        </w:rPr>
        <w:t>、</w:t>
      </w:r>
      <w:r>
        <w:rPr>
          <w:sz w:val="16"/>
          <w:szCs w:val="21"/>
        </w:rPr>
        <w:t>B1</w:t>
      </w:r>
      <w:r>
        <w:rPr>
          <w:rFonts w:hint="eastAsia"/>
          <w:sz w:val="16"/>
          <w:szCs w:val="21"/>
        </w:rPr>
        <w:t>、</w:t>
      </w:r>
      <w:r>
        <w:rPr>
          <w:sz w:val="16"/>
          <w:szCs w:val="21"/>
        </w:rPr>
        <w:t>B3</w:t>
      </w:r>
      <w:r>
        <w:rPr>
          <w:rFonts w:hint="eastAsia"/>
          <w:sz w:val="16"/>
          <w:szCs w:val="21"/>
        </w:rPr>
        <w:t>、</w:t>
      </w:r>
      <w:r>
        <w:rPr>
          <w:sz w:val="16"/>
          <w:szCs w:val="21"/>
        </w:rPr>
        <w:t>B4</w:t>
      </w:r>
      <w:r>
        <w:rPr>
          <w:rFonts w:hint="eastAsia"/>
          <w:sz w:val="16"/>
          <w:szCs w:val="21"/>
        </w:rPr>
        <w:t>、</w:t>
      </w:r>
      <w:r>
        <w:rPr>
          <w:sz w:val="16"/>
          <w:szCs w:val="21"/>
        </w:rPr>
        <w:t>B5</w:t>
      </w:r>
      <w:r>
        <w:rPr>
          <w:rFonts w:hint="eastAsia"/>
          <w:sz w:val="16"/>
          <w:szCs w:val="21"/>
        </w:rPr>
        <w:t>及埃可病毒的核酸。</w:t>
      </w:r>
    </w:p>
    <w:p>
      <w:pPr>
        <w:adjustRightInd w:val="0"/>
        <w:snapToGrid w:val="0"/>
        <w:spacing w:line="220" w:lineRule="exact"/>
        <w:ind w:firstLine="320" w:firstLineChars="200"/>
        <w:rPr>
          <w:sz w:val="16"/>
          <w:szCs w:val="21"/>
        </w:rPr>
      </w:pPr>
      <w:r>
        <w:rPr>
          <w:rFonts w:hint="eastAsia"/>
          <w:sz w:val="16"/>
          <w:szCs w:val="21"/>
        </w:rPr>
        <w:t>检测结果仅供临床参考，不能单独作为确诊或排除病例的依据。实验操作人员应接受过基因扩增或分子生物学方法检测的专业培训，具备相关的实验操作资格，实验室应具备合理的生物安全防备设施及防护程序。</w:t>
      </w:r>
    </w:p>
    <w:p>
      <w:pPr>
        <w:adjustRightInd w:val="0"/>
        <w:snapToGrid w:val="0"/>
        <w:spacing w:line="220" w:lineRule="exact"/>
        <w:ind w:firstLine="320" w:firstLineChars="200"/>
        <w:rPr>
          <w:sz w:val="16"/>
          <w:szCs w:val="21"/>
        </w:rPr>
      </w:pPr>
      <w:r>
        <w:rPr>
          <w:rFonts w:hint="eastAsia"/>
          <w:sz w:val="16"/>
          <w:szCs w:val="21"/>
        </w:rPr>
        <w:t>肠道病毒（Enterovirus, EV）属于小RNA病毒科肠道病毒属，为单股正链RNA病毒。肠道病毒包括脊髓灰质炎病毒、埃可病毒、柯萨奇病毒和新型肠道病毒。其中引起手足口病的肠道病毒包括柯萨奇病毒</w:t>
      </w:r>
      <w:r>
        <w:rPr>
          <w:sz w:val="16"/>
          <w:szCs w:val="21"/>
        </w:rPr>
        <w:t>A</w:t>
      </w:r>
      <w:r>
        <w:rPr>
          <w:rFonts w:hint="eastAsia"/>
          <w:sz w:val="16"/>
          <w:szCs w:val="21"/>
        </w:rPr>
        <w:t>组的</w:t>
      </w:r>
      <w:r>
        <w:rPr>
          <w:sz w:val="16"/>
          <w:szCs w:val="21"/>
        </w:rPr>
        <w:t>2</w:t>
      </w:r>
      <w:r>
        <w:rPr>
          <w:rFonts w:hint="eastAsia"/>
          <w:sz w:val="16"/>
          <w:szCs w:val="21"/>
        </w:rPr>
        <w:t>、</w:t>
      </w:r>
      <w:r>
        <w:rPr>
          <w:sz w:val="16"/>
          <w:szCs w:val="21"/>
        </w:rPr>
        <w:t>4</w:t>
      </w:r>
      <w:r>
        <w:rPr>
          <w:rFonts w:hint="eastAsia"/>
          <w:sz w:val="16"/>
          <w:szCs w:val="21"/>
        </w:rPr>
        <w:t>、</w:t>
      </w:r>
      <w:r>
        <w:rPr>
          <w:sz w:val="16"/>
          <w:szCs w:val="21"/>
        </w:rPr>
        <w:t>5</w:t>
      </w:r>
      <w:r>
        <w:rPr>
          <w:rFonts w:hint="eastAsia"/>
          <w:sz w:val="16"/>
          <w:szCs w:val="21"/>
        </w:rPr>
        <w:t>、</w:t>
      </w:r>
      <w:r>
        <w:rPr>
          <w:sz w:val="16"/>
          <w:szCs w:val="21"/>
        </w:rPr>
        <w:t>6</w:t>
      </w:r>
      <w:r>
        <w:rPr>
          <w:rFonts w:hint="eastAsia"/>
          <w:sz w:val="16"/>
          <w:szCs w:val="21"/>
        </w:rPr>
        <w:t>、</w:t>
      </w:r>
      <w:r>
        <w:rPr>
          <w:sz w:val="16"/>
          <w:szCs w:val="21"/>
        </w:rPr>
        <w:t>9</w:t>
      </w:r>
      <w:r>
        <w:rPr>
          <w:rFonts w:hint="eastAsia"/>
          <w:sz w:val="16"/>
          <w:szCs w:val="21"/>
        </w:rPr>
        <w:t>、</w:t>
      </w:r>
      <w:r>
        <w:rPr>
          <w:sz w:val="16"/>
          <w:szCs w:val="21"/>
        </w:rPr>
        <w:t>10</w:t>
      </w:r>
      <w:r>
        <w:rPr>
          <w:rFonts w:hint="eastAsia"/>
          <w:sz w:val="16"/>
          <w:szCs w:val="21"/>
        </w:rPr>
        <w:t>、</w:t>
      </w:r>
      <w:r>
        <w:rPr>
          <w:sz w:val="16"/>
          <w:szCs w:val="21"/>
        </w:rPr>
        <w:t>16</w:t>
      </w:r>
      <w:r>
        <w:rPr>
          <w:rFonts w:hint="eastAsia"/>
          <w:sz w:val="16"/>
          <w:szCs w:val="21"/>
        </w:rPr>
        <w:t>型等，</w:t>
      </w:r>
      <w:r>
        <w:rPr>
          <w:sz w:val="16"/>
          <w:szCs w:val="21"/>
        </w:rPr>
        <w:t>B</w:t>
      </w:r>
      <w:r>
        <w:rPr>
          <w:rFonts w:hint="eastAsia"/>
          <w:sz w:val="16"/>
          <w:szCs w:val="21"/>
        </w:rPr>
        <w:t>组的</w:t>
      </w:r>
      <w:r>
        <w:rPr>
          <w:sz w:val="16"/>
          <w:szCs w:val="21"/>
        </w:rPr>
        <w:t>1</w:t>
      </w:r>
      <w:r>
        <w:rPr>
          <w:rFonts w:hint="eastAsia"/>
          <w:sz w:val="16"/>
          <w:szCs w:val="21"/>
        </w:rPr>
        <w:t>、</w:t>
      </w:r>
      <w:r>
        <w:rPr>
          <w:sz w:val="16"/>
          <w:szCs w:val="21"/>
        </w:rPr>
        <w:t>3</w:t>
      </w:r>
      <w:r>
        <w:rPr>
          <w:rFonts w:hint="eastAsia"/>
          <w:sz w:val="16"/>
          <w:szCs w:val="21"/>
        </w:rPr>
        <w:t>、</w:t>
      </w:r>
      <w:r>
        <w:rPr>
          <w:sz w:val="16"/>
          <w:szCs w:val="21"/>
        </w:rPr>
        <w:t>4</w:t>
      </w:r>
      <w:r>
        <w:rPr>
          <w:rFonts w:hint="eastAsia"/>
          <w:sz w:val="16"/>
          <w:szCs w:val="21"/>
        </w:rPr>
        <w:t>、</w:t>
      </w:r>
      <w:r>
        <w:rPr>
          <w:sz w:val="16"/>
          <w:szCs w:val="21"/>
        </w:rPr>
        <w:t>5</w:t>
      </w:r>
      <w:r>
        <w:rPr>
          <w:rFonts w:hint="eastAsia"/>
          <w:sz w:val="16"/>
          <w:szCs w:val="21"/>
        </w:rPr>
        <w:t>型等，肠道病毒</w:t>
      </w:r>
      <w:r>
        <w:rPr>
          <w:sz w:val="16"/>
          <w:szCs w:val="21"/>
        </w:rPr>
        <w:t>71</w:t>
      </w:r>
      <w:r>
        <w:rPr>
          <w:rFonts w:hint="eastAsia"/>
          <w:sz w:val="16"/>
          <w:szCs w:val="21"/>
        </w:rPr>
        <w:t>型及埃可病毒等，其中以</w:t>
      </w:r>
      <w:r>
        <w:rPr>
          <w:sz w:val="16"/>
          <w:szCs w:val="21"/>
        </w:rPr>
        <w:t>EV71</w:t>
      </w:r>
      <w:r>
        <w:rPr>
          <w:rFonts w:hint="eastAsia"/>
          <w:sz w:val="16"/>
          <w:szCs w:val="21"/>
        </w:rPr>
        <w:t>和</w:t>
      </w:r>
      <w:r>
        <w:rPr>
          <w:sz w:val="16"/>
          <w:szCs w:val="21"/>
        </w:rPr>
        <w:t>CA16</w:t>
      </w:r>
      <w:r>
        <w:rPr>
          <w:rFonts w:hint="eastAsia"/>
          <w:sz w:val="16"/>
          <w:szCs w:val="21"/>
        </w:rPr>
        <w:t>型较为常见。</w:t>
      </w:r>
    </w:p>
    <w:p>
      <w:pPr>
        <w:adjustRightInd w:val="0"/>
        <w:snapToGrid w:val="0"/>
        <w:spacing w:line="220" w:lineRule="exact"/>
        <w:ind w:firstLine="320" w:firstLineChars="200"/>
        <w:rPr>
          <w:sz w:val="16"/>
          <w:szCs w:val="21"/>
        </w:rPr>
      </w:pPr>
      <w:r>
        <w:rPr>
          <w:rFonts w:hint="eastAsia"/>
          <w:sz w:val="16"/>
          <w:szCs w:val="21"/>
        </w:rPr>
        <w:t>手足口病（</w:t>
      </w:r>
      <w:r>
        <w:rPr>
          <w:sz w:val="16"/>
          <w:szCs w:val="21"/>
        </w:rPr>
        <w:t>Hand, foot and mouth disease</w:t>
      </w:r>
      <w:r>
        <w:rPr>
          <w:rFonts w:hint="eastAsia"/>
          <w:sz w:val="16"/>
          <w:szCs w:val="21"/>
        </w:rPr>
        <w:t>, HFMD）是一种由肠道病毒引起的，以发热、咽喉痛、手、足、口腔等部位皮疹或疱疹为主要临床特征的常见传染病，该病多感染儿童，5岁以下年龄组发病率最高。少数病例会出现呼吸和中枢神经系统的损害，甚至死亡。实验室诊断方法有病毒分离、抗原检测与核酸检测等。</w:t>
      </w:r>
    </w:p>
    <w:p>
      <w:pPr>
        <w:tabs>
          <w:tab w:val="left" w:pos="2520"/>
          <w:tab w:val="left" w:pos="3060"/>
        </w:tabs>
        <w:adjustRightInd w:val="0"/>
        <w:snapToGrid w:val="0"/>
        <w:spacing w:line="220" w:lineRule="exact"/>
        <w:rPr>
          <w:b/>
          <w:sz w:val="16"/>
          <w:szCs w:val="21"/>
        </w:rPr>
      </w:pPr>
      <w:r>
        <w:rPr>
          <w:b/>
          <w:sz w:val="16"/>
          <w:szCs w:val="21"/>
        </w:rPr>
        <w:t>【检验原理】</w:t>
      </w:r>
    </w:p>
    <w:p>
      <w:pPr>
        <w:spacing w:line="220" w:lineRule="exact"/>
        <w:ind w:firstLine="323" w:firstLineChars="202"/>
        <w:jc w:val="left"/>
        <w:rPr>
          <w:sz w:val="16"/>
          <w:szCs w:val="21"/>
        </w:rPr>
      </w:pPr>
      <w:r>
        <w:rPr>
          <w:rFonts w:hint="eastAsia"/>
          <w:sz w:val="16"/>
          <w:szCs w:val="21"/>
        </w:rPr>
        <w:t>本试剂盒采用实时荧光PCR技术，以肠道病毒通用型的保守区为靶区域设计引物和探针，提取的病毒RNA经反转录，产生cDNA，进入PCR循环。PCR扩增过程中，探针与模板结合，其5</w:t>
      </w:r>
      <w:r>
        <w:rPr>
          <w:sz w:val="16"/>
          <w:szCs w:val="21"/>
        </w:rPr>
        <w:t>’</w:t>
      </w:r>
      <w:r>
        <w:rPr>
          <w:rFonts w:hint="eastAsia"/>
          <w:sz w:val="16"/>
          <w:szCs w:val="21"/>
        </w:rPr>
        <w:t>端报告基团被Taq酶（5</w:t>
      </w:r>
      <w:r>
        <w:rPr>
          <w:sz w:val="16"/>
          <w:szCs w:val="21"/>
        </w:rPr>
        <w:t>’</w:t>
      </w:r>
      <w:r>
        <w:rPr>
          <w:rFonts w:hint="eastAsia"/>
          <w:sz w:val="16"/>
          <w:szCs w:val="21"/>
        </w:rPr>
        <w:t>→3</w:t>
      </w:r>
      <w:r>
        <w:rPr>
          <w:sz w:val="16"/>
          <w:szCs w:val="21"/>
        </w:rPr>
        <w:t>’</w:t>
      </w:r>
      <w:r>
        <w:rPr>
          <w:rFonts w:hint="eastAsia"/>
          <w:sz w:val="16"/>
          <w:szCs w:val="21"/>
        </w:rPr>
        <w:t>外切核酸酶活性）切断，远离淬灭基团，产生荧光信号。荧光定量PCR仪器根据检测到的荧光信号自动绘制出实时扩增曲线，并计算出样本Ct值（每个反应管内的荧光信号到达设定的域值时所经历的循环数），使用FAM荧光基团标记肠道病毒通用型探针，从而定性检测肠道病毒通用型核酸。</w:t>
      </w:r>
    </w:p>
    <w:p>
      <w:pPr>
        <w:spacing w:line="220" w:lineRule="exact"/>
        <w:ind w:firstLine="323" w:firstLineChars="202"/>
        <w:jc w:val="left"/>
        <w:rPr>
          <w:sz w:val="16"/>
          <w:szCs w:val="21"/>
        </w:rPr>
      </w:pPr>
      <w:r>
        <w:rPr>
          <w:rFonts w:hint="eastAsia"/>
          <w:sz w:val="16"/>
          <w:szCs w:val="21"/>
        </w:rPr>
        <w:t>本试剂盒设置有内标对照，为肠道</w:t>
      </w:r>
      <w:r>
        <w:rPr>
          <w:sz w:val="16"/>
          <w:szCs w:val="21"/>
        </w:rPr>
        <w:t>病毒基因组非相关的基因片段</w:t>
      </w:r>
      <w:r>
        <w:rPr>
          <w:rFonts w:hint="eastAsia"/>
          <w:sz w:val="16"/>
          <w:szCs w:val="21"/>
        </w:rPr>
        <w:t>，</w:t>
      </w:r>
      <w:r>
        <w:rPr>
          <w:sz w:val="16"/>
          <w:szCs w:val="21"/>
        </w:rPr>
        <w:t>使用CY5荧光基团标记。</w:t>
      </w:r>
    </w:p>
    <w:p>
      <w:pPr>
        <w:spacing w:line="220" w:lineRule="exact"/>
        <w:jc w:val="left"/>
        <w:rPr>
          <w:sz w:val="16"/>
          <w:szCs w:val="21"/>
        </w:rPr>
      </w:pPr>
      <w:r>
        <w:rPr>
          <w:b/>
          <w:sz w:val="16"/>
          <w:szCs w:val="21"/>
        </w:rPr>
        <w:t>【主要组成成分】</w:t>
      </w:r>
    </w:p>
    <w:tbl>
      <w:tblPr>
        <w:tblStyle w:val="7"/>
        <w:tblW w:w="497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4"/>
        <w:gridCol w:w="1035"/>
        <w:gridCol w:w="1985"/>
        <w:gridCol w:w="850"/>
        <w:gridCol w:w="8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jc w:val="center"/>
        </w:trPr>
        <w:tc>
          <w:tcPr>
            <w:tcW w:w="284" w:type="dxa"/>
            <w:vMerge w:val="restart"/>
            <w:vAlign w:val="center"/>
          </w:tcPr>
          <w:p>
            <w:pPr>
              <w:adjustRightInd w:val="0"/>
              <w:snapToGrid w:val="0"/>
              <w:spacing w:line="220" w:lineRule="exact"/>
              <w:jc w:val="center"/>
              <w:rPr>
                <w:sz w:val="15"/>
                <w:szCs w:val="15"/>
              </w:rPr>
            </w:pPr>
            <w:r>
              <w:rPr>
                <w:sz w:val="15"/>
                <w:szCs w:val="15"/>
              </w:rPr>
              <w:t>序号</w:t>
            </w:r>
          </w:p>
        </w:tc>
        <w:tc>
          <w:tcPr>
            <w:tcW w:w="1035" w:type="dxa"/>
            <w:vMerge w:val="restart"/>
            <w:vAlign w:val="center"/>
          </w:tcPr>
          <w:p>
            <w:pPr>
              <w:adjustRightInd w:val="0"/>
              <w:snapToGrid w:val="0"/>
              <w:spacing w:line="220" w:lineRule="exact"/>
              <w:jc w:val="center"/>
              <w:rPr>
                <w:sz w:val="15"/>
                <w:szCs w:val="15"/>
              </w:rPr>
            </w:pPr>
            <w:r>
              <w:rPr>
                <w:sz w:val="15"/>
                <w:szCs w:val="15"/>
              </w:rPr>
              <w:t>组分名称</w:t>
            </w:r>
          </w:p>
        </w:tc>
        <w:tc>
          <w:tcPr>
            <w:tcW w:w="1985" w:type="dxa"/>
            <w:vMerge w:val="restart"/>
            <w:vAlign w:val="center"/>
          </w:tcPr>
          <w:p>
            <w:pPr>
              <w:adjustRightInd w:val="0"/>
              <w:snapToGrid w:val="0"/>
              <w:spacing w:line="220" w:lineRule="exact"/>
              <w:jc w:val="center"/>
              <w:rPr>
                <w:sz w:val="15"/>
                <w:szCs w:val="15"/>
              </w:rPr>
            </w:pPr>
            <w:r>
              <w:rPr>
                <w:rFonts w:hint="eastAsia"/>
                <w:sz w:val="15"/>
                <w:szCs w:val="15"/>
              </w:rPr>
              <w:t>主要成分</w:t>
            </w:r>
          </w:p>
        </w:tc>
        <w:tc>
          <w:tcPr>
            <w:tcW w:w="1670" w:type="dxa"/>
            <w:gridSpan w:val="2"/>
            <w:vAlign w:val="center"/>
          </w:tcPr>
          <w:p>
            <w:pPr>
              <w:spacing w:line="220" w:lineRule="exact"/>
              <w:jc w:val="center"/>
              <w:rPr>
                <w:sz w:val="15"/>
                <w:szCs w:val="15"/>
              </w:rPr>
            </w:pPr>
            <w:r>
              <w:rPr>
                <w:rFonts w:hint="eastAsia"/>
                <w:sz w:val="15"/>
                <w:szCs w:val="15"/>
              </w:rPr>
              <w:t>规格及装量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 w:hRule="atLeast"/>
          <w:jc w:val="center"/>
        </w:trPr>
        <w:tc>
          <w:tcPr>
            <w:tcW w:w="284" w:type="dxa"/>
            <w:vMerge w:val="continue"/>
            <w:vAlign w:val="center"/>
          </w:tcPr>
          <w:p>
            <w:pPr>
              <w:adjustRightInd w:val="0"/>
              <w:snapToGrid w:val="0"/>
              <w:spacing w:line="220" w:lineRule="exact"/>
              <w:jc w:val="center"/>
              <w:rPr>
                <w:sz w:val="15"/>
                <w:szCs w:val="15"/>
              </w:rPr>
            </w:pPr>
          </w:p>
        </w:tc>
        <w:tc>
          <w:tcPr>
            <w:tcW w:w="1035" w:type="dxa"/>
            <w:vMerge w:val="continue"/>
            <w:vAlign w:val="center"/>
          </w:tcPr>
          <w:p>
            <w:pPr>
              <w:adjustRightInd w:val="0"/>
              <w:snapToGrid w:val="0"/>
              <w:spacing w:line="220" w:lineRule="exact"/>
              <w:jc w:val="center"/>
              <w:rPr>
                <w:sz w:val="15"/>
                <w:szCs w:val="15"/>
              </w:rPr>
            </w:pPr>
          </w:p>
        </w:tc>
        <w:tc>
          <w:tcPr>
            <w:tcW w:w="1985" w:type="dxa"/>
            <w:vMerge w:val="continue"/>
            <w:vAlign w:val="center"/>
          </w:tcPr>
          <w:p>
            <w:pPr>
              <w:adjustRightInd w:val="0"/>
              <w:snapToGrid w:val="0"/>
              <w:spacing w:line="220" w:lineRule="exact"/>
              <w:jc w:val="center"/>
              <w:rPr>
                <w:sz w:val="15"/>
                <w:szCs w:val="15"/>
              </w:rPr>
            </w:pPr>
          </w:p>
        </w:tc>
        <w:tc>
          <w:tcPr>
            <w:tcW w:w="850" w:type="dxa"/>
            <w:vAlign w:val="center"/>
          </w:tcPr>
          <w:p>
            <w:pPr>
              <w:spacing w:line="220" w:lineRule="exact"/>
              <w:jc w:val="center"/>
              <w:rPr>
                <w:sz w:val="15"/>
                <w:szCs w:val="15"/>
              </w:rPr>
            </w:pPr>
            <w:r>
              <w:rPr>
                <w:sz w:val="15"/>
                <w:szCs w:val="15"/>
              </w:rPr>
              <w:t>24</w:t>
            </w:r>
          </w:p>
          <w:p>
            <w:pPr>
              <w:spacing w:line="220" w:lineRule="exact"/>
              <w:jc w:val="center"/>
              <w:rPr>
                <w:sz w:val="15"/>
                <w:szCs w:val="15"/>
              </w:rPr>
            </w:pPr>
            <w:r>
              <w:rPr>
                <w:rFonts w:hint="eastAsia"/>
                <w:sz w:val="15"/>
                <w:szCs w:val="15"/>
              </w:rPr>
              <w:t>人份</w:t>
            </w:r>
            <w:r>
              <w:rPr>
                <w:sz w:val="15"/>
                <w:szCs w:val="15"/>
              </w:rPr>
              <w:t>/</w:t>
            </w:r>
            <w:r>
              <w:rPr>
                <w:rFonts w:hint="eastAsia"/>
                <w:sz w:val="15"/>
                <w:szCs w:val="15"/>
              </w:rPr>
              <w:t>盒</w:t>
            </w:r>
          </w:p>
        </w:tc>
        <w:tc>
          <w:tcPr>
            <w:tcW w:w="820" w:type="dxa"/>
            <w:vAlign w:val="center"/>
          </w:tcPr>
          <w:p>
            <w:pPr>
              <w:spacing w:line="220" w:lineRule="exact"/>
              <w:jc w:val="center"/>
              <w:rPr>
                <w:sz w:val="15"/>
                <w:szCs w:val="15"/>
              </w:rPr>
            </w:pPr>
            <w:r>
              <w:rPr>
                <w:sz w:val="15"/>
                <w:szCs w:val="15"/>
              </w:rPr>
              <w:t>48</w:t>
            </w:r>
          </w:p>
          <w:p>
            <w:pPr>
              <w:spacing w:line="220" w:lineRule="exact"/>
              <w:jc w:val="center"/>
              <w:rPr>
                <w:sz w:val="15"/>
                <w:szCs w:val="15"/>
              </w:rPr>
            </w:pPr>
            <w:r>
              <w:rPr>
                <w:rFonts w:hint="eastAsia"/>
                <w:sz w:val="15"/>
                <w:szCs w:val="15"/>
              </w:rPr>
              <w:t>人份</w:t>
            </w:r>
            <w:r>
              <w:rPr>
                <w:sz w:val="15"/>
                <w:szCs w:val="15"/>
              </w:rPr>
              <w:t>/</w:t>
            </w:r>
            <w:r>
              <w:rPr>
                <w:rFonts w:hint="eastAsia"/>
                <w:sz w:val="15"/>
                <w:szCs w:val="15"/>
              </w:rPr>
              <w:t>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 w:hRule="atLeast"/>
          <w:jc w:val="center"/>
        </w:trPr>
        <w:tc>
          <w:tcPr>
            <w:tcW w:w="284" w:type="dxa"/>
            <w:vAlign w:val="center"/>
          </w:tcPr>
          <w:p>
            <w:pPr>
              <w:adjustRightInd w:val="0"/>
              <w:snapToGrid w:val="0"/>
              <w:spacing w:line="220" w:lineRule="exact"/>
              <w:jc w:val="center"/>
              <w:rPr>
                <w:sz w:val="15"/>
                <w:szCs w:val="15"/>
              </w:rPr>
            </w:pPr>
            <w:r>
              <w:rPr>
                <w:sz w:val="15"/>
                <w:szCs w:val="15"/>
              </w:rPr>
              <w:t>1</w:t>
            </w:r>
          </w:p>
        </w:tc>
        <w:tc>
          <w:tcPr>
            <w:tcW w:w="1035" w:type="dxa"/>
            <w:vAlign w:val="center"/>
          </w:tcPr>
          <w:p>
            <w:pPr>
              <w:spacing w:line="220" w:lineRule="exact"/>
              <w:jc w:val="center"/>
              <w:rPr>
                <w:sz w:val="15"/>
                <w:szCs w:val="15"/>
              </w:rPr>
            </w:pPr>
            <w:r>
              <w:rPr>
                <w:rFonts w:hint="eastAsia"/>
                <w:sz w:val="15"/>
                <w:szCs w:val="15"/>
              </w:rPr>
              <w:t>无核酸酶水</w:t>
            </w:r>
          </w:p>
        </w:tc>
        <w:tc>
          <w:tcPr>
            <w:tcW w:w="1985" w:type="dxa"/>
            <w:vAlign w:val="center"/>
          </w:tcPr>
          <w:p>
            <w:pPr>
              <w:spacing w:line="220" w:lineRule="exact"/>
              <w:jc w:val="center"/>
              <w:rPr>
                <w:sz w:val="15"/>
                <w:szCs w:val="15"/>
              </w:rPr>
            </w:pPr>
            <w:r>
              <w:rPr>
                <w:rFonts w:hint="eastAsia"/>
                <w:sz w:val="15"/>
                <w:szCs w:val="15"/>
              </w:rPr>
              <w:t>经焦碳酸二乙酯处理的水</w:t>
            </w:r>
          </w:p>
        </w:tc>
        <w:tc>
          <w:tcPr>
            <w:tcW w:w="850" w:type="dxa"/>
            <w:vAlign w:val="center"/>
          </w:tcPr>
          <w:p>
            <w:pPr>
              <w:spacing w:line="220" w:lineRule="exact"/>
              <w:jc w:val="center"/>
              <w:rPr>
                <w:sz w:val="15"/>
                <w:szCs w:val="15"/>
              </w:rPr>
            </w:pPr>
            <w:r>
              <w:rPr>
                <w:sz w:val="15"/>
                <w:szCs w:val="15"/>
              </w:rPr>
              <w:t>1000μL</w:t>
            </w:r>
            <w:r>
              <w:rPr>
                <w:rFonts w:hint="eastAsia"/>
                <w:sz w:val="15"/>
                <w:szCs w:val="15"/>
              </w:rPr>
              <w:t xml:space="preserve">  </w:t>
            </w:r>
          </w:p>
        </w:tc>
        <w:tc>
          <w:tcPr>
            <w:tcW w:w="820" w:type="dxa"/>
            <w:vAlign w:val="center"/>
          </w:tcPr>
          <w:p>
            <w:pPr>
              <w:spacing w:line="220" w:lineRule="exact"/>
              <w:jc w:val="center"/>
              <w:rPr>
                <w:sz w:val="15"/>
                <w:szCs w:val="15"/>
              </w:rPr>
            </w:pPr>
            <w:r>
              <w:rPr>
                <w:sz w:val="15"/>
                <w:szCs w:val="15"/>
              </w:rPr>
              <w:t>1000μL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 w:hRule="atLeast"/>
          <w:jc w:val="center"/>
        </w:trPr>
        <w:tc>
          <w:tcPr>
            <w:tcW w:w="284" w:type="dxa"/>
            <w:vAlign w:val="center"/>
          </w:tcPr>
          <w:p>
            <w:pPr>
              <w:adjustRightInd w:val="0"/>
              <w:snapToGrid w:val="0"/>
              <w:spacing w:line="220" w:lineRule="exact"/>
              <w:jc w:val="center"/>
              <w:rPr>
                <w:sz w:val="15"/>
                <w:szCs w:val="15"/>
              </w:rPr>
            </w:pPr>
            <w:r>
              <w:rPr>
                <w:sz w:val="15"/>
                <w:szCs w:val="15"/>
              </w:rPr>
              <w:t>2</w:t>
            </w:r>
          </w:p>
        </w:tc>
        <w:tc>
          <w:tcPr>
            <w:tcW w:w="1035" w:type="dxa"/>
            <w:vAlign w:val="center"/>
          </w:tcPr>
          <w:p>
            <w:pPr>
              <w:spacing w:line="220" w:lineRule="exact"/>
              <w:jc w:val="center"/>
              <w:rPr>
                <w:sz w:val="15"/>
                <w:szCs w:val="15"/>
              </w:rPr>
            </w:pPr>
            <w:r>
              <w:rPr>
                <w:sz w:val="15"/>
                <w:szCs w:val="15"/>
              </w:rPr>
              <w:t>2×</w:t>
            </w:r>
            <w:r>
              <w:rPr>
                <w:rFonts w:hint="eastAsia"/>
                <w:sz w:val="15"/>
                <w:szCs w:val="15"/>
              </w:rPr>
              <w:t>核酸扩增反应液</w:t>
            </w:r>
          </w:p>
        </w:tc>
        <w:tc>
          <w:tcPr>
            <w:tcW w:w="1985" w:type="dxa"/>
            <w:vAlign w:val="center"/>
          </w:tcPr>
          <w:p>
            <w:pPr>
              <w:spacing w:line="220" w:lineRule="exact"/>
              <w:jc w:val="center"/>
              <w:rPr>
                <w:sz w:val="15"/>
                <w:szCs w:val="15"/>
              </w:rPr>
            </w:pPr>
            <w:r>
              <w:rPr>
                <w:rFonts w:hint="eastAsia"/>
                <w:sz w:val="15"/>
                <w:szCs w:val="15"/>
              </w:rPr>
              <w:t>三羟甲基氨基甲烷、氯化钾、氯化镁、核苷酸混合液、热启动</w:t>
            </w:r>
            <w:r>
              <w:rPr>
                <w:sz w:val="15"/>
                <w:szCs w:val="15"/>
              </w:rPr>
              <w:t>DNA</w:t>
            </w:r>
            <w:r>
              <w:rPr>
                <w:rFonts w:hint="eastAsia"/>
                <w:sz w:val="15"/>
                <w:szCs w:val="15"/>
              </w:rPr>
              <w:t>聚合酶</w:t>
            </w:r>
          </w:p>
        </w:tc>
        <w:tc>
          <w:tcPr>
            <w:tcW w:w="850" w:type="dxa"/>
            <w:vAlign w:val="center"/>
          </w:tcPr>
          <w:p>
            <w:pPr>
              <w:spacing w:line="220" w:lineRule="exact"/>
              <w:jc w:val="center"/>
              <w:rPr>
                <w:sz w:val="15"/>
                <w:szCs w:val="15"/>
              </w:rPr>
            </w:pPr>
            <w:r>
              <w:rPr>
                <w:rFonts w:hint="eastAsia"/>
                <w:sz w:val="15"/>
                <w:szCs w:val="15"/>
              </w:rPr>
              <w:t>24</w:t>
            </w:r>
            <w:r>
              <w:rPr>
                <w:sz w:val="15"/>
                <w:szCs w:val="15"/>
              </w:rPr>
              <w:t>0μL</w:t>
            </w:r>
          </w:p>
        </w:tc>
        <w:tc>
          <w:tcPr>
            <w:tcW w:w="820" w:type="dxa"/>
            <w:vAlign w:val="center"/>
          </w:tcPr>
          <w:p>
            <w:pPr>
              <w:spacing w:line="220" w:lineRule="exact"/>
              <w:jc w:val="center"/>
              <w:rPr>
                <w:sz w:val="15"/>
                <w:szCs w:val="15"/>
              </w:rPr>
            </w:pPr>
            <w:r>
              <w:rPr>
                <w:sz w:val="15"/>
                <w:szCs w:val="15"/>
              </w:rPr>
              <w:t>480μL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 w:hRule="atLeast"/>
          <w:jc w:val="center"/>
        </w:trPr>
        <w:tc>
          <w:tcPr>
            <w:tcW w:w="284" w:type="dxa"/>
            <w:vAlign w:val="center"/>
          </w:tcPr>
          <w:p>
            <w:pPr>
              <w:adjustRightInd w:val="0"/>
              <w:snapToGrid w:val="0"/>
              <w:spacing w:line="220" w:lineRule="exact"/>
              <w:jc w:val="center"/>
              <w:rPr>
                <w:sz w:val="15"/>
                <w:szCs w:val="15"/>
              </w:rPr>
            </w:pPr>
            <w:r>
              <w:rPr>
                <w:sz w:val="15"/>
                <w:szCs w:val="15"/>
              </w:rPr>
              <w:t>3</w:t>
            </w:r>
          </w:p>
        </w:tc>
        <w:tc>
          <w:tcPr>
            <w:tcW w:w="1035" w:type="dxa"/>
            <w:vAlign w:val="center"/>
          </w:tcPr>
          <w:p>
            <w:pPr>
              <w:spacing w:line="220" w:lineRule="exact"/>
              <w:jc w:val="center"/>
              <w:rPr>
                <w:sz w:val="15"/>
                <w:szCs w:val="15"/>
              </w:rPr>
            </w:pPr>
            <w:r>
              <w:rPr>
                <w:sz w:val="15"/>
                <w:szCs w:val="15"/>
              </w:rPr>
              <w:t>20×</w:t>
            </w:r>
            <w:r>
              <w:rPr>
                <w:rFonts w:hint="eastAsia"/>
                <w:sz w:val="15"/>
                <w:szCs w:val="15"/>
              </w:rPr>
              <w:t>逆转录酶</w:t>
            </w:r>
          </w:p>
        </w:tc>
        <w:tc>
          <w:tcPr>
            <w:tcW w:w="1985" w:type="dxa"/>
            <w:vAlign w:val="center"/>
          </w:tcPr>
          <w:p>
            <w:pPr>
              <w:spacing w:line="220" w:lineRule="exact"/>
              <w:jc w:val="center"/>
              <w:rPr>
                <w:sz w:val="15"/>
                <w:szCs w:val="15"/>
              </w:rPr>
            </w:pPr>
            <w:r>
              <w:rPr>
                <w:rFonts w:hint="eastAsia"/>
                <w:sz w:val="15"/>
                <w:szCs w:val="15"/>
              </w:rPr>
              <w:t>逆转录酶、</w:t>
            </w:r>
            <w:r>
              <w:rPr>
                <w:sz w:val="15"/>
                <w:szCs w:val="15"/>
              </w:rPr>
              <w:t>RNA</w:t>
            </w:r>
            <w:r>
              <w:rPr>
                <w:rFonts w:hint="eastAsia"/>
                <w:sz w:val="15"/>
                <w:szCs w:val="15"/>
              </w:rPr>
              <w:t>酶抑制剂</w:t>
            </w:r>
          </w:p>
        </w:tc>
        <w:tc>
          <w:tcPr>
            <w:tcW w:w="850" w:type="dxa"/>
            <w:vAlign w:val="center"/>
          </w:tcPr>
          <w:p>
            <w:pPr>
              <w:spacing w:line="220" w:lineRule="exact"/>
              <w:jc w:val="center"/>
              <w:rPr>
                <w:sz w:val="15"/>
                <w:szCs w:val="15"/>
              </w:rPr>
            </w:pPr>
            <w:r>
              <w:rPr>
                <w:rFonts w:hint="eastAsia"/>
                <w:sz w:val="15"/>
                <w:szCs w:val="15"/>
              </w:rPr>
              <w:t>24</w:t>
            </w:r>
            <w:r>
              <w:rPr>
                <w:sz w:val="15"/>
                <w:szCs w:val="15"/>
              </w:rPr>
              <w:t>μL</w:t>
            </w:r>
          </w:p>
        </w:tc>
        <w:tc>
          <w:tcPr>
            <w:tcW w:w="820" w:type="dxa"/>
            <w:vAlign w:val="center"/>
          </w:tcPr>
          <w:p>
            <w:pPr>
              <w:spacing w:line="220" w:lineRule="exact"/>
              <w:jc w:val="center"/>
              <w:rPr>
                <w:sz w:val="15"/>
                <w:szCs w:val="15"/>
              </w:rPr>
            </w:pPr>
            <w:r>
              <w:rPr>
                <w:sz w:val="15"/>
                <w:szCs w:val="15"/>
              </w:rPr>
              <w:t>48μL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 w:hRule="atLeast"/>
          <w:jc w:val="center"/>
        </w:trPr>
        <w:tc>
          <w:tcPr>
            <w:tcW w:w="284" w:type="dxa"/>
            <w:vAlign w:val="center"/>
          </w:tcPr>
          <w:p>
            <w:pPr>
              <w:adjustRightInd w:val="0"/>
              <w:snapToGrid w:val="0"/>
              <w:spacing w:line="220" w:lineRule="exact"/>
              <w:jc w:val="center"/>
              <w:rPr>
                <w:sz w:val="15"/>
                <w:szCs w:val="15"/>
              </w:rPr>
            </w:pPr>
            <w:r>
              <w:rPr>
                <w:sz w:val="15"/>
                <w:szCs w:val="15"/>
              </w:rPr>
              <w:t>4</w:t>
            </w:r>
          </w:p>
        </w:tc>
        <w:tc>
          <w:tcPr>
            <w:tcW w:w="1035" w:type="dxa"/>
            <w:vAlign w:val="center"/>
          </w:tcPr>
          <w:p>
            <w:pPr>
              <w:spacing w:line="220" w:lineRule="exact"/>
              <w:jc w:val="center"/>
              <w:rPr>
                <w:sz w:val="15"/>
                <w:szCs w:val="15"/>
              </w:rPr>
            </w:pPr>
            <w:r>
              <w:rPr>
                <w:sz w:val="15"/>
                <w:szCs w:val="15"/>
              </w:rPr>
              <w:t>10×EU</w:t>
            </w:r>
          </w:p>
          <w:p>
            <w:pPr>
              <w:spacing w:line="220" w:lineRule="exact"/>
              <w:jc w:val="center"/>
              <w:rPr>
                <w:sz w:val="15"/>
                <w:szCs w:val="15"/>
              </w:rPr>
            </w:pPr>
            <w:r>
              <w:rPr>
                <w:rFonts w:hint="eastAsia"/>
                <w:sz w:val="15"/>
                <w:szCs w:val="15"/>
              </w:rPr>
              <w:t>反应液</w:t>
            </w:r>
          </w:p>
        </w:tc>
        <w:tc>
          <w:tcPr>
            <w:tcW w:w="1985" w:type="dxa"/>
            <w:vAlign w:val="center"/>
          </w:tcPr>
          <w:p>
            <w:pPr>
              <w:spacing w:line="220" w:lineRule="exact"/>
              <w:jc w:val="center"/>
              <w:rPr>
                <w:sz w:val="15"/>
                <w:szCs w:val="15"/>
              </w:rPr>
            </w:pPr>
            <w:r>
              <w:rPr>
                <w:rFonts w:hint="eastAsia"/>
                <w:sz w:val="15"/>
                <w:szCs w:val="15"/>
              </w:rPr>
              <w:t>引物、探针</w:t>
            </w:r>
          </w:p>
        </w:tc>
        <w:tc>
          <w:tcPr>
            <w:tcW w:w="850" w:type="dxa"/>
            <w:vAlign w:val="center"/>
          </w:tcPr>
          <w:p>
            <w:pPr>
              <w:spacing w:line="220" w:lineRule="exact"/>
              <w:jc w:val="center"/>
              <w:rPr>
                <w:sz w:val="15"/>
                <w:szCs w:val="15"/>
              </w:rPr>
            </w:pPr>
            <w:r>
              <w:rPr>
                <w:rFonts w:hint="eastAsia"/>
                <w:sz w:val="15"/>
                <w:szCs w:val="15"/>
              </w:rPr>
              <w:t>48</w:t>
            </w:r>
            <w:r>
              <w:rPr>
                <w:sz w:val="15"/>
                <w:szCs w:val="15"/>
              </w:rPr>
              <w:t>μL</w:t>
            </w:r>
          </w:p>
        </w:tc>
        <w:tc>
          <w:tcPr>
            <w:tcW w:w="820" w:type="dxa"/>
            <w:vAlign w:val="center"/>
          </w:tcPr>
          <w:p>
            <w:pPr>
              <w:spacing w:line="220" w:lineRule="exact"/>
              <w:jc w:val="center"/>
              <w:rPr>
                <w:sz w:val="15"/>
                <w:szCs w:val="15"/>
              </w:rPr>
            </w:pPr>
            <w:r>
              <w:rPr>
                <w:sz w:val="15"/>
                <w:szCs w:val="15"/>
              </w:rPr>
              <w:t>96μL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 w:hRule="atLeast"/>
          <w:jc w:val="center"/>
        </w:trPr>
        <w:tc>
          <w:tcPr>
            <w:tcW w:w="284" w:type="dxa"/>
            <w:vAlign w:val="center"/>
          </w:tcPr>
          <w:p>
            <w:pPr>
              <w:adjustRightInd w:val="0"/>
              <w:snapToGrid w:val="0"/>
              <w:spacing w:line="220" w:lineRule="exact"/>
              <w:jc w:val="center"/>
              <w:rPr>
                <w:sz w:val="15"/>
                <w:szCs w:val="15"/>
              </w:rPr>
            </w:pPr>
            <w:r>
              <w:rPr>
                <w:sz w:val="15"/>
                <w:szCs w:val="15"/>
              </w:rPr>
              <w:t>5</w:t>
            </w:r>
          </w:p>
        </w:tc>
        <w:tc>
          <w:tcPr>
            <w:tcW w:w="1035" w:type="dxa"/>
            <w:vAlign w:val="center"/>
          </w:tcPr>
          <w:p>
            <w:pPr>
              <w:spacing w:line="220" w:lineRule="exact"/>
              <w:jc w:val="center"/>
              <w:rPr>
                <w:sz w:val="15"/>
                <w:szCs w:val="15"/>
              </w:rPr>
            </w:pPr>
            <w:r>
              <w:rPr>
                <w:rFonts w:hint="eastAsia"/>
                <w:sz w:val="15"/>
                <w:szCs w:val="15"/>
              </w:rPr>
              <w:t>内标对照</w:t>
            </w:r>
          </w:p>
        </w:tc>
        <w:tc>
          <w:tcPr>
            <w:tcW w:w="1985" w:type="dxa"/>
            <w:vAlign w:val="center"/>
          </w:tcPr>
          <w:p>
            <w:pPr>
              <w:spacing w:line="220" w:lineRule="exact"/>
              <w:jc w:val="center"/>
              <w:rPr>
                <w:sz w:val="15"/>
                <w:szCs w:val="15"/>
              </w:rPr>
            </w:pPr>
            <w:r>
              <w:rPr>
                <w:rFonts w:hint="eastAsia"/>
                <w:sz w:val="15"/>
                <w:szCs w:val="15"/>
              </w:rPr>
              <w:t>含非目标基因片段的假病毒</w:t>
            </w:r>
          </w:p>
        </w:tc>
        <w:tc>
          <w:tcPr>
            <w:tcW w:w="850" w:type="dxa"/>
            <w:vAlign w:val="center"/>
          </w:tcPr>
          <w:p>
            <w:pPr>
              <w:spacing w:line="220" w:lineRule="exact"/>
              <w:jc w:val="center"/>
              <w:rPr>
                <w:sz w:val="15"/>
                <w:szCs w:val="15"/>
              </w:rPr>
            </w:pPr>
            <w:r>
              <w:rPr>
                <w:rFonts w:hint="eastAsia"/>
                <w:sz w:val="15"/>
                <w:szCs w:val="15"/>
              </w:rPr>
              <w:t>24</w:t>
            </w:r>
            <w:r>
              <w:rPr>
                <w:sz w:val="15"/>
                <w:szCs w:val="15"/>
              </w:rPr>
              <w:t>0μL</w:t>
            </w:r>
          </w:p>
        </w:tc>
        <w:tc>
          <w:tcPr>
            <w:tcW w:w="820" w:type="dxa"/>
            <w:vAlign w:val="center"/>
          </w:tcPr>
          <w:p>
            <w:pPr>
              <w:spacing w:line="220" w:lineRule="exact"/>
              <w:jc w:val="center"/>
              <w:rPr>
                <w:sz w:val="15"/>
                <w:szCs w:val="15"/>
              </w:rPr>
            </w:pPr>
            <w:r>
              <w:rPr>
                <w:sz w:val="15"/>
                <w:szCs w:val="15"/>
              </w:rPr>
              <w:t>480μL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 w:hRule="atLeast"/>
          <w:jc w:val="center"/>
        </w:trPr>
        <w:tc>
          <w:tcPr>
            <w:tcW w:w="284" w:type="dxa"/>
            <w:vAlign w:val="center"/>
          </w:tcPr>
          <w:p>
            <w:pPr>
              <w:adjustRightInd w:val="0"/>
              <w:snapToGrid w:val="0"/>
              <w:spacing w:line="220" w:lineRule="exact"/>
              <w:jc w:val="center"/>
              <w:rPr>
                <w:sz w:val="15"/>
                <w:szCs w:val="15"/>
              </w:rPr>
            </w:pPr>
            <w:r>
              <w:rPr>
                <w:sz w:val="15"/>
                <w:szCs w:val="15"/>
              </w:rPr>
              <w:t>6</w:t>
            </w:r>
          </w:p>
        </w:tc>
        <w:tc>
          <w:tcPr>
            <w:tcW w:w="1035" w:type="dxa"/>
            <w:vAlign w:val="center"/>
          </w:tcPr>
          <w:p>
            <w:pPr>
              <w:spacing w:line="220" w:lineRule="exact"/>
              <w:jc w:val="center"/>
              <w:rPr>
                <w:sz w:val="15"/>
                <w:szCs w:val="15"/>
              </w:rPr>
            </w:pPr>
            <w:r>
              <w:rPr>
                <w:rFonts w:hint="eastAsia"/>
                <w:sz w:val="15"/>
                <w:szCs w:val="15"/>
              </w:rPr>
              <w:t>阳性对照（</w:t>
            </w:r>
            <w:r>
              <w:rPr>
                <w:sz w:val="15"/>
                <w:szCs w:val="15"/>
              </w:rPr>
              <w:t>EU</w:t>
            </w:r>
            <w:r>
              <w:rPr>
                <w:rFonts w:hint="eastAsia"/>
                <w:sz w:val="15"/>
                <w:szCs w:val="15"/>
              </w:rPr>
              <w:t>）</w:t>
            </w:r>
          </w:p>
        </w:tc>
        <w:tc>
          <w:tcPr>
            <w:tcW w:w="1985" w:type="dxa"/>
            <w:vAlign w:val="center"/>
          </w:tcPr>
          <w:p>
            <w:pPr>
              <w:spacing w:line="220" w:lineRule="exact"/>
              <w:jc w:val="center"/>
              <w:rPr>
                <w:sz w:val="15"/>
                <w:szCs w:val="15"/>
              </w:rPr>
            </w:pPr>
            <w:r>
              <w:rPr>
                <w:rFonts w:hint="eastAsia"/>
                <w:sz w:val="15"/>
                <w:szCs w:val="15"/>
              </w:rPr>
              <w:t>含肠道病毒通用型基因片段的假病毒</w:t>
            </w:r>
          </w:p>
        </w:tc>
        <w:tc>
          <w:tcPr>
            <w:tcW w:w="850" w:type="dxa"/>
            <w:vAlign w:val="center"/>
          </w:tcPr>
          <w:p>
            <w:pPr>
              <w:spacing w:line="220" w:lineRule="exact"/>
              <w:jc w:val="center"/>
              <w:rPr>
                <w:sz w:val="15"/>
                <w:szCs w:val="15"/>
              </w:rPr>
            </w:pPr>
            <w:r>
              <w:rPr>
                <w:sz w:val="15"/>
                <w:szCs w:val="15"/>
              </w:rPr>
              <w:t>400μL</w:t>
            </w:r>
          </w:p>
        </w:tc>
        <w:tc>
          <w:tcPr>
            <w:tcW w:w="820" w:type="dxa"/>
            <w:vAlign w:val="center"/>
          </w:tcPr>
          <w:p>
            <w:pPr>
              <w:spacing w:line="220" w:lineRule="exact"/>
              <w:jc w:val="center"/>
              <w:rPr>
                <w:sz w:val="15"/>
                <w:szCs w:val="15"/>
              </w:rPr>
            </w:pPr>
            <w:r>
              <w:rPr>
                <w:sz w:val="15"/>
                <w:szCs w:val="15"/>
              </w:rPr>
              <w:t>400μL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 w:hRule="atLeast"/>
          <w:jc w:val="center"/>
        </w:trPr>
        <w:tc>
          <w:tcPr>
            <w:tcW w:w="284" w:type="dxa"/>
            <w:vAlign w:val="center"/>
          </w:tcPr>
          <w:p>
            <w:pPr>
              <w:adjustRightInd w:val="0"/>
              <w:snapToGrid w:val="0"/>
              <w:spacing w:line="220" w:lineRule="exact"/>
              <w:jc w:val="center"/>
              <w:rPr>
                <w:sz w:val="15"/>
                <w:szCs w:val="15"/>
              </w:rPr>
            </w:pPr>
            <w:r>
              <w:rPr>
                <w:sz w:val="15"/>
                <w:szCs w:val="15"/>
              </w:rPr>
              <w:t>7</w:t>
            </w:r>
          </w:p>
        </w:tc>
        <w:tc>
          <w:tcPr>
            <w:tcW w:w="1035" w:type="dxa"/>
            <w:vAlign w:val="center"/>
          </w:tcPr>
          <w:p>
            <w:pPr>
              <w:spacing w:line="220" w:lineRule="exact"/>
              <w:jc w:val="center"/>
              <w:rPr>
                <w:sz w:val="15"/>
                <w:szCs w:val="15"/>
              </w:rPr>
            </w:pPr>
            <w:r>
              <w:rPr>
                <w:rFonts w:hint="eastAsia"/>
                <w:sz w:val="15"/>
                <w:szCs w:val="15"/>
              </w:rPr>
              <w:t>阴性对照</w:t>
            </w:r>
          </w:p>
        </w:tc>
        <w:tc>
          <w:tcPr>
            <w:tcW w:w="1985" w:type="dxa"/>
            <w:vAlign w:val="center"/>
          </w:tcPr>
          <w:p>
            <w:pPr>
              <w:spacing w:line="220" w:lineRule="exact"/>
              <w:jc w:val="center"/>
              <w:rPr>
                <w:sz w:val="15"/>
                <w:szCs w:val="15"/>
              </w:rPr>
            </w:pPr>
            <w:r>
              <w:rPr>
                <w:rFonts w:hint="eastAsia"/>
                <w:sz w:val="15"/>
                <w:szCs w:val="15"/>
              </w:rPr>
              <w:t>氯化钠</w:t>
            </w:r>
          </w:p>
        </w:tc>
        <w:tc>
          <w:tcPr>
            <w:tcW w:w="850" w:type="dxa"/>
            <w:vAlign w:val="center"/>
          </w:tcPr>
          <w:p>
            <w:pPr>
              <w:spacing w:line="220" w:lineRule="exact"/>
              <w:jc w:val="center"/>
              <w:rPr>
                <w:sz w:val="15"/>
                <w:szCs w:val="15"/>
              </w:rPr>
            </w:pPr>
            <w:r>
              <w:rPr>
                <w:sz w:val="15"/>
                <w:szCs w:val="15"/>
              </w:rPr>
              <w:t>400μL</w:t>
            </w:r>
          </w:p>
        </w:tc>
        <w:tc>
          <w:tcPr>
            <w:tcW w:w="820" w:type="dxa"/>
            <w:vAlign w:val="center"/>
          </w:tcPr>
          <w:p>
            <w:pPr>
              <w:spacing w:line="220" w:lineRule="exact"/>
              <w:jc w:val="center"/>
              <w:rPr>
                <w:sz w:val="15"/>
                <w:szCs w:val="15"/>
              </w:rPr>
            </w:pPr>
            <w:r>
              <w:rPr>
                <w:sz w:val="15"/>
                <w:szCs w:val="15"/>
              </w:rPr>
              <w:t>400μL</w:t>
            </w:r>
          </w:p>
        </w:tc>
      </w:tr>
    </w:tbl>
    <w:p>
      <w:pPr>
        <w:pStyle w:val="12"/>
        <w:adjustRightInd w:val="0"/>
        <w:snapToGrid w:val="0"/>
        <w:spacing w:line="220" w:lineRule="exact"/>
        <w:ind w:firstLine="320" w:firstLineChars="200"/>
        <w:rPr>
          <w:rFonts w:ascii="Times New Roman" w:hAnsi="Times New Roman"/>
          <w:sz w:val="16"/>
          <w:szCs w:val="21"/>
        </w:rPr>
      </w:pPr>
      <w:r>
        <w:rPr>
          <w:rFonts w:hint="eastAsia" w:ascii="Times New Roman" w:hAnsi="Times New Roman"/>
          <w:sz w:val="16"/>
          <w:szCs w:val="21"/>
        </w:rPr>
        <w:t>说明：不同批号间试剂盒组分除内标对照（有效期内）外不能互换。</w:t>
      </w:r>
    </w:p>
    <w:p>
      <w:pPr>
        <w:pStyle w:val="12"/>
        <w:adjustRightInd w:val="0"/>
        <w:snapToGrid w:val="0"/>
        <w:spacing w:line="220" w:lineRule="exact"/>
        <w:rPr>
          <w:rFonts w:ascii="Times New Roman" w:hAnsi="Times New Roman"/>
          <w:b/>
          <w:sz w:val="16"/>
          <w:szCs w:val="21"/>
        </w:rPr>
      </w:pPr>
      <w:r>
        <w:rPr>
          <w:rFonts w:ascii="Times New Roman" w:hAnsi="Times New Roman"/>
          <w:b/>
          <w:sz w:val="16"/>
          <w:szCs w:val="21"/>
        </w:rPr>
        <w:t>【储存条件及有效期】</w:t>
      </w:r>
    </w:p>
    <w:p>
      <w:pPr>
        <w:tabs>
          <w:tab w:val="left" w:pos="2520"/>
          <w:tab w:val="left" w:pos="3060"/>
        </w:tabs>
        <w:adjustRightInd w:val="0"/>
        <w:snapToGrid w:val="0"/>
        <w:spacing w:line="220" w:lineRule="exact"/>
        <w:ind w:firstLine="320" w:firstLineChars="200"/>
        <w:rPr>
          <w:sz w:val="16"/>
          <w:szCs w:val="21"/>
        </w:rPr>
      </w:pPr>
      <w:r>
        <w:rPr>
          <w:sz w:val="16"/>
          <w:szCs w:val="21"/>
        </w:rPr>
        <w:t>试剂盒在</w:t>
      </w:r>
      <w:r>
        <w:rPr>
          <w:rFonts w:hint="eastAsia"/>
          <w:sz w:val="16"/>
          <w:szCs w:val="21"/>
        </w:rPr>
        <w:t>-30℃</w:t>
      </w:r>
      <w:r>
        <w:rPr>
          <w:sz w:val="16"/>
          <w:szCs w:val="21"/>
        </w:rPr>
        <w:t>至</w:t>
      </w:r>
      <w:r>
        <w:rPr>
          <w:rFonts w:hint="eastAsia"/>
          <w:sz w:val="16"/>
          <w:szCs w:val="21"/>
        </w:rPr>
        <w:t>-15℃</w:t>
      </w:r>
      <w:r>
        <w:rPr>
          <w:sz w:val="16"/>
          <w:szCs w:val="21"/>
        </w:rPr>
        <w:t>避光储存，有效期为12个月。</w:t>
      </w:r>
    </w:p>
    <w:p>
      <w:pPr>
        <w:tabs>
          <w:tab w:val="left" w:pos="2520"/>
          <w:tab w:val="left" w:pos="3060"/>
        </w:tabs>
        <w:adjustRightInd w:val="0"/>
        <w:snapToGrid w:val="0"/>
        <w:spacing w:line="220" w:lineRule="exact"/>
        <w:ind w:firstLine="320" w:firstLineChars="200"/>
        <w:rPr>
          <w:sz w:val="16"/>
          <w:szCs w:val="21"/>
        </w:rPr>
      </w:pPr>
      <w:r>
        <w:rPr>
          <w:sz w:val="16"/>
          <w:szCs w:val="21"/>
        </w:rPr>
        <w:t>开盖后置于</w:t>
      </w:r>
      <w:r>
        <w:rPr>
          <w:rFonts w:hint="eastAsia"/>
          <w:sz w:val="16"/>
          <w:szCs w:val="21"/>
        </w:rPr>
        <w:t>2~8℃</w:t>
      </w:r>
      <w:r>
        <w:rPr>
          <w:sz w:val="16"/>
          <w:szCs w:val="21"/>
        </w:rPr>
        <w:t>保存，有效期15天。避免反复冻融（冻融次数不得超过</w:t>
      </w:r>
      <w:r>
        <w:rPr>
          <w:rFonts w:hint="eastAsia"/>
          <w:sz w:val="16"/>
          <w:szCs w:val="21"/>
        </w:rPr>
        <w:t>7</w:t>
      </w:r>
      <w:r>
        <w:rPr>
          <w:sz w:val="16"/>
          <w:szCs w:val="21"/>
        </w:rPr>
        <w:t>次）。</w:t>
      </w:r>
    </w:p>
    <w:p>
      <w:pPr>
        <w:adjustRightInd w:val="0"/>
        <w:snapToGrid w:val="0"/>
        <w:spacing w:line="220" w:lineRule="exact"/>
        <w:ind w:firstLine="320" w:firstLineChars="200"/>
        <w:rPr>
          <w:b/>
          <w:sz w:val="16"/>
          <w:szCs w:val="21"/>
        </w:rPr>
      </w:pPr>
      <w:r>
        <w:rPr>
          <w:sz w:val="16"/>
          <w:szCs w:val="21"/>
        </w:rPr>
        <w:t>生产日期和失效日期见标签。</w:t>
      </w:r>
    </w:p>
    <w:p>
      <w:pPr>
        <w:tabs>
          <w:tab w:val="left" w:pos="2520"/>
          <w:tab w:val="left" w:pos="3060"/>
        </w:tabs>
        <w:adjustRightInd w:val="0"/>
        <w:snapToGrid w:val="0"/>
        <w:spacing w:line="220" w:lineRule="exact"/>
        <w:rPr>
          <w:b/>
          <w:sz w:val="16"/>
          <w:szCs w:val="21"/>
        </w:rPr>
      </w:pPr>
      <w:r>
        <w:rPr>
          <w:b/>
          <w:sz w:val="16"/>
          <w:szCs w:val="21"/>
        </w:rPr>
        <w:t>【适用仪器】</w:t>
      </w:r>
    </w:p>
    <w:p>
      <w:pPr>
        <w:tabs>
          <w:tab w:val="left" w:pos="2520"/>
          <w:tab w:val="left" w:pos="3060"/>
        </w:tabs>
        <w:adjustRightInd w:val="0"/>
        <w:snapToGrid w:val="0"/>
        <w:spacing w:line="220" w:lineRule="exact"/>
        <w:ind w:firstLine="320" w:firstLineChars="200"/>
        <w:rPr>
          <w:sz w:val="16"/>
          <w:szCs w:val="21"/>
        </w:rPr>
      </w:pPr>
      <w:r>
        <w:rPr>
          <w:rFonts w:hint="eastAsia"/>
          <w:sz w:val="16"/>
          <w:szCs w:val="21"/>
        </w:rPr>
        <w:t>ABI 7500，上海宏石SLAN-96P，Roche LightCycler480Ⅱ，Roche Cobas z480荧光定量PCR仪。</w:t>
      </w:r>
    </w:p>
    <w:p>
      <w:pPr>
        <w:tabs>
          <w:tab w:val="left" w:pos="2520"/>
          <w:tab w:val="left" w:pos="3060"/>
        </w:tabs>
        <w:adjustRightInd w:val="0"/>
        <w:snapToGrid w:val="0"/>
        <w:spacing w:line="220" w:lineRule="exact"/>
        <w:rPr>
          <w:b/>
          <w:sz w:val="16"/>
          <w:szCs w:val="21"/>
        </w:rPr>
      </w:pPr>
      <w:r>
        <w:rPr>
          <w:b/>
          <w:sz w:val="16"/>
          <w:szCs w:val="21"/>
        </w:rPr>
        <w:t>【样本要求】</w:t>
      </w:r>
    </w:p>
    <w:p>
      <w:pPr>
        <w:tabs>
          <w:tab w:val="left" w:pos="2520"/>
          <w:tab w:val="left" w:pos="3060"/>
        </w:tabs>
        <w:adjustRightInd w:val="0"/>
        <w:snapToGrid w:val="0"/>
        <w:spacing w:line="220" w:lineRule="exact"/>
        <w:rPr>
          <w:b/>
          <w:sz w:val="16"/>
          <w:szCs w:val="21"/>
        </w:rPr>
      </w:pPr>
      <w:r>
        <w:rPr>
          <w:b/>
          <w:sz w:val="16"/>
          <w:szCs w:val="21"/>
        </w:rPr>
        <w:t>一、适用样本类型：</w:t>
      </w:r>
      <w:r>
        <w:rPr>
          <w:sz w:val="16"/>
          <w:szCs w:val="21"/>
        </w:rPr>
        <w:t>咽拭子</w:t>
      </w:r>
    </w:p>
    <w:p>
      <w:pPr>
        <w:tabs>
          <w:tab w:val="left" w:pos="2520"/>
          <w:tab w:val="left" w:pos="3060"/>
        </w:tabs>
        <w:adjustRightInd w:val="0"/>
        <w:snapToGrid w:val="0"/>
        <w:spacing w:line="220" w:lineRule="exact"/>
        <w:rPr>
          <w:sz w:val="16"/>
          <w:szCs w:val="21"/>
        </w:rPr>
      </w:pPr>
      <w:r>
        <w:rPr>
          <w:b/>
          <w:sz w:val="16"/>
          <w:szCs w:val="21"/>
        </w:rPr>
        <w:t>二、样本采集</w:t>
      </w:r>
    </w:p>
    <w:p>
      <w:pPr>
        <w:tabs>
          <w:tab w:val="left" w:pos="2520"/>
          <w:tab w:val="left" w:pos="3060"/>
        </w:tabs>
        <w:adjustRightInd w:val="0"/>
        <w:snapToGrid w:val="0"/>
        <w:spacing w:line="220" w:lineRule="exact"/>
        <w:ind w:firstLine="320" w:firstLineChars="200"/>
        <w:rPr>
          <w:sz w:val="16"/>
          <w:szCs w:val="21"/>
        </w:rPr>
      </w:pPr>
      <w:r>
        <w:rPr>
          <w:rFonts w:hint="eastAsia"/>
          <w:sz w:val="16"/>
          <w:szCs w:val="21"/>
        </w:rPr>
        <w:t>按照《临床护理实践指南》（2016版）中关于咽拭子采集法进行采集。者用清水漱口，取出无菌拭子蘸取少量无菌生理盐水；用压舌板轻压舌部，迅速擦拭患者口腔两侧腭弓及咽、扁桃体的分泌物，避免咽拭子触及其他部位；迅速把咽拭子浸入1mL采样液中，弃去尾部。</w:t>
      </w:r>
    </w:p>
    <w:p>
      <w:pPr>
        <w:tabs>
          <w:tab w:val="left" w:pos="2520"/>
          <w:tab w:val="left" w:pos="3060"/>
        </w:tabs>
        <w:adjustRightInd w:val="0"/>
        <w:snapToGrid w:val="0"/>
        <w:spacing w:line="220" w:lineRule="exact"/>
        <w:ind w:firstLine="320" w:firstLineChars="200"/>
        <w:rPr>
          <w:sz w:val="16"/>
          <w:szCs w:val="21"/>
        </w:rPr>
      </w:pPr>
      <w:r>
        <w:rPr>
          <w:sz w:val="16"/>
          <w:szCs w:val="21"/>
        </w:rPr>
        <w:t>采样管的要求：外螺旋口、耐-80</w:t>
      </w:r>
      <w:r>
        <w:rPr>
          <w:rFonts w:hint="eastAsia" w:ascii="宋体" w:hAnsi="宋体" w:cs="宋体"/>
          <w:sz w:val="16"/>
          <w:szCs w:val="21"/>
        </w:rPr>
        <w:t>℃</w:t>
      </w:r>
      <w:r>
        <w:rPr>
          <w:sz w:val="16"/>
          <w:szCs w:val="21"/>
        </w:rPr>
        <w:t>冻存。</w:t>
      </w:r>
    </w:p>
    <w:p>
      <w:pPr>
        <w:tabs>
          <w:tab w:val="left" w:pos="2520"/>
          <w:tab w:val="left" w:pos="3060"/>
        </w:tabs>
        <w:adjustRightInd w:val="0"/>
        <w:snapToGrid w:val="0"/>
        <w:spacing w:line="220" w:lineRule="exact"/>
        <w:ind w:firstLine="320" w:firstLineChars="200"/>
        <w:rPr>
          <w:sz w:val="16"/>
          <w:szCs w:val="21"/>
        </w:rPr>
      </w:pPr>
      <w:r>
        <w:rPr>
          <w:sz w:val="16"/>
          <w:szCs w:val="21"/>
        </w:rPr>
        <w:t>采样液的要求：</w:t>
      </w:r>
      <w:r>
        <w:rPr>
          <w:rFonts w:hint="eastAsia"/>
          <w:sz w:val="16"/>
          <w:szCs w:val="21"/>
        </w:rPr>
        <w:t>样本保存液通常为等渗溶液，可以使用生理盐水或友康恒业生物科技（北京）有限公司生产的病毒采样管（备案号：京械注准20182400236）</w:t>
      </w:r>
      <w:r>
        <w:rPr>
          <w:sz w:val="16"/>
          <w:szCs w:val="21"/>
        </w:rPr>
        <w:t>。</w:t>
      </w:r>
    </w:p>
    <w:p>
      <w:pPr>
        <w:tabs>
          <w:tab w:val="left" w:pos="2520"/>
          <w:tab w:val="left" w:pos="3060"/>
        </w:tabs>
        <w:adjustRightInd w:val="0"/>
        <w:snapToGrid w:val="0"/>
        <w:spacing w:line="220" w:lineRule="exact"/>
        <w:rPr>
          <w:b/>
          <w:sz w:val="16"/>
          <w:szCs w:val="21"/>
        </w:rPr>
      </w:pPr>
      <w:r>
        <w:rPr>
          <w:b/>
          <w:sz w:val="16"/>
          <w:szCs w:val="21"/>
        </w:rPr>
        <w:t>三、样本保存和运送</w:t>
      </w:r>
    </w:p>
    <w:p>
      <w:pPr>
        <w:adjustRightInd w:val="0"/>
        <w:snapToGrid w:val="0"/>
        <w:spacing w:line="220" w:lineRule="exact"/>
        <w:ind w:firstLine="320" w:firstLineChars="200"/>
        <w:jc w:val="left"/>
        <w:rPr>
          <w:sz w:val="16"/>
          <w:szCs w:val="21"/>
        </w:rPr>
      </w:pPr>
      <w:r>
        <w:rPr>
          <w:sz w:val="16"/>
          <w:szCs w:val="21"/>
        </w:rPr>
        <w:t>样本在2</w:t>
      </w:r>
      <w:r>
        <w:rPr>
          <w:rFonts w:hint="eastAsia"/>
          <w:sz w:val="16"/>
          <w:szCs w:val="21"/>
        </w:rPr>
        <w:t>~</w:t>
      </w:r>
      <w:r>
        <w:rPr>
          <w:sz w:val="16"/>
          <w:szCs w:val="21"/>
        </w:rPr>
        <w:t>8</w:t>
      </w:r>
      <w:r>
        <w:rPr>
          <w:rFonts w:hint="eastAsia" w:asciiTheme="minorEastAsia" w:hAnsiTheme="minorEastAsia" w:eastAsiaTheme="minorEastAsia"/>
          <w:sz w:val="16"/>
          <w:szCs w:val="21"/>
        </w:rPr>
        <w:t>℃</w:t>
      </w:r>
      <w:r>
        <w:rPr>
          <w:sz w:val="16"/>
          <w:szCs w:val="21"/>
        </w:rPr>
        <w:t>条件下可保存</w:t>
      </w:r>
      <w:r>
        <w:rPr>
          <w:rFonts w:hint="eastAsia"/>
          <w:sz w:val="16"/>
          <w:szCs w:val="21"/>
        </w:rPr>
        <w:t>7天</w:t>
      </w:r>
      <w:r>
        <w:rPr>
          <w:sz w:val="16"/>
          <w:szCs w:val="21"/>
        </w:rPr>
        <w:t>，超过</w:t>
      </w:r>
      <w:r>
        <w:rPr>
          <w:rFonts w:hint="eastAsia"/>
          <w:sz w:val="16"/>
          <w:szCs w:val="21"/>
        </w:rPr>
        <w:t>7天</w:t>
      </w:r>
      <w:r>
        <w:rPr>
          <w:sz w:val="16"/>
          <w:szCs w:val="21"/>
        </w:rPr>
        <w:t>应置于</w:t>
      </w:r>
      <w:r>
        <w:rPr>
          <w:rFonts w:hint="eastAsia"/>
          <w:sz w:val="16"/>
          <w:szCs w:val="21"/>
        </w:rPr>
        <w:t>-90℃至</w:t>
      </w:r>
      <w:r>
        <w:rPr>
          <w:sz w:val="16"/>
          <w:szCs w:val="21"/>
        </w:rPr>
        <w:t>-</w:t>
      </w:r>
      <w:r>
        <w:rPr>
          <w:rFonts w:hint="eastAsia"/>
          <w:sz w:val="16"/>
          <w:szCs w:val="21"/>
        </w:rPr>
        <w:t>7</w:t>
      </w:r>
      <w:r>
        <w:rPr>
          <w:sz w:val="16"/>
          <w:szCs w:val="21"/>
        </w:rPr>
        <w:t>0</w:t>
      </w:r>
      <w:r>
        <w:rPr>
          <w:rFonts w:hint="eastAsia" w:asciiTheme="minorEastAsia" w:hAnsiTheme="minorEastAsia" w:eastAsiaTheme="minorEastAsia"/>
          <w:sz w:val="16"/>
          <w:szCs w:val="21"/>
        </w:rPr>
        <w:t>℃</w:t>
      </w:r>
      <w:r>
        <w:rPr>
          <w:sz w:val="16"/>
          <w:szCs w:val="21"/>
        </w:rPr>
        <w:t>保存6个月，避免反复冻</w:t>
      </w:r>
      <w:r>
        <w:rPr>
          <w:rFonts w:hint="eastAsia"/>
          <w:sz w:val="16"/>
          <w:szCs w:val="21"/>
        </w:rPr>
        <w:t>融（冻融次数不超过</w:t>
      </w:r>
      <w:r>
        <w:rPr>
          <w:sz w:val="16"/>
          <w:szCs w:val="21"/>
        </w:rPr>
        <w:t>4</w:t>
      </w:r>
      <w:r>
        <w:rPr>
          <w:rFonts w:hint="eastAsia"/>
          <w:sz w:val="16"/>
          <w:szCs w:val="21"/>
        </w:rPr>
        <w:t>次）。</w:t>
      </w:r>
    </w:p>
    <w:p>
      <w:pPr>
        <w:tabs>
          <w:tab w:val="left" w:pos="2520"/>
          <w:tab w:val="left" w:pos="3060"/>
        </w:tabs>
        <w:adjustRightInd w:val="0"/>
        <w:snapToGrid w:val="0"/>
        <w:spacing w:line="220" w:lineRule="exact"/>
        <w:rPr>
          <w:b/>
          <w:sz w:val="16"/>
          <w:szCs w:val="21"/>
        </w:rPr>
      </w:pPr>
      <w:r>
        <w:rPr>
          <w:b/>
          <w:sz w:val="16"/>
          <w:szCs w:val="21"/>
        </w:rPr>
        <w:t>【检验方法】</w:t>
      </w:r>
    </w:p>
    <w:p>
      <w:pPr>
        <w:pStyle w:val="12"/>
        <w:adjustRightInd w:val="0"/>
        <w:snapToGrid w:val="0"/>
        <w:spacing w:line="220" w:lineRule="exact"/>
        <w:rPr>
          <w:rFonts w:ascii="Times New Roman" w:hAnsi="Times New Roman"/>
          <w:sz w:val="16"/>
          <w:szCs w:val="21"/>
        </w:rPr>
      </w:pPr>
      <w:r>
        <w:rPr>
          <w:rFonts w:ascii="Times New Roman" w:hAnsi="Times New Roman"/>
          <w:b/>
          <w:sz w:val="16"/>
          <w:szCs w:val="21"/>
        </w:rPr>
        <w:t>一、核酸提取（样本处理区</w:t>
      </w:r>
      <w:r>
        <w:rPr>
          <w:rFonts w:ascii="Times New Roman" w:hAnsi="Times New Roman"/>
          <w:sz w:val="16"/>
          <w:szCs w:val="21"/>
        </w:rPr>
        <w:t>）</w:t>
      </w:r>
    </w:p>
    <w:p>
      <w:pPr>
        <w:pStyle w:val="12"/>
        <w:adjustRightInd w:val="0"/>
        <w:snapToGrid w:val="0"/>
        <w:spacing w:line="220" w:lineRule="exact"/>
        <w:ind w:firstLine="320" w:firstLineChars="200"/>
        <w:rPr>
          <w:rFonts w:ascii="Times New Roman" w:hAnsi="Times New Roman"/>
          <w:sz w:val="16"/>
          <w:szCs w:val="21"/>
        </w:rPr>
      </w:pPr>
      <w:r>
        <w:rPr>
          <w:rFonts w:hint="eastAsia" w:ascii="Times New Roman" w:hAnsi="Times New Roman"/>
          <w:sz w:val="16"/>
          <w:szCs w:val="21"/>
        </w:rPr>
        <w:t>取200</w:t>
      </w:r>
      <w:r>
        <w:rPr>
          <w:rFonts w:ascii="Times New Roman" w:hAnsi="Times New Roman"/>
          <w:sz w:val="16"/>
          <w:szCs w:val="21"/>
        </w:rPr>
        <w:t>μL</w:t>
      </w:r>
      <w:r>
        <w:rPr>
          <w:rFonts w:hint="eastAsia" w:ascii="Times New Roman" w:hAnsi="Times New Roman"/>
          <w:sz w:val="16"/>
          <w:szCs w:val="21"/>
        </w:rPr>
        <w:t>待测样本、阳性对照和阴性对照，分别将10µL内标对照加入其中。推荐使用天根生化科技有限公司病毒DNA/RNA提取试剂盒（备案号：京海械备20150027）提取RNA，具体提取步骤请参照提取试剂盒说明书。</w:t>
      </w:r>
    </w:p>
    <w:p>
      <w:pPr>
        <w:pStyle w:val="12"/>
        <w:adjustRightInd w:val="0"/>
        <w:snapToGrid w:val="0"/>
        <w:spacing w:line="220" w:lineRule="exact"/>
        <w:rPr>
          <w:rFonts w:ascii="Times New Roman" w:hAnsi="Times New Roman"/>
          <w:sz w:val="16"/>
          <w:szCs w:val="21"/>
        </w:rPr>
      </w:pPr>
      <w:r>
        <w:rPr>
          <w:rFonts w:ascii="Times New Roman" w:hAnsi="Times New Roman"/>
          <w:b/>
          <w:sz w:val="16"/>
          <w:szCs w:val="21"/>
        </w:rPr>
        <w:t>二、PCR试剂配制（试剂准备区</w:t>
      </w:r>
      <w:r>
        <w:rPr>
          <w:rFonts w:ascii="Times New Roman" w:hAnsi="Times New Roman"/>
          <w:sz w:val="16"/>
          <w:szCs w:val="21"/>
        </w:rPr>
        <w:t>）</w:t>
      </w:r>
    </w:p>
    <w:p>
      <w:pPr>
        <w:pStyle w:val="12"/>
        <w:adjustRightInd w:val="0"/>
        <w:snapToGrid w:val="0"/>
        <w:spacing w:line="220" w:lineRule="exact"/>
        <w:ind w:firstLine="320" w:firstLineChars="200"/>
        <w:rPr>
          <w:rFonts w:ascii="Times New Roman" w:hAnsi="Times New Roman"/>
          <w:sz w:val="16"/>
          <w:szCs w:val="21"/>
        </w:rPr>
      </w:pPr>
      <w:r>
        <w:rPr>
          <w:rFonts w:ascii="Times New Roman" w:hAnsi="Times New Roman"/>
          <w:sz w:val="16"/>
          <w:szCs w:val="21"/>
        </w:rPr>
        <w:t>1. 体系配</w:t>
      </w:r>
      <w:r>
        <w:rPr>
          <w:rFonts w:hint="eastAsia" w:ascii="Times New Roman" w:hAnsi="Times New Roman"/>
          <w:sz w:val="16"/>
          <w:szCs w:val="21"/>
        </w:rPr>
        <w:t>制</w:t>
      </w:r>
      <w:r>
        <w:rPr>
          <w:rFonts w:ascii="Times New Roman" w:hAnsi="Times New Roman"/>
          <w:sz w:val="16"/>
          <w:szCs w:val="21"/>
        </w:rPr>
        <w:t>：从试剂盒中取出试剂，待试剂完全解冻，颠倒混匀后瞬时离心。按</w:t>
      </w:r>
      <w:r>
        <w:rPr>
          <w:rFonts w:hint="eastAsia" w:ascii="Times New Roman" w:hAnsi="Times New Roman"/>
          <w:sz w:val="16"/>
          <w:szCs w:val="21"/>
        </w:rPr>
        <w:t>N个（N=待测样本数+阳性对照+阴性对照+1）反应配制体系</w:t>
      </w:r>
      <w:r>
        <w:rPr>
          <w:rFonts w:ascii="Times New Roman" w:hAnsi="Times New Roman"/>
          <w:sz w:val="16"/>
          <w:szCs w:val="21"/>
          <w:lang w:val="pt-BR"/>
        </w:rPr>
        <w:t>，反应体系配制如下表。</w:t>
      </w:r>
    </w:p>
    <w:tbl>
      <w:tblPr>
        <w:tblStyle w:val="7"/>
        <w:tblW w:w="499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28"/>
        <w:gridCol w:w="1614"/>
        <w:gridCol w:w="185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 w:hRule="atLeast"/>
        </w:trPr>
        <w:tc>
          <w:tcPr>
            <w:tcW w:w="1528" w:type="dxa"/>
            <w:vAlign w:val="center"/>
          </w:tcPr>
          <w:p>
            <w:pPr>
              <w:adjustRightInd w:val="0"/>
              <w:snapToGrid w:val="0"/>
              <w:spacing w:line="220" w:lineRule="exact"/>
              <w:jc w:val="center"/>
              <w:rPr>
                <w:sz w:val="16"/>
                <w:szCs w:val="21"/>
              </w:rPr>
            </w:pPr>
            <w:r>
              <w:rPr>
                <w:sz w:val="16"/>
                <w:szCs w:val="21"/>
              </w:rPr>
              <w:t>试剂盒组</w:t>
            </w:r>
            <w:r>
              <w:rPr>
                <w:rFonts w:hint="eastAsia"/>
                <w:sz w:val="16"/>
                <w:szCs w:val="21"/>
              </w:rPr>
              <w:t>分</w:t>
            </w:r>
          </w:p>
        </w:tc>
        <w:tc>
          <w:tcPr>
            <w:tcW w:w="1614" w:type="dxa"/>
            <w:vAlign w:val="center"/>
          </w:tcPr>
          <w:p>
            <w:pPr>
              <w:adjustRightInd w:val="0"/>
              <w:snapToGrid w:val="0"/>
              <w:spacing w:line="220" w:lineRule="exact"/>
              <w:jc w:val="center"/>
              <w:rPr>
                <w:sz w:val="16"/>
                <w:szCs w:val="21"/>
              </w:rPr>
            </w:pPr>
            <w:r>
              <w:rPr>
                <w:sz w:val="16"/>
                <w:szCs w:val="21"/>
              </w:rPr>
              <w:t>加量/反应</w:t>
            </w:r>
          </w:p>
        </w:tc>
        <w:tc>
          <w:tcPr>
            <w:tcW w:w="1856" w:type="dxa"/>
            <w:vAlign w:val="center"/>
          </w:tcPr>
          <w:p>
            <w:pPr>
              <w:adjustRightInd w:val="0"/>
              <w:snapToGrid w:val="0"/>
              <w:spacing w:line="220" w:lineRule="exact"/>
              <w:jc w:val="center"/>
              <w:rPr>
                <w:sz w:val="16"/>
                <w:szCs w:val="21"/>
              </w:rPr>
            </w:pPr>
            <w:r>
              <w:rPr>
                <w:sz w:val="16"/>
                <w:szCs w:val="21"/>
              </w:rPr>
              <w:t>加量/N个反应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 w:hRule="atLeast"/>
        </w:trPr>
        <w:tc>
          <w:tcPr>
            <w:tcW w:w="1528" w:type="dxa"/>
            <w:vAlign w:val="center"/>
          </w:tcPr>
          <w:p>
            <w:pPr>
              <w:adjustRightInd w:val="0"/>
              <w:snapToGrid w:val="0"/>
              <w:spacing w:line="220" w:lineRule="exact"/>
              <w:jc w:val="center"/>
              <w:rPr>
                <w:sz w:val="16"/>
                <w:szCs w:val="21"/>
              </w:rPr>
            </w:pPr>
            <w:r>
              <w:rPr>
                <w:sz w:val="16"/>
                <w:szCs w:val="21"/>
              </w:rPr>
              <w:t>2×核酸扩增反应液</w:t>
            </w:r>
          </w:p>
        </w:tc>
        <w:tc>
          <w:tcPr>
            <w:tcW w:w="1614" w:type="dxa"/>
            <w:vAlign w:val="center"/>
          </w:tcPr>
          <w:p>
            <w:pPr>
              <w:pStyle w:val="21"/>
              <w:snapToGrid w:val="0"/>
              <w:spacing w:line="220" w:lineRule="exact"/>
              <w:jc w:val="center"/>
              <w:rPr>
                <w:rFonts w:ascii="Times New Roman" w:eastAsia="宋体" w:cs="Times New Roman"/>
                <w:color w:val="auto"/>
                <w:kern w:val="2"/>
                <w:sz w:val="16"/>
                <w:szCs w:val="21"/>
              </w:rPr>
            </w:pPr>
            <w:r>
              <w:rPr>
                <w:rFonts w:ascii="Times New Roman" w:eastAsia="宋体" w:cs="Times New Roman"/>
                <w:color w:val="auto"/>
                <w:kern w:val="2"/>
                <w:sz w:val="16"/>
                <w:szCs w:val="21"/>
              </w:rPr>
              <w:t>10μL</w:t>
            </w:r>
          </w:p>
        </w:tc>
        <w:tc>
          <w:tcPr>
            <w:tcW w:w="1856" w:type="dxa"/>
            <w:vAlign w:val="center"/>
          </w:tcPr>
          <w:p>
            <w:pPr>
              <w:pStyle w:val="21"/>
              <w:snapToGrid w:val="0"/>
              <w:spacing w:line="220" w:lineRule="exact"/>
              <w:jc w:val="center"/>
              <w:rPr>
                <w:rFonts w:ascii="Times New Roman" w:eastAsia="宋体" w:cs="Times New Roman"/>
                <w:color w:val="auto"/>
                <w:kern w:val="2"/>
                <w:sz w:val="16"/>
                <w:szCs w:val="21"/>
              </w:rPr>
            </w:pPr>
            <w:r>
              <w:rPr>
                <w:rFonts w:ascii="Times New Roman" w:eastAsia="宋体" w:cs="Times New Roman"/>
                <w:color w:val="auto"/>
                <w:kern w:val="2"/>
                <w:sz w:val="16"/>
                <w:szCs w:val="21"/>
              </w:rPr>
              <w:t>10μL×N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 w:hRule="atLeast"/>
        </w:trPr>
        <w:tc>
          <w:tcPr>
            <w:tcW w:w="1528" w:type="dxa"/>
            <w:vAlign w:val="center"/>
          </w:tcPr>
          <w:p>
            <w:pPr>
              <w:adjustRightInd w:val="0"/>
              <w:snapToGrid w:val="0"/>
              <w:spacing w:line="220" w:lineRule="exact"/>
              <w:jc w:val="center"/>
              <w:rPr>
                <w:sz w:val="16"/>
                <w:szCs w:val="21"/>
              </w:rPr>
            </w:pPr>
            <w:r>
              <w:rPr>
                <w:sz w:val="16"/>
                <w:szCs w:val="21"/>
              </w:rPr>
              <w:t>10×</w:t>
            </w:r>
            <w:r>
              <w:rPr>
                <w:rFonts w:hint="eastAsia"/>
                <w:sz w:val="16"/>
                <w:szCs w:val="21"/>
              </w:rPr>
              <w:t>EU反应液</w:t>
            </w:r>
          </w:p>
        </w:tc>
        <w:tc>
          <w:tcPr>
            <w:tcW w:w="1614" w:type="dxa"/>
            <w:vAlign w:val="center"/>
          </w:tcPr>
          <w:p>
            <w:pPr>
              <w:pStyle w:val="21"/>
              <w:snapToGrid w:val="0"/>
              <w:spacing w:line="220" w:lineRule="exact"/>
              <w:jc w:val="center"/>
              <w:rPr>
                <w:rFonts w:ascii="Times New Roman" w:eastAsia="宋体" w:cs="Times New Roman"/>
                <w:color w:val="auto"/>
                <w:kern w:val="2"/>
                <w:sz w:val="16"/>
                <w:szCs w:val="21"/>
              </w:rPr>
            </w:pPr>
            <w:r>
              <w:rPr>
                <w:rFonts w:ascii="Times New Roman" w:eastAsia="宋体" w:cs="Times New Roman"/>
                <w:color w:val="auto"/>
                <w:kern w:val="2"/>
                <w:sz w:val="16"/>
                <w:szCs w:val="21"/>
              </w:rPr>
              <w:t>2μL</w:t>
            </w:r>
          </w:p>
        </w:tc>
        <w:tc>
          <w:tcPr>
            <w:tcW w:w="1856" w:type="dxa"/>
            <w:vAlign w:val="center"/>
          </w:tcPr>
          <w:p>
            <w:pPr>
              <w:pStyle w:val="21"/>
              <w:snapToGrid w:val="0"/>
              <w:spacing w:line="220" w:lineRule="exact"/>
              <w:jc w:val="center"/>
              <w:rPr>
                <w:rFonts w:ascii="Times New Roman" w:eastAsia="宋体" w:cs="Times New Roman"/>
                <w:color w:val="auto"/>
                <w:kern w:val="2"/>
                <w:sz w:val="16"/>
                <w:szCs w:val="21"/>
              </w:rPr>
            </w:pPr>
            <w:r>
              <w:rPr>
                <w:rFonts w:ascii="Times New Roman" w:eastAsia="宋体" w:cs="Times New Roman"/>
                <w:color w:val="auto"/>
                <w:kern w:val="2"/>
                <w:sz w:val="16"/>
                <w:szCs w:val="21"/>
              </w:rPr>
              <w:t>2μL×N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 w:hRule="atLeast"/>
        </w:trPr>
        <w:tc>
          <w:tcPr>
            <w:tcW w:w="1528" w:type="dxa"/>
            <w:vAlign w:val="center"/>
          </w:tcPr>
          <w:p>
            <w:pPr>
              <w:adjustRightInd w:val="0"/>
              <w:snapToGrid w:val="0"/>
              <w:spacing w:line="220" w:lineRule="exact"/>
              <w:jc w:val="center"/>
              <w:rPr>
                <w:sz w:val="16"/>
                <w:szCs w:val="21"/>
              </w:rPr>
            </w:pPr>
            <w:r>
              <w:rPr>
                <w:sz w:val="16"/>
                <w:szCs w:val="21"/>
              </w:rPr>
              <w:t>20×逆转录酶</w:t>
            </w:r>
          </w:p>
        </w:tc>
        <w:tc>
          <w:tcPr>
            <w:tcW w:w="1614" w:type="dxa"/>
            <w:vAlign w:val="center"/>
          </w:tcPr>
          <w:p>
            <w:pPr>
              <w:pStyle w:val="21"/>
              <w:snapToGrid w:val="0"/>
              <w:spacing w:line="220" w:lineRule="exact"/>
              <w:jc w:val="center"/>
              <w:rPr>
                <w:rFonts w:ascii="Times New Roman" w:eastAsia="宋体" w:cs="Times New Roman"/>
                <w:color w:val="auto"/>
                <w:kern w:val="2"/>
                <w:sz w:val="16"/>
                <w:szCs w:val="21"/>
              </w:rPr>
            </w:pPr>
            <w:r>
              <w:rPr>
                <w:rFonts w:ascii="Times New Roman" w:eastAsia="宋体" w:cs="Times New Roman"/>
                <w:color w:val="auto"/>
                <w:kern w:val="2"/>
                <w:sz w:val="16"/>
                <w:szCs w:val="21"/>
              </w:rPr>
              <w:t>1μL</w:t>
            </w:r>
          </w:p>
        </w:tc>
        <w:tc>
          <w:tcPr>
            <w:tcW w:w="1856" w:type="dxa"/>
            <w:vAlign w:val="center"/>
          </w:tcPr>
          <w:p>
            <w:pPr>
              <w:pStyle w:val="21"/>
              <w:snapToGrid w:val="0"/>
              <w:spacing w:line="220" w:lineRule="exact"/>
              <w:jc w:val="center"/>
              <w:rPr>
                <w:rFonts w:ascii="Times New Roman" w:eastAsia="宋体" w:cs="Times New Roman"/>
                <w:color w:val="auto"/>
                <w:kern w:val="2"/>
                <w:sz w:val="16"/>
                <w:szCs w:val="21"/>
              </w:rPr>
            </w:pPr>
            <w:r>
              <w:rPr>
                <w:rFonts w:ascii="Times New Roman" w:eastAsia="宋体" w:cs="Times New Roman"/>
                <w:color w:val="auto"/>
                <w:kern w:val="2"/>
                <w:sz w:val="16"/>
                <w:szCs w:val="21"/>
              </w:rPr>
              <w:t>1μL×N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8" w:type="dxa"/>
            <w:vAlign w:val="center"/>
          </w:tcPr>
          <w:p>
            <w:pPr>
              <w:adjustRightInd w:val="0"/>
              <w:snapToGrid w:val="0"/>
              <w:spacing w:line="220" w:lineRule="exact"/>
              <w:jc w:val="center"/>
              <w:rPr>
                <w:sz w:val="16"/>
                <w:szCs w:val="21"/>
              </w:rPr>
            </w:pPr>
            <w:r>
              <w:rPr>
                <w:sz w:val="16"/>
                <w:szCs w:val="21"/>
              </w:rPr>
              <w:t>无核酸酶水</w:t>
            </w:r>
          </w:p>
        </w:tc>
        <w:tc>
          <w:tcPr>
            <w:tcW w:w="1614" w:type="dxa"/>
            <w:vAlign w:val="center"/>
          </w:tcPr>
          <w:p>
            <w:pPr>
              <w:pStyle w:val="21"/>
              <w:snapToGrid w:val="0"/>
              <w:spacing w:line="220" w:lineRule="exact"/>
              <w:jc w:val="center"/>
              <w:rPr>
                <w:rFonts w:ascii="Times New Roman" w:eastAsia="宋体" w:cs="Times New Roman"/>
                <w:color w:val="auto"/>
                <w:kern w:val="2"/>
                <w:sz w:val="16"/>
                <w:szCs w:val="21"/>
              </w:rPr>
            </w:pPr>
            <w:r>
              <w:rPr>
                <w:rFonts w:ascii="Times New Roman" w:eastAsia="宋体" w:cs="Times New Roman"/>
                <w:color w:val="auto"/>
                <w:kern w:val="2"/>
                <w:sz w:val="16"/>
                <w:szCs w:val="21"/>
              </w:rPr>
              <w:t>2μL</w:t>
            </w:r>
          </w:p>
        </w:tc>
        <w:tc>
          <w:tcPr>
            <w:tcW w:w="1856" w:type="dxa"/>
            <w:vAlign w:val="center"/>
          </w:tcPr>
          <w:p>
            <w:pPr>
              <w:pStyle w:val="21"/>
              <w:snapToGrid w:val="0"/>
              <w:spacing w:line="220" w:lineRule="exact"/>
              <w:jc w:val="center"/>
              <w:rPr>
                <w:rFonts w:ascii="Times New Roman" w:eastAsia="宋体" w:cs="Times New Roman"/>
                <w:color w:val="auto"/>
                <w:kern w:val="2"/>
                <w:sz w:val="16"/>
                <w:szCs w:val="21"/>
              </w:rPr>
            </w:pPr>
            <w:r>
              <w:rPr>
                <w:rFonts w:ascii="Times New Roman" w:eastAsia="宋体" w:cs="Times New Roman"/>
                <w:color w:val="auto"/>
                <w:kern w:val="2"/>
                <w:sz w:val="16"/>
                <w:szCs w:val="21"/>
              </w:rPr>
              <w:t>2μL×N</w:t>
            </w:r>
          </w:p>
        </w:tc>
      </w:tr>
    </w:tbl>
    <w:p>
      <w:pPr>
        <w:pStyle w:val="12"/>
        <w:adjustRightInd w:val="0"/>
        <w:snapToGrid w:val="0"/>
        <w:spacing w:line="220" w:lineRule="exact"/>
        <w:ind w:firstLine="320" w:firstLineChars="200"/>
        <w:rPr>
          <w:rFonts w:ascii="Times New Roman" w:hAnsi="Times New Roman"/>
          <w:sz w:val="16"/>
          <w:szCs w:val="21"/>
        </w:rPr>
      </w:pPr>
      <w:r>
        <w:rPr>
          <w:rFonts w:ascii="Times New Roman" w:hAnsi="Times New Roman"/>
          <w:sz w:val="16"/>
          <w:szCs w:val="21"/>
        </w:rPr>
        <w:t>2. 体系分装：将上述反应液混匀离心后，按照每管15μL分装于荧光PCR仪适用的PCR管中。</w:t>
      </w:r>
    </w:p>
    <w:p>
      <w:pPr>
        <w:pStyle w:val="12"/>
        <w:adjustRightInd w:val="0"/>
        <w:snapToGrid w:val="0"/>
        <w:spacing w:line="220" w:lineRule="exact"/>
        <w:rPr>
          <w:rFonts w:ascii="Times New Roman" w:hAnsi="Times New Roman"/>
          <w:sz w:val="16"/>
          <w:szCs w:val="21"/>
        </w:rPr>
      </w:pPr>
      <w:r>
        <w:rPr>
          <w:rFonts w:ascii="Times New Roman" w:hAnsi="Times New Roman"/>
          <w:b/>
          <w:sz w:val="16"/>
          <w:szCs w:val="21"/>
        </w:rPr>
        <w:t>三、加样（样本处理区）</w:t>
      </w:r>
    </w:p>
    <w:p>
      <w:pPr>
        <w:pStyle w:val="12"/>
        <w:adjustRightInd w:val="0"/>
        <w:snapToGrid w:val="0"/>
        <w:spacing w:line="220" w:lineRule="exact"/>
        <w:ind w:firstLine="320" w:firstLineChars="200"/>
        <w:rPr>
          <w:rFonts w:ascii="Times New Roman" w:hAnsi="Times New Roman"/>
          <w:sz w:val="16"/>
          <w:szCs w:val="21"/>
        </w:rPr>
      </w:pPr>
      <w:r>
        <w:rPr>
          <w:rFonts w:hint="eastAsia" w:ascii="Times New Roman" w:hAnsi="Times New Roman"/>
          <w:sz w:val="16"/>
          <w:szCs w:val="21"/>
        </w:rPr>
        <w:t>在分装好试剂的</w:t>
      </w:r>
      <w:r>
        <w:rPr>
          <w:rFonts w:ascii="Times New Roman" w:hAnsi="Times New Roman"/>
          <w:sz w:val="16"/>
          <w:szCs w:val="21"/>
        </w:rPr>
        <w:t>PCR</w:t>
      </w:r>
      <w:r>
        <w:rPr>
          <w:rFonts w:hint="eastAsia" w:ascii="Times New Roman" w:hAnsi="Times New Roman"/>
          <w:sz w:val="16"/>
          <w:szCs w:val="21"/>
        </w:rPr>
        <w:t>反应管中分别加入</w:t>
      </w:r>
      <w:r>
        <w:rPr>
          <w:rFonts w:ascii="Times New Roman" w:hAnsi="Times New Roman"/>
          <w:sz w:val="16"/>
          <w:szCs w:val="21"/>
        </w:rPr>
        <w:t>5μL</w:t>
      </w:r>
      <w:r>
        <w:rPr>
          <w:rFonts w:hint="eastAsia" w:ascii="Times New Roman" w:hAnsi="Times New Roman"/>
          <w:sz w:val="16"/>
          <w:szCs w:val="21"/>
        </w:rPr>
        <w:t>提取的待测样本</w:t>
      </w:r>
      <w:r>
        <w:rPr>
          <w:rFonts w:ascii="Times New Roman" w:hAnsi="Times New Roman"/>
          <w:sz w:val="16"/>
          <w:szCs w:val="21"/>
        </w:rPr>
        <w:t>RNA</w:t>
      </w:r>
      <w:r>
        <w:rPr>
          <w:rFonts w:hint="eastAsia" w:ascii="Times New Roman" w:hAnsi="Times New Roman"/>
          <w:sz w:val="16"/>
          <w:szCs w:val="21"/>
        </w:rPr>
        <w:t>、阳性对照</w:t>
      </w:r>
      <w:r>
        <w:rPr>
          <w:rFonts w:ascii="Times New Roman" w:hAnsi="Times New Roman"/>
          <w:sz w:val="16"/>
          <w:szCs w:val="21"/>
        </w:rPr>
        <w:t>RNA</w:t>
      </w:r>
      <w:r>
        <w:rPr>
          <w:rFonts w:hint="eastAsia" w:ascii="Times New Roman" w:hAnsi="Times New Roman"/>
          <w:sz w:val="16"/>
          <w:szCs w:val="21"/>
        </w:rPr>
        <w:t>和阴性对照</w:t>
      </w:r>
      <w:r>
        <w:rPr>
          <w:rFonts w:ascii="Times New Roman" w:hAnsi="Times New Roman"/>
          <w:sz w:val="16"/>
          <w:szCs w:val="21"/>
        </w:rPr>
        <w:t>RNA</w:t>
      </w:r>
      <w:r>
        <w:rPr>
          <w:rFonts w:hint="eastAsia" w:ascii="Times New Roman" w:hAnsi="Times New Roman"/>
          <w:sz w:val="16"/>
          <w:szCs w:val="21"/>
        </w:rPr>
        <w:t>，总反应体积为</w:t>
      </w:r>
      <w:r>
        <w:rPr>
          <w:rFonts w:ascii="Times New Roman" w:hAnsi="Times New Roman"/>
          <w:sz w:val="16"/>
          <w:szCs w:val="21"/>
        </w:rPr>
        <w:t>20μL</w:t>
      </w:r>
      <w:r>
        <w:rPr>
          <w:rFonts w:hint="eastAsia" w:ascii="Times New Roman" w:hAnsi="Times New Roman"/>
          <w:sz w:val="16"/>
          <w:szCs w:val="21"/>
        </w:rPr>
        <w:t>。扣紧管盖，离心数秒后移至扩增检测区</w:t>
      </w:r>
      <w:r>
        <w:rPr>
          <w:rFonts w:ascii="Times New Roman" w:hAnsi="Times New Roman"/>
          <w:sz w:val="16"/>
          <w:szCs w:val="21"/>
        </w:rPr>
        <w:t>。</w:t>
      </w:r>
    </w:p>
    <w:p>
      <w:pPr>
        <w:pStyle w:val="12"/>
        <w:adjustRightInd w:val="0"/>
        <w:snapToGrid w:val="0"/>
        <w:spacing w:line="220" w:lineRule="exact"/>
        <w:rPr>
          <w:rFonts w:ascii="Times New Roman" w:hAnsi="Times New Roman"/>
          <w:sz w:val="16"/>
          <w:szCs w:val="21"/>
        </w:rPr>
      </w:pPr>
      <w:r>
        <w:rPr>
          <w:rFonts w:ascii="Times New Roman" w:hAnsi="Times New Roman"/>
          <w:b/>
          <w:sz w:val="16"/>
          <w:szCs w:val="21"/>
        </w:rPr>
        <w:t>四、PCR扩增检测(扩增检测区)</w:t>
      </w:r>
    </w:p>
    <w:p>
      <w:pPr>
        <w:pStyle w:val="12"/>
        <w:adjustRightInd w:val="0"/>
        <w:snapToGrid w:val="0"/>
        <w:spacing w:line="220" w:lineRule="exact"/>
        <w:ind w:firstLine="320" w:firstLineChars="200"/>
        <w:rPr>
          <w:rFonts w:ascii="Times New Roman" w:hAnsi="Times New Roman"/>
          <w:sz w:val="16"/>
          <w:szCs w:val="21"/>
        </w:rPr>
      </w:pPr>
      <w:r>
        <w:rPr>
          <w:rFonts w:ascii="Times New Roman" w:hAnsi="Times New Roman"/>
          <w:sz w:val="16"/>
          <w:szCs w:val="21"/>
        </w:rPr>
        <w:t>1. 将PCR反应管放入荧光PCR扩增仪进行扩增检测。</w:t>
      </w:r>
    </w:p>
    <w:p>
      <w:pPr>
        <w:pStyle w:val="12"/>
        <w:adjustRightInd w:val="0"/>
        <w:snapToGrid w:val="0"/>
        <w:spacing w:line="220" w:lineRule="exact"/>
        <w:ind w:firstLine="320" w:firstLineChars="200"/>
        <w:rPr>
          <w:rFonts w:ascii="Times New Roman" w:hAnsi="Times New Roman"/>
          <w:sz w:val="16"/>
          <w:szCs w:val="21"/>
        </w:rPr>
      </w:pPr>
      <w:r>
        <w:rPr>
          <w:rFonts w:ascii="Times New Roman" w:hAnsi="Times New Roman"/>
          <w:sz w:val="16"/>
          <w:szCs w:val="21"/>
        </w:rPr>
        <w:t xml:space="preserve">2. 循环参数设定： </w:t>
      </w:r>
    </w:p>
    <w:tbl>
      <w:tblPr>
        <w:tblStyle w:val="7"/>
        <w:tblW w:w="4745" w:type="dxa"/>
        <w:jc w:val="center"/>
        <w:tblLayout w:type="fixed"/>
        <w:tblCellMar>
          <w:top w:w="0" w:type="dxa"/>
          <w:left w:w="108" w:type="dxa"/>
          <w:bottom w:w="0" w:type="dxa"/>
          <w:right w:w="108" w:type="dxa"/>
        </w:tblCellMar>
      </w:tblPr>
      <w:tblGrid>
        <w:gridCol w:w="565"/>
        <w:gridCol w:w="861"/>
        <w:gridCol w:w="1185"/>
        <w:gridCol w:w="1093"/>
        <w:gridCol w:w="1041"/>
      </w:tblGrid>
      <w:tr>
        <w:tblPrEx>
          <w:tblCellMar>
            <w:top w:w="0" w:type="dxa"/>
            <w:left w:w="108" w:type="dxa"/>
            <w:bottom w:w="0" w:type="dxa"/>
            <w:right w:w="108" w:type="dxa"/>
          </w:tblCellMar>
        </w:tblPrEx>
        <w:trPr>
          <w:trHeight w:val="154" w:hRule="atLeast"/>
          <w:jc w:val="center"/>
        </w:trPr>
        <w:tc>
          <w:tcPr>
            <w:tcW w:w="56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程序</w:t>
            </w:r>
          </w:p>
        </w:tc>
        <w:tc>
          <w:tcPr>
            <w:tcW w:w="8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循环数</w:t>
            </w:r>
          </w:p>
        </w:tc>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温度</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反应时间</w:t>
            </w:r>
          </w:p>
        </w:tc>
      </w:tr>
      <w:tr>
        <w:tblPrEx>
          <w:tblCellMar>
            <w:top w:w="0" w:type="dxa"/>
            <w:left w:w="108" w:type="dxa"/>
            <w:bottom w:w="0" w:type="dxa"/>
            <w:right w:w="108" w:type="dxa"/>
          </w:tblCellMar>
        </w:tblPrEx>
        <w:trPr>
          <w:trHeight w:val="154" w:hRule="atLeast"/>
          <w:jc w:val="center"/>
        </w:trPr>
        <w:tc>
          <w:tcPr>
            <w:tcW w:w="56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1</w:t>
            </w:r>
          </w:p>
        </w:tc>
        <w:tc>
          <w:tcPr>
            <w:tcW w:w="8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1</w:t>
            </w:r>
          </w:p>
        </w:tc>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45</w:t>
            </w:r>
            <w:r>
              <w:rPr>
                <w:rFonts w:hint="eastAsia"/>
                <w:sz w:val="16"/>
                <w:szCs w:val="21"/>
              </w:rPr>
              <w:t>℃</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20min</w:t>
            </w:r>
          </w:p>
        </w:tc>
      </w:tr>
      <w:tr>
        <w:tblPrEx>
          <w:tblCellMar>
            <w:top w:w="0" w:type="dxa"/>
            <w:left w:w="108" w:type="dxa"/>
            <w:bottom w:w="0" w:type="dxa"/>
            <w:right w:w="108" w:type="dxa"/>
          </w:tblCellMar>
        </w:tblPrEx>
        <w:trPr>
          <w:trHeight w:val="154" w:hRule="atLeast"/>
          <w:jc w:val="center"/>
        </w:trPr>
        <w:tc>
          <w:tcPr>
            <w:tcW w:w="56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2</w:t>
            </w:r>
          </w:p>
        </w:tc>
        <w:tc>
          <w:tcPr>
            <w:tcW w:w="86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1</w:t>
            </w:r>
          </w:p>
        </w:tc>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95</w:t>
            </w:r>
            <w:r>
              <w:rPr>
                <w:rFonts w:hint="eastAsia"/>
                <w:sz w:val="16"/>
                <w:szCs w:val="21"/>
              </w:rPr>
              <w:t>℃</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5min</w:t>
            </w:r>
          </w:p>
        </w:tc>
      </w:tr>
      <w:tr>
        <w:tblPrEx>
          <w:tblCellMar>
            <w:top w:w="0" w:type="dxa"/>
            <w:left w:w="108" w:type="dxa"/>
            <w:bottom w:w="0" w:type="dxa"/>
            <w:right w:w="108" w:type="dxa"/>
          </w:tblCellMar>
        </w:tblPrEx>
        <w:trPr>
          <w:trHeight w:val="154" w:hRule="atLeast"/>
          <w:jc w:val="center"/>
        </w:trPr>
        <w:tc>
          <w:tcPr>
            <w:tcW w:w="565" w:type="dxa"/>
            <w:vMerge w:val="restart"/>
            <w:tcBorders>
              <w:top w:val="single" w:color="auto" w:sz="4" w:space="0"/>
              <w:left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3</w:t>
            </w:r>
          </w:p>
        </w:tc>
        <w:tc>
          <w:tcPr>
            <w:tcW w:w="861" w:type="dxa"/>
            <w:vMerge w:val="restart"/>
            <w:tcBorders>
              <w:top w:val="single" w:color="auto" w:sz="4" w:space="0"/>
              <w:left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45</w:t>
            </w:r>
          </w:p>
        </w:tc>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95</w:t>
            </w:r>
            <w:r>
              <w:rPr>
                <w:rFonts w:hint="eastAsia"/>
                <w:sz w:val="16"/>
                <w:szCs w:val="21"/>
              </w:rPr>
              <w:t>℃</w:t>
            </w:r>
          </w:p>
        </w:tc>
        <w:tc>
          <w:tcPr>
            <w:tcW w:w="213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15sec</w:t>
            </w:r>
          </w:p>
        </w:tc>
      </w:tr>
      <w:tr>
        <w:tblPrEx>
          <w:tblCellMar>
            <w:top w:w="0" w:type="dxa"/>
            <w:left w:w="108" w:type="dxa"/>
            <w:bottom w:w="0" w:type="dxa"/>
            <w:right w:w="108" w:type="dxa"/>
          </w:tblCellMar>
        </w:tblPrEx>
        <w:trPr>
          <w:trHeight w:val="45" w:hRule="atLeast"/>
          <w:jc w:val="center"/>
        </w:trPr>
        <w:tc>
          <w:tcPr>
            <w:tcW w:w="565" w:type="dxa"/>
            <w:vMerge w:val="continue"/>
            <w:tcBorders>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p>
        </w:tc>
        <w:tc>
          <w:tcPr>
            <w:tcW w:w="861" w:type="dxa"/>
            <w:vMerge w:val="continue"/>
            <w:tcBorders>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p>
        </w:tc>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55</w:t>
            </w:r>
            <w:r>
              <w:rPr>
                <w:rFonts w:hint="eastAsia"/>
                <w:sz w:val="16"/>
                <w:szCs w:val="21"/>
              </w:rPr>
              <w:t>℃</w:t>
            </w:r>
          </w:p>
        </w:tc>
        <w:tc>
          <w:tcPr>
            <w:tcW w:w="109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45sec</w:t>
            </w:r>
          </w:p>
        </w:tc>
        <w:tc>
          <w:tcPr>
            <w:tcW w:w="1041"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20" w:lineRule="exact"/>
              <w:jc w:val="center"/>
              <w:rPr>
                <w:sz w:val="16"/>
                <w:szCs w:val="21"/>
              </w:rPr>
            </w:pPr>
            <w:r>
              <w:rPr>
                <w:sz w:val="16"/>
                <w:szCs w:val="21"/>
              </w:rPr>
              <w:t>采集荧光</w:t>
            </w:r>
          </w:p>
        </w:tc>
      </w:tr>
    </w:tbl>
    <w:p>
      <w:pPr>
        <w:pStyle w:val="12"/>
        <w:adjustRightInd w:val="0"/>
        <w:snapToGrid w:val="0"/>
        <w:spacing w:line="220" w:lineRule="exact"/>
        <w:rPr>
          <w:rFonts w:ascii="Times New Roman" w:hAnsi="Times New Roman"/>
          <w:sz w:val="16"/>
          <w:szCs w:val="21"/>
        </w:rPr>
      </w:pPr>
      <w:r>
        <w:rPr>
          <w:rFonts w:ascii="Times New Roman" w:hAnsi="Times New Roman"/>
          <w:sz w:val="16"/>
          <w:szCs w:val="21"/>
        </w:rPr>
        <w:t>3. 检测设置：</w:t>
      </w:r>
    </w:p>
    <w:p>
      <w:pPr>
        <w:pStyle w:val="12"/>
        <w:adjustRightInd w:val="0"/>
        <w:snapToGrid w:val="0"/>
        <w:spacing w:line="220" w:lineRule="exact"/>
        <w:ind w:firstLine="320" w:firstLineChars="200"/>
        <w:rPr>
          <w:rFonts w:ascii="Times New Roman" w:hAnsi="Times New Roman"/>
          <w:sz w:val="16"/>
          <w:szCs w:val="21"/>
        </w:rPr>
      </w:pPr>
      <w:r>
        <w:rPr>
          <w:rFonts w:hint="eastAsia" w:ascii="Times New Roman" w:hAnsi="Times New Roman"/>
          <w:sz w:val="16"/>
          <w:szCs w:val="21"/>
        </w:rPr>
        <w:t>检测通道分别设置为FAM、CY5，分别对应肠道病毒通用型和内标对照。</w:t>
      </w:r>
    </w:p>
    <w:p>
      <w:pPr>
        <w:pStyle w:val="12"/>
        <w:adjustRightInd w:val="0"/>
        <w:snapToGrid w:val="0"/>
        <w:spacing w:line="220" w:lineRule="exact"/>
        <w:ind w:firstLine="320" w:firstLineChars="200"/>
        <w:rPr>
          <w:rFonts w:ascii="Times New Roman" w:hAnsi="Times New Roman"/>
          <w:sz w:val="16"/>
          <w:szCs w:val="21"/>
        </w:rPr>
      </w:pPr>
      <w:r>
        <w:rPr>
          <w:rFonts w:hint="eastAsia" w:ascii="Times New Roman" w:hAnsi="Times New Roman"/>
          <w:sz w:val="16"/>
          <w:szCs w:val="21"/>
        </w:rPr>
        <w:t>（1） ABI 7500 仪器中“Quencher Dye”和“Passive Reference”均设置为None。按照样本对应顺序设置阳性对照、阴性对照和样本，并在“样本名称”一栏中设置样本名称</w:t>
      </w:r>
      <w:r>
        <w:rPr>
          <w:rFonts w:ascii="Times New Roman" w:hAnsi="Times New Roman"/>
          <w:sz w:val="16"/>
          <w:szCs w:val="21"/>
        </w:rPr>
        <w:t>。</w:t>
      </w:r>
    </w:p>
    <w:p>
      <w:pPr>
        <w:pStyle w:val="12"/>
        <w:adjustRightInd w:val="0"/>
        <w:snapToGrid w:val="0"/>
        <w:spacing w:line="220" w:lineRule="exact"/>
        <w:ind w:firstLine="320" w:firstLineChars="200"/>
        <w:rPr>
          <w:rFonts w:ascii="Times New Roman" w:hAnsi="Times New Roman"/>
          <w:sz w:val="16"/>
          <w:szCs w:val="21"/>
        </w:rPr>
      </w:pPr>
      <w:r>
        <w:rPr>
          <w:rFonts w:hint="eastAsia" w:ascii="Times New Roman" w:hAnsi="Times New Roman"/>
          <w:sz w:val="16"/>
          <w:szCs w:val="21"/>
        </w:rPr>
        <w:t>（2） Roche LightCycler480Ⅱ、Roche Cobas z480仪器中选择New Experiment，在setup设置面板Detection format下拉菜单中选择样本检测的靶通道FAM（</w:t>
      </w:r>
      <w:r>
        <w:rPr>
          <w:rFonts w:ascii="Times New Roman" w:hAnsi="Times New Roman"/>
          <w:sz w:val="16"/>
          <w:szCs w:val="21"/>
        </w:rPr>
        <w:t>483~533nm</w:t>
      </w:r>
      <w:r>
        <w:rPr>
          <w:rFonts w:hint="eastAsia" w:ascii="Times New Roman" w:hAnsi="Times New Roman"/>
          <w:sz w:val="16"/>
          <w:szCs w:val="21"/>
        </w:rPr>
        <w:t>）、CY5（</w:t>
      </w:r>
      <w:r>
        <w:rPr>
          <w:rFonts w:ascii="Times New Roman" w:hAnsi="Times New Roman"/>
          <w:sz w:val="16"/>
          <w:szCs w:val="21"/>
        </w:rPr>
        <w:t>615~670nm</w:t>
      </w:r>
      <w:r>
        <w:rPr>
          <w:rFonts w:hint="eastAsia" w:ascii="Times New Roman" w:hAnsi="Times New Roman"/>
          <w:sz w:val="16"/>
          <w:szCs w:val="21"/>
        </w:rPr>
        <w:t>），设置Reaction Volume为20。仪器参数设置如下（没有列出的参数，选仪器默认值）：</w:t>
      </w:r>
    </w:p>
    <w:tbl>
      <w:tblPr>
        <w:tblStyle w:val="7"/>
        <w:tblW w:w="47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572"/>
        <w:gridCol w:w="677"/>
        <w:gridCol w:w="992"/>
        <w:gridCol w:w="898"/>
        <w:gridCol w:w="9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 w:hRule="atLeast"/>
          <w:jc w:val="center"/>
        </w:trPr>
        <w:tc>
          <w:tcPr>
            <w:tcW w:w="690" w:type="dxa"/>
            <w:vAlign w:val="center"/>
          </w:tcPr>
          <w:p>
            <w:pPr>
              <w:spacing w:line="220" w:lineRule="exact"/>
              <w:jc w:val="center"/>
              <w:rPr>
                <w:sz w:val="13"/>
                <w:szCs w:val="13"/>
              </w:rPr>
            </w:pPr>
            <w:r>
              <w:rPr>
                <w:rFonts w:hint="eastAsia"/>
                <w:sz w:val="13"/>
                <w:szCs w:val="13"/>
              </w:rPr>
              <w:t>Program</w:t>
            </w:r>
          </w:p>
        </w:tc>
        <w:tc>
          <w:tcPr>
            <w:tcW w:w="572" w:type="dxa"/>
            <w:vAlign w:val="center"/>
          </w:tcPr>
          <w:p>
            <w:pPr>
              <w:spacing w:line="220" w:lineRule="exact"/>
              <w:jc w:val="center"/>
              <w:rPr>
                <w:sz w:val="13"/>
                <w:szCs w:val="13"/>
              </w:rPr>
            </w:pPr>
            <w:r>
              <w:rPr>
                <w:rFonts w:hint="eastAsia"/>
                <w:sz w:val="13"/>
                <w:szCs w:val="13"/>
              </w:rPr>
              <w:t>Cycles</w:t>
            </w:r>
          </w:p>
        </w:tc>
        <w:tc>
          <w:tcPr>
            <w:tcW w:w="677" w:type="dxa"/>
            <w:vAlign w:val="center"/>
          </w:tcPr>
          <w:p>
            <w:pPr>
              <w:spacing w:line="220" w:lineRule="exact"/>
              <w:jc w:val="center"/>
              <w:rPr>
                <w:sz w:val="13"/>
                <w:szCs w:val="13"/>
              </w:rPr>
            </w:pPr>
            <w:r>
              <w:rPr>
                <w:sz w:val="13"/>
                <w:szCs w:val="13"/>
              </w:rPr>
              <w:t>Target</w:t>
            </w:r>
          </w:p>
          <w:p>
            <w:pPr>
              <w:spacing w:line="220" w:lineRule="exact"/>
              <w:jc w:val="center"/>
              <w:rPr>
                <w:sz w:val="13"/>
                <w:szCs w:val="13"/>
              </w:rPr>
            </w:pPr>
            <w:r>
              <w:rPr>
                <w:sz w:val="13"/>
                <w:szCs w:val="13"/>
              </w:rPr>
              <w:t>（℃）</w:t>
            </w:r>
          </w:p>
        </w:tc>
        <w:tc>
          <w:tcPr>
            <w:tcW w:w="992" w:type="dxa"/>
            <w:vAlign w:val="center"/>
          </w:tcPr>
          <w:p>
            <w:pPr>
              <w:spacing w:line="220" w:lineRule="exact"/>
              <w:jc w:val="center"/>
              <w:rPr>
                <w:sz w:val="13"/>
                <w:szCs w:val="13"/>
              </w:rPr>
            </w:pPr>
            <w:r>
              <w:rPr>
                <w:rFonts w:hint="eastAsia"/>
                <w:sz w:val="13"/>
                <w:szCs w:val="13"/>
              </w:rPr>
              <w:t>Hold</w:t>
            </w:r>
          </w:p>
          <w:p>
            <w:pPr>
              <w:spacing w:line="220" w:lineRule="exact"/>
              <w:jc w:val="center"/>
              <w:rPr>
                <w:sz w:val="13"/>
                <w:szCs w:val="13"/>
              </w:rPr>
            </w:pPr>
            <w:r>
              <w:rPr>
                <w:rFonts w:hint="eastAsia"/>
                <w:sz w:val="13"/>
                <w:szCs w:val="13"/>
              </w:rPr>
              <w:t>（hh:mm:ss）</w:t>
            </w:r>
          </w:p>
        </w:tc>
        <w:tc>
          <w:tcPr>
            <w:tcW w:w="898" w:type="dxa"/>
            <w:vAlign w:val="center"/>
          </w:tcPr>
          <w:p>
            <w:pPr>
              <w:spacing w:line="220" w:lineRule="exact"/>
              <w:jc w:val="center"/>
              <w:rPr>
                <w:sz w:val="13"/>
                <w:szCs w:val="13"/>
              </w:rPr>
            </w:pPr>
            <w:r>
              <w:rPr>
                <w:rFonts w:hint="eastAsia"/>
                <w:sz w:val="13"/>
                <w:szCs w:val="13"/>
              </w:rPr>
              <w:t>Aquisition</w:t>
            </w:r>
          </w:p>
          <w:p>
            <w:pPr>
              <w:spacing w:line="220" w:lineRule="exact"/>
              <w:jc w:val="center"/>
              <w:rPr>
                <w:sz w:val="13"/>
                <w:szCs w:val="13"/>
              </w:rPr>
            </w:pPr>
            <w:r>
              <w:rPr>
                <w:rFonts w:hint="eastAsia"/>
                <w:sz w:val="13"/>
                <w:szCs w:val="13"/>
              </w:rPr>
              <w:t xml:space="preserve"> Mode</w:t>
            </w:r>
          </w:p>
        </w:tc>
        <w:tc>
          <w:tcPr>
            <w:tcW w:w="967" w:type="dxa"/>
            <w:vAlign w:val="center"/>
          </w:tcPr>
          <w:p>
            <w:pPr>
              <w:spacing w:line="220" w:lineRule="exact"/>
              <w:jc w:val="center"/>
              <w:rPr>
                <w:sz w:val="13"/>
                <w:szCs w:val="13"/>
              </w:rPr>
            </w:pPr>
            <w:r>
              <w:rPr>
                <w:rFonts w:hint="eastAsia"/>
                <w:sz w:val="13"/>
                <w:szCs w:val="13"/>
              </w:rPr>
              <w:t>Analysis Mode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6" w:hRule="atLeast"/>
          <w:jc w:val="center"/>
        </w:trPr>
        <w:tc>
          <w:tcPr>
            <w:tcW w:w="690" w:type="dxa"/>
            <w:vAlign w:val="center"/>
          </w:tcPr>
          <w:p>
            <w:pPr>
              <w:spacing w:line="220" w:lineRule="exact"/>
              <w:jc w:val="center"/>
              <w:rPr>
                <w:sz w:val="13"/>
                <w:szCs w:val="13"/>
              </w:rPr>
            </w:pPr>
            <w:r>
              <w:rPr>
                <w:rFonts w:hint="eastAsia"/>
                <w:sz w:val="13"/>
                <w:szCs w:val="13"/>
              </w:rPr>
              <w:t>1</w:t>
            </w:r>
          </w:p>
        </w:tc>
        <w:tc>
          <w:tcPr>
            <w:tcW w:w="572" w:type="dxa"/>
            <w:vAlign w:val="center"/>
          </w:tcPr>
          <w:p>
            <w:pPr>
              <w:spacing w:line="220" w:lineRule="exact"/>
              <w:jc w:val="center"/>
              <w:rPr>
                <w:sz w:val="13"/>
                <w:szCs w:val="13"/>
              </w:rPr>
            </w:pPr>
            <w:r>
              <w:rPr>
                <w:sz w:val="13"/>
                <w:szCs w:val="13"/>
              </w:rPr>
              <w:t>1</w:t>
            </w:r>
          </w:p>
        </w:tc>
        <w:tc>
          <w:tcPr>
            <w:tcW w:w="677" w:type="dxa"/>
            <w:vAlign w:val="center"/>
          </w:tcPr>
          <w:p>
            <w:pPr>
              <w:spacing w:line="220" w:lineRule="exact"/>
              <w:jc w:val="center"/>
              <w:rPr>
                <w:sz w:val="13"/>
                <w:szCs w:val="13"/>
              </w:rPr>
            </w:pPr>
            <w:r>
              <w:rPr>
                <w:sz w:val="13"/>
                <w:szCs w:val="13"/>
              </w:rPr>
              <w:t>45℃</w:t>
            </w:r>
          </w:p>
        </w:tc>
        <w:tc>
          <w:tcPr>
            <w:tcW w:w="992" w:type="dxa"/>
            <w:vAlign w:val="center"/>
          </w:tcPr>
          <w:p>
            <w:pPr>
              <w:spacing w:line="220" w:lineRule="exact"/>
              <w:jc w:val="center"/>
              <w:rPr>
                <w:sz w:val="13"/>
                <w:szCs w:val="13"/>
              </w:rPr>
            </w:pPr>
            <w:r>
              <w:rPr>
                <w:rFonts w:hint="eastAsia"/>
                <w:sz w:val="13"/>
                <w:szCs w:val="13"/>
              </w:rPr>
              <w:t>2</w:t>
            </w:r>
            <w:r>
              <w:rPr>
                <w:sz w:val="13"/>
                <w:szCs w:val="13"/>
              </w:rPr>
              <w:t>0min</w:t>
            </w:r>
          </w:p>
        </w:tc>
        <w:tc>
          <w:tcPr>
            <w:tcW w:w="898" w:type="dxa"/>
            <w:vAlign w:val="center"/>
          </w:tcPr>
          <w:p>
            <w:pPr>
              <w:spacing w:line="220" w:lineRule="exact"/>
              <w:jc w:val="center"/>
              <w:rPr>
                <w:sz w:val="13"/>
                <w:szCs w:val="13"/>
              </w:rPr>
            </w:pPr>
            <w:r>
              <w:rPr>
                <w:rFonts w:hint="eastAsia"/>
                <w:sz w:val="13"/>
                <w:szCs w:val="13"/>
              </w:rPr>
              <w:t>None</w:t>
            </w:r>
          </w:p>
        </w:tc>
        <w:tc>
          <w:tcPr>
            <w:tcW w:w="967" w:type="dxa"/>
            <w:vAlign w:val="center"/>
          </w:tcPr>
          <w:p>
            <w:pPr>
              <w:spacing w:line="220" w:lineRule="exact"/>
              <w:jc w:val="center"/>
              <w:rPr>
                <w:sz w:val="13"/>
                <w:szCs w:val="13"/>
              </w:rPr>
            </w:pPr>
            <w:r>
              <w:rPr>
                <w:rFonts w:hint="eastAsia"/>
                <w:sz w:val="13"/>
                <w:szCs w:val="13"/>
              </w:rPr>
              <w:t>None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 w:hRule="atLeast"/>
          <w:jc w:val="center"/>
        </w:trPr>
        <w:tc>
          <w:tcPr>
            <w:tcW w:w="690" w:type="dxa"/>
            <w:vAlign w:val="center"/>
          </w:tcPr>
          <w:p>
            <w:pPr>
              <w:spacing w:line="220" w:lineRule="exact"/>
              <w:jc w:val="center"/>
              <w:rPr>
                <w:sz w:val="13"/>
                <w:szCs w:val="13"/>
              </w:rPr>
            </w:pPr>
            <w:r>
              <w:rPr>
                <w:rFonts w:hint="eastAsia"/>
                <w:sz w:val="13"/>
                <w:szCs w:val="13"/>
              </w:rPr>
              <w:t>2</w:t>
            </w:r>
          </w:p>
        </w:tc>
        <w:tc>
          <w:tcPr>
            <w:tcW w:w="572" w:type="dxa"/>
            <w:vAlign w:val="center"/>
          </w:tcPr>
          <w:p>
            <w:pPr>
              <w:spacing w:line="220" w:lineRule="exact"/>
              <w:jc w:val="center"/>
              <w:rPr>
                <w:sz w:val="13"/>
                <w:szCs w:val="13"/>
              </w:rPr>
            </w:pPr>
            <w:r>
              <w:rPr>
                <w:sz w:val="13"/>
                <w:szCs w:val="13"/>
              </w:rPr>
              <w:t>1</w:t>
            </w:r>
          </w:p>
        </w:tc>
        <w:tc>
          <w:tcPr>
            <w:tcW w:w="677" w:type="dxa"/>
            <w:vAlign w:val="center"/>
          </w:tcPr>
          <w:p>
            <w:pPr>
              <w:spacing w:line="220" w:lineRule="exact"/>
              <w:jc w:val="center"/>
              <w:rPr>
                <w:sz w:val="13"/>
                <w:szCs w:val="13"/>
              </w:rPr>
            </w:pPr>
            <w:r>
              <w:rPr>
                <w:sz w:val="13"/>
                <w:szCs w:val="13"/>
              </w:rPr>
              <w:t>95℃</w:t>
            </w:r>
          </w:p>
        </w:tc>
        <w:tc>
          <w:tcPr>
            <w:tcW w:w="992" w:type="dxa"/>
            <w:vAlign w:val="center"/>
          </w:tcPr>
          <w:p>
            <w:pPr>
              <w:spacing w:line="220" w:lineRule="exact"/>
              <w:jc w:val="center"/>
              <w:rPr>
                <w:sz w:val="13"/>
                <w:szCs w:val="13"/>
              </w:rPr>
            </w:pPr>
            <w:r>
              <w:rPr>
                <w:sz w:val="13"/>
                <w:szCs w:val="13"/>
              </w:rPr>
              <w:t>5min</w:t>
            </w:r>
          </w:p>
        </w:tc>
        <w:tc>
          <w:tcPr>
            <w:tcW w:w="898" w:type="dxa"/>
            <w:vAlign w:val="center"/>
          </w:tcPr>
          <w:p>
            <w:pPr>
              <w:spacing w:line="220" w:lineRule="exact"/>
              <w:jc w:val="center"/>
              <w:rPr>
                <w:sz w:val="13"/>
                <w:szCs w:val="13"/>
              </w:rPr>
            </w:pPr>
            <w:r>
              <w:rPr>
                <w:rFonts w:hint="eastAsia"/>
                <w:sz w:val="13"/>
                <w:szCs w:val="13"/>
              </w:rPr>
              <w:t>None</w:t>
            </w:r>
          </w:p>
        </w:tc>
        <w:tc>
          <w:tcPr>
            <w:tcW w:w="967" w:type="dxa"/>
            <w:vAlign w:val="center"/>
          </w:tcPr>
          <w:p>
            <w:pPr>
              <w:spacing w:line="220" w:lineRule="exact"/>
              <w:jc w:val="center"/>
              <w:rPr>
                <w:sz w:val="13"/>
                <w:szCs w:val="13"/>
              </w:rPr>
            </w:pPr>
            <w:r>
              <w:rPr>
                <w:rFonts w:hint="eastAsia"/>
                <w:sz w:val="13"/>
                <w:szCs w:val="13"/>
              </w:rPr>
              <w:t>None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5" w:hRule="atLeast"/>
          <w:jc w:val="center"/>
        </w:trPr>
        <w:tc>
          <w:tcPr>
            <w:tcW w:w="690" w:type="dxa"/>
            <w:vMerge w:val="restart"/>
            <w:vAlign w:val="center"/>
          </w:tcPr>
          <w:p>
            <w:pPr>
              <w:spacing w:line="220" w:lineRule="exact"/>
              <w:jc w:val="center"/>
              <w:rPr>
                <w:sz w:val="13"/>
                <w:szCs w:val="13"/>
              </w:rPr>
            </w:pPr>
            <w:r>
              <w:rPr>
                <w:rFonts w:hint="eastAsia"/>
                <w:sz w:val="13"/>
                <w:szCs w:val="13"/>
              </w:rPr>
              <w:t>3</w:t>
            </w:r>
          </w:p>
        </w:tc>
        <w:tc>
          <w:tcPr>
            <w:tcW w:w="572" w:type="dxa"/>
            <w:vMerge w:val="restart"/>
            <w:vAlign w:val="center"/>
          </w:tcPr>
          <w:p>
            <w:pPr>
              <w:spacing w:line="220" w:lineRule="exact"/>
              <w:jc w:val="center"/>
              <w:rPr>
                <w:sz w:val="13"/>
                <w:szCs w:val="13"/>
              </w:rPr>
            </w:pPr>
            <w:r>
              <w:rPr>
                <w:sz w:val="13"/>
                <w:szCs w:val="13"/>
              </w:rPr>
              <w:t>45</w:t>
            </w:r>
          </w:p>
        </w:tc>
        <w:tc>
          <w:tcPr>
            <w:tcW w:w="677" w:type="dxa"/>
            <w:vAlign w:val="center"/>
          </w:tcPr>
          <w:p>
            <w:pPr>
              <w:spacing w:line="220" w:lineRule="exact"/>
              <w:jc w:val="center"/>
              <w:rPr>
                <w:sz w:val="13"/>
                <w:szCs w:val="13"/>
              </w:rPr>
            </w:pPr>
            <w:r>
              <w:rPr>
                <w:sz w:val="13"/>
                <w:szCs w:val="13"/>
              </w:rPr>
              <w:t>95℃</w:t>
            </w:r>
          </w:p>
        </w:tc>
        <w:tc>
          <w:tcPr>
            <w:tcW w:w="992" w:type="dxa"/>
            <w:vAlign w:val="center"/>
          </w:tcPr>
          <w:p>
            <w:pPr>
              <w:spacing w:line="220" w:lineRule="exact"/>
              <w:jc w:val="center"/>
              <w:rPr>
                <w:sz w:val="13"/>
                <w:szCs w:val="13"/>
              </w:rPr>
            </w:pPr>
            <w:r>
              <w:rPr>
                <w:sz w:val="13"/>
                <w:szCs w:val="13"/>
              </w:rPr>
              <w:t>15sec</w:t>
            </w:r>
          </w:p>
        </w:tc>
        <w:tc>
          <w:tcPr>
            <w:tcW w:w="898" w:type="dxa"/>
            <w:vAlign w:val="center"/>
          </w:tcPr>
          <w:p>
            <w:pPr>
              <w:spacing w:line="220" w:lineRule="exact"/>
              <w:jc w:val="center"/>
              <w:rPr>
                <w:sz w:val="13"/>
                <w:szCs w:val="13"/>
              </w:rPr>
            </w:pPr>
            <w:r>
              <w:rPr>
                <w:rFonts w:hint="eastAsia"/>
                <w:sz w:val="13"/>
                <w:szCs w:val="13"/>
              </w:rPr>
              <w:t>None</w:t>
            </w:r>
          </w:p>
        </w:tc>
        <w:tc>
          <w:tcPr>
            <w:tcW w:w="967" w:type="dxa"/>
            <w:vMerge w:val="restart"/>
            <w:vAlign w:val="center"/>
          </w:tcPr>
          <w:p>
            <w:pPr>
              <w:spacing w:line="220" w:lineRule="exact"/>
              <w:jc w:val="center"/>
              <w:rPr>
                <w:sz w:val="13"/>
                <w:szCs w:val="13"/>
              </w:rPr>
            </w:pPr>
            <w:r>
              <w:rPr>
                <w:rFonts w:hint="eastAsia"/>
                <w:sz w:val="13"/>
                <w:szCs w:val="13"/>
              </w:rPr>
              <w:t>Quantification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7" w:hRule="atLeast"/>
          <w:jc w:val="center"/>
        </w:trPr>
        <w:tc>
          <w:tcPr>
            <w:tcW w:w="690" w:type="dxa"/>
            <w:vMerge w:val="continue"/>
            <w:vAlign w:val="center"/>
          </w:tcPr>
          <w:p>
            <w:pPr>
              <w:spacing w:line="220" w:lineRule="exact"/>
              <w:jc w:val="center"/>
              <w:rPr>
                <w:sz w:val="13"/>
                <w:szCs w:val="13"/>
              </w:rPr>
            </w:pPr>
          </w:p>
        </w:tc>
        <w:tc>
          <w:tcPr>
            <w:tcW w:w="572" w:type="dxa"/>
            <w:vMerge w:val="continue"/>
            <w:vAlign w:val="center"/>
          </w:tcPr>
          <w:p>
            <w:pPr>
              <w:spacing w:line="220" w:lineRule="exact"/>
              <w:jc w:val="center"/>
              <w:rPr>
                <w:sz w:val="13"/>
                <w:szCs w:val="13"/>
              </w:rPr>
            </w:pPr>
          </w:p>
        </w:tc>
        <w:tc>
          <w:tcPr>
            <w:tcW w:w="677" w:type="dxa"/>
            <w:vAlign w:val="center"/>
          </w:tcPr>
          <w:p>
            <w:pPr>
              <w:spacing w:line="220" w:lineRule="exact"/>
              <w:jc w:val="center"/>
              <w:rPr>
                <w:sz w:val="13"/>
                <w:szCs w:val="13"/>
              </w:rPr>
            </w:pPr>
            <w:r>
              <w:rPr>
                <w:rFonts w:hint="eastAsia"/>
                <w:sz w:val="13"/>
                <w:szCs w:val="13"/>
              </w:rPr>
              <w:t>55</w:t>
            </w:r>
            <w:r>
              <w:rPr>
                <w:sz w:val="13"/>
                <w:szCs w:val="13"/>
              </w:rPr>
              <w:t>℃</w:t>
            </w:r>
          </w:p>
        </w:tc>
        <w:tc>
          <w:tcPr>
            <w:tcW w:w="992" w:type="dxa"/>
            <w:vAlign w:val="center"/>
          </w:tcPr>
          <w:p>
            <w:pPr>
              <w:spacing w:line="220" w:lineRule="exact"/>
              <w:jc w:val="center"/>
              <w:rPr>
                <w:sz w:val="13"/>
                <w:szCs w:val="13"/>
              </w:rPr>
            </w:pPr>
            <w:r>
              <w:rPr>
                <w:sz w:val="13"/>
                <w:szCs w:val="13"/>
              </w:rPr>
              <w:t>45sec</w:t>
            </w:r>
          </w:p>
        </w:tc>
        <w:tc>
          <w:tcPr>
            <w:tcW w:w="898" w:type="dxa"/>
            <w:vAlign w:val="center"/>
          </w:tcPr>
          <w:p>
            <w:pPr>
              <w:spacing w:line="220" w:lineRule="exact"/>
              <w:jc w:val="center"/>
              <w:rPr>
                <w:sz w:val="13"/>
                <w:szCs w:val="13"/>
              </w:rPr>
            </w:pPr>
            <w:r>
              <w:rPr>
                <w:sz w:val="13"/>
                <w:szCs w:val="13"/>
              </w:rPr>
              <w:t>S</w:t>
            </w:r>
            <w:r>
              <w:rPr>
                <w:rFonts w:hint="eastAsia"/>
                <w:sz w:val="13"/>
                <w:szCs w:val="13"/>
              </w:rPr>
              <w:t>ingle</w:t>
            </w:r>
          </w:p>
        </w:tc>
        <w:tc>
          <w:tcPr>
            <w:tcW w:w="967" w:type="dxa"/>
            <w:vMerge w:val="continue"/>
            <w:vAlign w:val="center"/>
          </w:tcPr>
          <w:p>
            <w:pPr>
              <w:spacing w:line="220" w:lineRule="exact"/>
              <w:jc w:val="center"/>
              <w:rPr>
                <w:sz w:val="13"/>
                <w:szCs w:val="13"/>
              </w:rPr>
            </w:pPr>
          </w:p>
        </w:tc>
      </w:tr>
    </w:tbl>
    <w:p>
      <w:pPr>
        <w:pStyle w:val="12"/>
        <w:adjustRightInd w:val="0"/>
        <w:snapToGrid w:val="0"/>
        <w:spacing w:line="240" w:lineRule="exact"/>
        <w:rPr>
          <w:rFonts w:ascii="Times New Roman" w:hAnsi="Times New Roman"/>
          <w:b/>
          <w:bCs/>
          <w:sz w:val="16"/>
          <w:szCs w:val="21"/>
        </w:rPr>
      </w:pPr>
      <w:r>
        <w:rPr>
          <w:rFonts w:ascii="Times New Roman" w:hAnsi="Times New Roman"/>
          <w:b/>
          <w:bCs/>
          <w:sz w:val="16"/>
          <w:szCs w:val="21"/>
        </w:rPr>
        <w:t>五、阈值设定</w:t>
      </w:r>
    </w:p>
    <w:p>
      <w:pPr>
        <w:pStyle w:val="12"/>
        <w:adjustRightInd w:val="0"/>
        <w:snapToGrid w:val="0"/>
        <w:spacing w:line="240" w:lineRule="exact"/>
        <w:ind w:firstLine="320" w:firstLineChars="200"/>
        <w:rPr>
          <w:rFonts w:ascii="Times New Roman" w:hAnsi="Times New Roman"/>
          <w:sz w:val="16"/>
          <w:szCs w:val="21"/>
        </w:rPr>
      </w:pPr>
      <w:r>
        <w:rPr>
          <w:rFonts w:hint="eastAsia" w:ascii="Times New Roman" w:hAnsi="Times New Roman"/>
          <w:sz w:val="16"/>
          <w:szCs w:val="21"/>
        </w:rPr>
        <w:t>根据分析后图像调节Baseline的Start值、End值以及Threshold的Value值（Start值建议设在3～15、End值建议设在5～20，同时调整阴性对照的扩增曲线平直或低于阈值线），点击Analysis自动获得分析结果，在Report界面察看结果。</w:t>
      </w:r>
    </w:p>
    <w:p>
      <w:pPr>
        <w:adjustRightInd w:val="0"/>
        <w:snapToGrid w:val="0"/>
        <w:spacing w:line="230" w:lineRule="exact"/>
        <w:rPr>
          <w:sz w:val="16"/>
          <w:szCs w:val="21"/>
        </w:rPr>
      </w:pPr>
      <w:r>
        <w:rPr>
          <w:b/>
          <w:bCs/>
          <w:sz w:val="16"/>
          <w:szCs w:val="21"/>
        </w:rPr>
        <w:t>六、</w:t>
      </w:r>
      <w:r>
        <w:rPr>
          <w:b/>
          <w:sz w:val="16"/>
          <w:szCs w:val="21"/>
        </w:rPr>
        <w:t>质控标准</w:t>
      </w:r>
    </w:p>
    <w:p>
      <w:pPr>
        <w:spacing w:line="230" w:lineRule="exact"/>
        <w:ind w:firstLine="320" w:firstLineChars="200"/>
        <w:rPr>
          <w:sz w:val="16"/>
          <w:szCs w:val="21"/>
        </w:rPr>
      </w:pPr>
      <w:r>
        <w:rPr>
          <w:sz w:val="16"/>
          <w:szCs w:val="21"/>
        </w:rPr>
        <w:t>试剂盒各对照品须达到以下要求，否则实验视为无效</w:t>
      </w:r>
      <w:r>
        <w:rPr>
          <w:rFonts w:hint="eastAsia"/>
          <w:sz w:val="16"/>
          <w:szCs w:val="21"/>
        </w:rPr>
        <w:t>。</w:t>
      </w:r>
    </w:p>
    <w:tbl>
      <w:tblPr>
        <w:tblStyle w:val="7"/>
        <w:tblW w:w="46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13"/>
        <w:gridCol w:w="1325"/>
        <w:gridCol w:w="143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1913" w:type="dxa"/>
            <w:shd w:val="clear" w:color="auto" w:fill="auto"/>
            <w:vAlign w:val="center"/>
          </w:tcPr>
          <w:p>
            <w:pPr>
              <w:widowControl/>
              <w:spacing w:line="230" w:lineRule="exact"/>
              <w:jc w:val="center"/>
              <w:rPr>
                <w:kern w:val="0"/>
                <w:sz w:val="16"/>
                <w:szCs w:val="16"/>
              </w:rPr>
            </w:pPr>
            <w:r>
              <w:rPr>
                <w:kern w:val="0"/>
                <w:sz w:val="16"/>
                <w:szCs w:val="16"/>
              </w:rPr>
              <w:t>　</w:t>
            </w:r>
          </w:p>
        </w:tc>
        <w:tc>
          <w:tcPr>
            <w:tcW w:w="1325" w:type="dxa"/>
            <w:shd w:val="clear" w:color="auto" w:fill="auto"/>
            <w:vAlign w:val="center"/>
          </w:tcPr>
          <w:p>
            <w:pPr>
              <w:widowControl/>
              <w:spacing w:line="230" w:lineRule="exact"/>
              <w:jc w:val="center"/>
              <w:rPr>
                <w:rFonts w:cs="宋体"/>
                <w:kern w:val="0"/>
                <w:sz w:val="16"/>
                <w:szCs w:val="16"/>
              </w:rPr>
            </w:pPr>
            <w:r>
              <w:rPr>
                <w:rFonts w:hint="eastAsia" w:cs="宋体"/>
                <w:kern w:val="0"/>
                <w:sz w:val="16"/>
                <w:szCs w:val="16"/>
              </w:rPr>
              <w:t>阴性对照</w:t>
            </w:r>
          </w:p>
        </w:tc>
        <w:tc>
          <w:tcPr>
            <w:tcW w:w="1438" w:type="dxa"/>
            <w:shd w:val="clear" w:color="auto" w:fill="auto"/>
            <w:vAlign w:val="center"/>
          </w:tcPr>
          <w:p>
            <w:pPr>
              <w:widowControl/>
              <w:spacing w:line="230" w:lineRule="exact"/>
              <w:jc w:val="center"/>
              <w:rPr>
                <w:rFonts w:cs="宋体"/>
                <w:kern w:val="0"/>
                <w:sz w:val="16"/>
                <w:szCs w:val="16"/>
              </w:rPr>
            </w:pPr>
            <w:r>
              <w:rPr>
                <w:rFonts w:hint="eastAsia" w:cs="宋体"/>
                <w:kern w:val="0"/>
                <w:sz w:val="16"/>
                <w:szCs w:val="16"/>
              </w:rPr>
              <w:t>阳性对照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13" w:type="dxa"/>
            <w:shd w:val="clear" w:color="auto" w:fill="auto"/>
            <w:vAlign w:val="center"/>
          </w:tcPr>
          <w:p>
            <w:pPr>
              <w:widowControl/>
              <w:spacing w:line="230" w:lineRule="exact"/>
              <w:jc w:val="center"/>
              <w:rPr>
                <w:kern w:val="0"/>
                <w:sz w:val="16"/>
                <w:szCs w:val="16"/>
              </w:rPr>
            </w:pPr>
            <w:r>
              <w:rPr>
                <w:kern w:val="0"/>
                <w:sz w:val="16"/>
                <w:szCs w:val="16"/>
              </w:rPr>
              <w:t>FAM</w:t>
            </w:r>
            <w:r>
              <w:rPr>
                <w:rFonts w:hint="eastAsia"/>
                <w:kern w:val="0"/>
                <w:sz w:val="16"/>
                <w:szCs w:val="16"/>
              </w:rPr>
              <w:t>通道（目的基因）</w:t>
            </w:r>
          </w:p>
        </w:tc>
        <w:tc>
          <w:tcPr>
            <w:tcW w:w="1325" w:type="dxa"/>
            <w:shd w:val="clear" w:color="auto" w:fill="auto"/>
            <w:vAlign w:val="center"/>
          </w:tcPr>
          <w:p>
            <w:pPr>
              <w:widowControl/>
              <w:spacing w:line="230" w:lineRule="exact"/>
              <w:jc w:val="center"/>
              <w:rPr>
                <w:rFonts w:cs="宋体"/>
                <w:kern w:val="0"/>
                <w:sz w:val="16"/>
                <w:szCs w:val="16"/>
              </w:rPr>
            </w:pPr>
            <w:r>
              <w:rPr>
                <w:rFonts w:hint="eastAsia" w:cs="宋体"/>
                <w:kern w:val="0"/>
                <w:sz w:val="16"/>
                <w:szCs w:val="16"/>
              </w:rPr>
              <w:t>无</w:t>
            </w:r>
            <w:r>
              <w:rPr>
                <w:kern w:val="0"/>
                <w:sz w:val="16"/>
                <w:szCs w:val="16"/>
              </w:rPr>
              <w:t>Ct</w:t>
            </w:r>
            <w:r>
              <w:rPr>
                <w:rFonts w:hint="eastAsia" w:cs="宋体"/>
                <w:kern w:val="0"/>
                <w:sz w:val="16"/>
                <w:szCs w:val="16"/>
              </w:rPr>
              <w:t>值</w:t>
            </w:r>
          </w:p>
        </w:tc>
        <w:tc>
          <w:tcPr>
            <w:tcW w:w="1438" w:type="dxa"/>
            <w:shd w:val="clear" w:color="auto" w:fill="auto"/>
            <w:vAlign w:val="center"/>
          </w:tcPr>
          <w:p>
            <w:pPr>
              <w:widowControl/>
              <w:spacing w:line="230" w:lineRule="exact"/>
              <w:jc w:val="center"/>
              <w:rPr>
                <w:kern w:val="0"/>
                <w:sz w:val="16"/>
                <w:szCs w:val="16"/>
              </w:rPr>
            </w:pPr>
            <w:r>
              <w:rPr>
                <w:kern w:val="0"/>
                <w:sz w:val="16"/>
                <w:szCs w:val="16"/>
              </w:rPr>
              <w:t>Ct</w:t>
            </w:r>
            <w:r>
              <w:rPr>
                <w:rFonts w:hint="eastAsia"/>
                <w:kern w:val="0"/>
                <w:sz w:val="16"/>
                <w:szCs w:val="16"/>
              </w:rPr>
              <w:t>≤</w:t>
            </w:r>
            <w:r>
              <w:rPr>
                <w:kern w:val="0"/>
                <w:sz w:val="16"/>
                <w:szCs w:val="16"/>
              </w:rPr>
              <w:t>36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 w:hRule="atLeast"/>
          <w:jc w:val="center"/>
        </w:trPr>
        <w:tc>
          <w:tcPr>
            <w:tcW w:w="1913" w:type="dxa"/>
            <w:shd w:val="clear" w:color="auto" w:fill="auto"/>
            <w:vAlign w:val="center"/>
          </w:tcPr>
          <w:p>
            <w:pPr>
              <w:widowControl/>
              <w:spacing w:line="230" w:lineRule="exact"/>
              <w:jc w:val="center"/>
              <w:rPr>
                <w:kern w:val="0"/>
                <w:sz w:val="16"/>
                <w:szCs w:val="16"/>
              </w:rPr>
            </w:pPr>
            <w:r>
              <w:rPr>
                <w:kern w:val="0"/>
                <w:sz w:val="16"/>
                <w:szCs w:val="16"/>
              </w:rPr>
              <w:t>CY5</w:t>
            </w:r>
            <w:r>
              <w:rPr>
                <w:rFonts w:hint="eastAsia"/>
                <w:kern w:val="0"/>
                <w:sz w:val="16"/>
                <w:szCs w:val="16"/>
              </w:rPr>
              <w:t>通道（内标对照）</w:t>
            </w:r>
          </w:p>
        </w:tc>
        <w:tc>
          <w:tcPr>
            <w:tcW w:w="1325" w:type="dxa"/>
            <w:shd w:val="clear" w:color="auto" w:fill="auto"/>
            <w:vAlign w:val="center"/>
          </w:tcPr>
          <w:p>
            <w:pPr>
              <w:widowControl/>
              <w:spacing w:line="230" w:lineRule="exact"/>
              <w:jc w:val="center"/>
              <w:rPr>
                <w:kern w:val="0"/>
                <w:sz w:val="16"/>
                <w:szCs w:val="16"/>
              </w:rPr>
            </w:pPr>
            <w:r>
              <w:rPr>
                <w:kern w:val="0"/>
                <w:sz w:val="16"/>
                <w:szCs w:val="16"/>
              </w:rPr>
              <w:t>Ct</w:t>
            </w:r>
            <w:r>
              <w:rPr>
                <w:rFonts w:hint="eastAsia"/>
                <w:kern w:val="0"/>
                <w:sz w:val="16"/>
                <w:szCs w:val="16"/>
              </w:rPr>
              <w:t>≤</w:t>
            </w:r>
            <w:r>
              <w:rPr>
                <w:kern w:val="0"/>
                <w:sz w:val="16"/>
                <w:szCs w:val="16"/>
              </w:rPr>
              <w:t>36</w:t>
            </w:r>
          </w:p>
        </w:tc>
        <w:tc>
          <w:tcPr>
            <w:tcW w:w="1438" w:type="dxa"/>
            <w:shd w:val="clear" w:color="auto" w:fill="auto"/>
            <w:vAlign w:val="center"/>
          </w:tcPr>
          <w:p>
            <w:pPr>
              <w:widowControl/>
              <w:spacing w:line="230" w:lineRule="exact"/>
              <w:jc w:val="center"/>
              <w:rPr>
                <w:kern w:val="0"/>
                <w:sz w:val="16"/>
                <w:szCs w:val="16"/>
              </w:rPr>
            </w:pPr>
            <w:r>
              <w:rPr>
                <w:rFonts w:hint="eastAsia"/>
                <w:kern w:val="0"/>
                <w:sz w:val="16"/>
                <w:szCs w:val="16"/>
              </w:rPr>
              <w:t>无要求</w:t>
            </w:r>
          </w:p>
        </w:tc>
      </w:tr>
    </w:tbl>
    <w:p>
      <w:pPr>
        <w:pStyle w:val="12"/>
        <w:adjustRightInd w:val="0"/>
        <w:snapToGrid w:val="0"/>
        <w:spacing w:line="230" w:lineRule="exact"/>
        <w:ind w:firstLine="321" w:firstLineChars="200"/>
        <w:rPr>
          <w:rFonts w:ascii="Times New Roman" w:hAnsi="Times New Roman"/>
          <w:sz w:val="16"/>
          <w:szCs w:val="21"/>
        </w:rPr>
      </w:pPr>
      <w:r>
        <w:rPr>
          <w:rFonts w:ascii="Times New Roman" w:hAnsi="Times New Roman"/>
          <w:b/>
          <w:sz w:val="16"/>
          <w:szCs w:val="21"/>
        </w:rPr>
        <w:t>注：</w:t>
      </w:r>
      <w:r>
        <w:rPr>
          <w:rFonts w:ascii="Times New Roman" w:hAnsi="Times New Roman"/>
          <w:sz w:val="16"/>
          <w:szCs w:val="21"/>
        </w:rPr>
        <w:t>以上两项需在一次实验中同时满足，否则，本次实验无效。</w:t>
      </w:r>
    </w:p>
    <w:p>
      <w:pPr>
        <w:adjustRightInd w:val="0"/>
        <w:snapToGrid w:val="0"/>
        <w:spacing w:line="230" w:lineRule="exact"/>
        <w:rPr>
          <w:b/>
          <w:sz w:val="16"/>
          <w:szCs w:val="21"/>
        </w:rPr>
      </w:pPr>
      <w:r>
        <w:rPr>
          <w:b/>
          <w:sz w:val="16"/>
          <w:szCs w:val="21"/>
        </w:rPr>
        <w:t>七、试验结果的计算</w:t>
      </w:r>
    </w:p>
    <w:p>
      <w:pPr>
        <w:adjustRightInd w:val="0"/>
        <w:snapToGrid w:val="0"/>
        <w:spacing w:line="230" w:lineRule="exact"/>
        <w:ind w:firstLine="320" w:firstLineChars="200"/>
        <w:rPr>
          <w:sz w:val="16"/>
          <w:szCs w:val="21"/>
        </w:rPr>
      </w:pPr>
      <w:r>
        <w:rPr>
          <w:sz w:val="16"/>
          <w:szCs w:val="21"/>
        </w:rPr>
        <w:t>荧光定量PCR仪自动分析计算出样本Ct值。</w:t>
      </w:r>
    </w:p>
    <w:p>
      <w:pPr>
        <w:tabs>
          <w:tab w:val="left" w:pos="2520"/>
          <w:tab w:val="left" w:pos="3060"/>
        </w:tabs>
        <w:adjustRightInd w:val="0"/>
        <w:snapToGrid w:val="0"/>
        <w:spacing w:line="230" w:lineRule="exact"/>
        <w:rPr>
          <w:b/>
          <w:sz w:val="16"/>
          <w:szCs w:val="21"/>
        </w:rPr>
      </w:pPr>
      <w:r>
        <w:rPr>
          <w:b/>
          <w:sz w:val="16"/>
          <w:szCs w:val="21"/>
        </w:rPr>
        <w:t>【</w:t>
      </w:r>
      <w:r>
        <w:rPr>
          <w:rFonts w:hint="eastAsia"/>
          <w:b/>
          <w:sz w:val="16"/>
          <w:szCs w:val="21"/>
        </w:rPr>
        <w:t>阳性</w:t>
      </w:r>
      <w:r>
        <w:rPr>
          <w:b/>
          <w:sz w:val="16"/>
          <w:szCs w:val="21"/>
        </w:rPr>
        <w:t>判断值】</w:t>
      </w:r>
    </w:p>
    <w:p>
      <w:pPr>
        <w:tabs>
          <w:tab w:val="left" w:pos="2520"/>
          <w:tab w:val="left" w:pos="3060"/>
        </w:tabs>
        <w:adjustRightInd w:val="0"/>
        <w:snapToGrid w:val="0"/>
        <w:spacing w:line="230" w:lineRule="exact"/>
        <w:ind w:firstLine="320" w:firstLineChars="200"/>
        <w:rPr>
          <w:sz w:val="16"/>
          <w:szCs w:val="21"/>
        </w:rPr>
      </w:pPr>
      <w:r>
        <w:rPr>
          <w:rFonts w:hint="eastAsia"/>
          <w:sz w:val="16"/>
          <w:szCs w:val="16"/>
        </w:rPr>
        <w:t>根据200例临床样本试验结果</w:t>
      </w:r>
      <w:r>
        <w:rPr>
          <w:sz w:val="16"/>
          <w:szCs w:val="21"/>
        </w:rPr>
        <w:t>，利用ROC曲线法确定本试剂盒</w:t>
      </w:r>
      <w:r>
        <w:rPr>
          <w:rFonts w:hint="eastAsia"/>
          <w:sz w:val="16"/>
          <w:szCs w:val="21"/>
        </w:rPr>
        <w:t>肠道</w:t>
      </w:r>
      <w:r>
        <w:rPr>
          <w:sz w:val="16"/>
          <w:szCs w:val="21"/>
        </w:rPr>
        <w:t>病毒</w:t>
      </w:r>
      <w:r>
        <w:rPr>
          <w:rFonts w:hint="eastAsia"/>
          <w:sz w:val="16"/>
          <w:szCs w:val="21"/>
        </w:rPr>
        <w:t>通用型</w:t>
      </w:r>
      <w:r>
        <w:rPr>
          <w:sz w:val="16"/>
          <w:szCs w:val="21"/>
        </w:rPr>
        <w:t>参考值为C</w:t>
      </w:r>
      <w:r>
        <w:rPr>
          <w:rFonts w:hint="eastAsia"/>
          <w:sz w:val="16"/>
          <w:szCs w:val="21"/>
        </w:rPr>
        <w:t>t</w:t>
      </w:r>
      <w:r>
        <w:rPr>
          <w:sz w:val="16"/>
          <w:szCs w:val="21"/>
        </w:rPr>
        <w:t>值等于3</w:t>
      </w:r>
      <w:r>
        <w:rPr>
          <w:rFonts w:hint="eastAsia"/>
          <w:sz w:val="16"/>
          <w:szCs w:val="21"/>
        </w:rPr>
        <w:t>6</w:t>
      </w:r>
      <w:r>
        <w:rPr>
          <w:sz w:val="16"/>
          <w:szCs w:val="21"/>
        </w:rPr>
        <w:t>。</w:t>
      </w:r>
    </w:p>
    <w:p>
      <w:pPr>
        <w:tabs>
          <w:tab w:val="left" w:pos="2520"/>
          <w:tab w:val="left" w:pos="3060"/>
        </w:tabs>
        <w:adjustRightInd w:val="0"/>
        <w:snapToGrid w:val="0"/>
        <w:spacing w:line="230" w:lineRule="exact"/>
        <w:rPr>
          <w:b/>
          <w:sz w:val="16"/>
          <w:szCs w:val="21"/>
        </w:rPr>
      </w:pPr>
      <w:r>
        <w:rPr>
          <w:b/>
          <w:sz w:val="16"/>
          <w:szCs w:val="21"/>
        </w:rPr>
        <w:t>【检验结果的解释】</w:t>
      </w:r>
    </w:p>
    <w:p>
      <w:pPr>
        <w:tabs>
          <w:tab w:val="left" w:pos="2520"/>
          <w:tab w:val="left" w:pos="3060"/>
        </w:tabs>
        <w:adjustRightInd w:val="0"/>
        <w:snapToGrid w:val="0"/>
        <w:spacing w:line="230" w:lineRule="exact"/>
        <w:ind w:firstLine="320" w:firstLineChars="200"/>
        <w:rPr>
          <w:sz w:val="16"/>
          <w:szCs w:val="21"/>
        </w:rPr>
      </w:pPr>
      <w:r>
        <w:rPr>
          <w:sz w:val="16"/>
          <w:szCs w:val="21"/>
        </w:rPr>
        <w:t>1. 在仪器正常，阳性对照、阴性对照和内标对照检测结果符合质控标准的情况下，进行待测样本检测结果的分析与判读。</w:t>
      </w:r>
    </w:p>
    <w:p>
      <w:pPr>
        <w:adjustRightInd w:val="0"/>
        <w:snapToGrid w:val="0"/>
        <w:spacing w:line="230" w:lineRule="exact"/>
        <w:ind w:firstLine="320" w:firstLineChars="200"/>
        <w:rPr>
          <w:sz w:val="16"/>
          <w:szCs w:val="21"/>
        </w:rPr>
      </w:pPr>
      <w:r>
        <w:rPr>
          <w:sz w:val="16"/>
          <w:szCs w:val="21"/>
        </w:rPr>
        <w:t xml:space="preserve">2. 待测样本扩增曲线呈典型的S型曲线，并具备如下条件，判为阳性： </w:t>
      </w:r>
    </w:p>
    <w:tbl>
      <w:tblPr>
        <w:tblStyle w:val="7"/>
        <w:tblW w:w="4656" w:type="dxa"/>
        <w:jc w:val="center"/>
        <w:tblLayout w:type="fixed"/>
        <w:tblCellMar>
          <w:top w:w="0" w:type="dxa"/>
          <w:left w:w="108" w:type="dxa"/>
          <w:bottom w:w="0" w:type="dxa"/>
          <w:right w:w="108" w:type="dxa"/>
        </w:tblCellMar>
      </w:tblPr>
      <w:tblGrid>
        <w:gridCol w:w="1020"/>
        <w:gridCol w:w="1274"/>
        <w:gridCol w:w="2362"/>
      </w:tblGrid>
      <w:tr>
        <w:tblPrEx>
          <w:tblCellMar>
            <w:top w:w="0" w:type="dxa"/>
            <w:left w:w="108" w:type="dxa"/>
            <w:bottom w:w="0" w:type="dxa"/>
            <w:right w:w="108" w:type="dxa"/>
          </w:tblCellMar>
        </w:tblPrEx>
        <w:trPr>
          <w:trHeight w:val="305" w:hRule="atLeast"/>
          <w:jc w:val="center"/>
        </w:trPr>
        <w:tc>
          <w:tcPr>
            <w:tcW w:w="1020" w:type="dxa"/>
            <w:tcBorders>
              <w:top w:val="single" w:color="auto" w:sz="4" w:space="0"/>
              <w:left w:val="single" w:color="auto" w:sz="4" w:space="0"/>
              <w:bottom w:val="single" w:color="auto" w:sz="4" w:space="0"/>
              <w:right w:val="single" w:color="auto" w:sz="4" w:space="0"/>
            </w:tcBorders>
            <w:vAlign w:val="center"/>
          </w:tcPr>
          <w:p>
            <w:pPr>
              <w:spacing w:line="230" w:lineRule="exact"/>
              <w:jc w:val="center"/>
              <w:rPr>
                <w:sz w:val="16"/>
                <w:szCs w:val="16"/>
              </w:rPr>
            </w:pPr>
            <w:r>
              <w:rPr>
                <w:sz w:val="16"/>
                <w:szCs w:val="16"/>
              </w:rPr>
              <w:t>通道</w:t>
            </w:r>
          </w:p>
        </w:tc>
        <w:tc>
          <w:tcPr>
            <w:tcW w:w="1274" w:type="dxa"/>
            <w:tcBorders>
              <w:top w:val="single" w:color="auto" w:sz="4" w:space="0"/>
              <w:left w:val="single" w:color="auto" w:sz="4" w:space="0"/>
              <w:bottom w:val="single" w:color="auto" w:sz="4" w:space="0"/>
              <w:right w:val="single" w:color="auto" w:sz="4" w:space="0"/>
            </w:tcBorders>
            <w:vAlign w:val="center"/>
          </w:tcPr>
          <w:p>
            <w:pPr>
              <w:spacing w:line="230" w:lineRule="exact"/>
              <w:jc w:val="center"/>
              <w:rPr>
                <w:sz w:val="16"/>
                <w:szCs w:val="16"/>
              </w:rPr>
            </w:pPr>
            <w:r>
              <w:rPr>
                <w:sz w:val="16"/>
                <w:szCs w:val="16"/>
              </w:rPr>
              <w:t>C</w:t>
            </w:r>
            <w:r>
              <w:rPr>
                <w:rFonts w:hint="eastAsia"/>
                <w:sz w:val="16"/>
                <w:szCs w:val="16"/>
              </w:rPr>
              <w:t>t</w:t>
            </w:r>
            <w:r>
              <w:rPr>
                <w:sz w:val="16"/>
                <w:szCs w:val="16"/>
              </w:rPr>
              <w:t>值</w:t>
            </w:r>
          </w:p>
        </w:tc>
        <w:tc>
          <w:tcPr>
            <w:tcW w:w="2362" w:type="dxa"/>
            <w:tcBorders>
              <w:top w:val="single" w:color="auto" w:sz="4" w:space="0"/>
              <w:left w:val="single" w:color="auto" w:sz="4" w:space="0"/>
              <w:bottom w:val="single" w:color="auto" w:sz="4" w:space="0"/>
              <w:right w:val="single" w:color="auto" w:sz="4" w:space="0"/>
            </w:tcBorders>
            <w:vAlign w:val="center"/>
          </w:tcPr>
          <w:p>
            <w:pPr>
              <w:spacing w:line="230" w:lineRule="exact"/>
              <w:jc w:val="center"/>
              <w:rPr>
                <w:sz w:val="16"/>
                <w:szCs w:val="16"/>
              </w:rPr>
            </w:pPr>
            <w:r>
              <w:rPr>
                <w:sz w:val="16"/>
                <w:szCs w:val="16"/>
              </w:rPr>
              <w:t>结果判读</w:t>
            </w:r>
          </w:p>
        </w:tc>
      </w:tr>
      <w:tr>
        <w:tblPrEx>
          <w:tblCellMar>
            <w:top w:w="0" w:type="dxa"/>
            <w:left w:w="108" w:type="dxa"/>
            <w:bottom w:w="0" w:type="dxa"/>
            <w:right w:w="108" w:type="dxa"/>
          </w:tblCellMar>
        </w:tblPrEx>
        <w:trPr>
          <w:trHeight w:val="58" w:hRule="atLeast"/>
          <w:jc w:val="center"/>
        </w:trPr>
        <w:tc>
          <w:tcPr>
            <w:tcW w:w="1020" w:type="dxa"/>
            <w:tcBorders>
              <w:top w:val="single" w:color="auto" w:sz="4" w:space="0"/>
              <w:left w:val="single" w:color="auto" w:sz="4" w:space="0"/>
              <w:bottom w:val="single" w:color="auto" w:sz="4" w:space="0"/>
              <w:right w:val="single" w:color="auto" w:sz="4" w:space="0"/>
            </w:tcBorders>
            <w:vAlign w:val="center"/>
          </w:tcPr>
          <w:p>
            <w:pPr>
              <w:spacing w:line="230" w:lineRule="exact"/>
              <w:jc w:val="center"/>
              <w:rPr>
                <w:sz w:val="16"/>
                <w:szCs w:val="16"/>
              </w:rPr>
            </w:pPr>
            <w:r>
              <w:rPr>
                <w:sz w:val="16"/>
                <w:szCs w:val="16"/>
              </w:rPr>
              <w:t>FAM</w:t>
            </w:r>
          </w:p>
        </w:tc>
        <w:tc>
          <w:tcPr>
            <w:tcW w:w="1274" w:type="dxa"/>
            <w:tcBorders>
              <w:top w:val="single" w:color="auto" w:sz="4" w:space="0"/>
              <w:left w:val="single" w:color="auto" w:sz="4" w:space="0"/>
              <w:bottom w:val="single" w:color="auto" w:sz="4" w:space="0"/>
              <w:right w:val="single" w:color="auto" w:sz="4" w:space="0"/>
            </w:tcBorders>
            <w:vAlign w:val="center"/>
          </w:tcPr>
          <w:p>
            <w:pPr>
              <w:spacing w:line="230" w:lineRule="exact"/>
              <w:jc w:val="center"/>
              <w:rPr>
                <w:sz w:val="16"/>
                <w:szCs w:val="16"/>
              </w:rPr>
            </w:pPr>
            <w:r>
              <w:rPr>
                <w:sz w:val="16"/>
                <w:szCs w:val="16"/>
              </w:rPr>
              <w:t>C</w:t>
            </w:r>
            <w:r>
              <w:rPr>
                <w:rFonts w:hint="eastAsia"/>
                <w:sz w:val="16"/>
                <w:szCs w:val="16"/>
              </w:rPr>
              <w:t>t≤</w:t>
            </w:r>
            <w:r>
              <w:rPr>
                <w:sz w:val="16"/>
                <w:szCs w:val="16"/>
              </w:rPr>
              <w:t>3</w:t>
            </w:r>
            <w:r>
              <w:rPr>
                <w:rFonts w:hint="eastAsia"/>
                <w:sz w:val="16"/>
                <w:szCs w:val="16"/>
              </w:rPr>
              <w:t>6</w:t>
            </w:r>
          </w:p>
        </w:tc>
        <w:tc>
          <w:tcPr>
            <w:tcW w:w="2362" w:type="dxa"/>
            <w:tcBorders>
              <w:top w:val="single" w:color="auto" w:sz="4" w:space="0"/>
              <w:left w:val="single" w:color="auto" w:sz="4" w:space="0"/>
              <w:bottom w:val="single" w:color="auto" w:sz="4" w:space="0"/>
              <w:right w:val="single" w:color="auto" w:sz="4" w:space="0"/>
            </w:tcBorders>
            <w:vAlign w:val="center"/>
          </w:tcPr>
          <w:p>
            <w:pPr>
              <w:spacing w:line="230" w:lineRule="exact"/>
              <w:jc w:val="center"/>
              <w:rPr>
                <w:sz w:val="16"/>
                <w:szCs w:val="16"/>
              </w:rPr>
            </w:pPr>
            <w:r>
              <w:rPr>
                <w:rFonts w:hint="eastAsia"/>
                <w:sz w:val="16"/>
                <w:szCs w:val="16"/>
              </w:rPr>
              <w:t>肠道</w:t>
            </w:r>
            <w:r>
              <w:rPr>
                <w:sz w:val="16"/>
                <w:szCs w:val="16"/>
              </w:rPr>
              <w:t>病毒</w:t>
            </w:r>
            <w:r>
              <w:rPr>
                <w:rFonts w:hint="eastAsia"/>
                <w:sz w:val="16"/>
                <w:szCs w:val="16"/>
              </w:rPr>
              <w:t>通用型</w:t>
            </w:r>
            <w:r>
              <w:rPr>
                <w:sz w:val="16"/>
                <w:szCs w:val="16"/>
              </w:rPr>
              <w:t>阳性</w:t>
            </w:r>
          </w:p>
        </w:tc>
      </w:tr>
    </w:tbl>
    <w:p>
      <w:pPr>
        <w:adjustRightInd w:val="0"/>
        <w:snapToGrid w:val="0"/>
        <w:spacing w:line="230" w:lineRule="exact"/>
        <w:ind w:firstLine="320" w:firstLineChars="200"/>
        <w:rPr>
          <w:sz w:val="16"/>
          <w:szCs w:val="21"/>
        </w:rPr>
      </w:pPr>
      <w:r>
        <w:rPr>
          <w:sz w:val="16"/>
          <w:szCs w:val="21"/>
        </w:rPr>
        <w:t>3. 实验灰区：</w:t>
      </w:r>
      <w:r>
        <w:rPr>
          <w:rFonts w:hint="eastAsia"/>
          <w:sz w:val="16"/>
          <w:szCs w:val="21"/>
        </w:rPr>
        <w:t>如果肠道病毒通用型（FAM通道）扩增曲线有对数增长期，且36&lt;Ct≤40，内标Ct≤36，则判定结果位于实验灰区，应对样本进行复检。复检结果若有明显对数增长期，则判定结果为阳性；若无明显对数增长期，内标Ct值≤36，则判定结果为阴性</w:t>
      </w:r>
      <w:r>
        <w:rPr>
          <w:sz w:val="16"/>
          <w:szCs w:val="21"/>
        </w:rPr>
        <w:t>。</w:t>
      </w:r>
    </w:p>
    <w:p>
      <w:pPr>
        <w:adjustRightInd w:val="0"/>
        <w:snapToGrid w:val="0"/>
        <w:spacing w:line="230" w:lineRule="exact"/>
        <w:ind w:firstLine="320" w:firstLineChars="200"/>
        <w:rPr>
          <w:sz w:val="16"/>
          <w:szCs w:val="21"/>
        </w:rPr>
      </w:pPr>
      <w:r>
        <w:rPr>
          <w:sz w:val="16"/>
          <w:szCs w:val="21"/>
        </w:rPr>
        <w:t xml:space="preserve">4. </w:t>
      </w:r>
      <w:r>
        <w:rPr>
          <w:rFonts w:hint="eastAsia"/>
          <w:sz w:val="16"/>
          <w:szCs w:val="21"/>
        </w:rPr>
        <w:t>阴性结果判定：肠道病毒通用型（FAM通道）Ct&gt;40或扩增曲线无明显对数增长期，内标Ct≤36，样本低于检测限，判为肠道病毒通用型阴性。</w:t>
      </w:r>
    </w:p>
    <w:p>
      <w:pPr>
        <w:adjustRightInd w:val="0"/>
        <w:snapToGrid w:val="0"/>
        <w:spacing w:line="230" w:lineRule="exact"/>
        <w:ind w:firstLine="320" w:firstLineChars="200"/>
        <w:rPr>
          <w:sz w:val="16"/>
          <w:szCs w:val="21"/>
        </w:rPr>
      </w:pPr>
      <w:r>
        <w:rPr>
          <w:rFonts w:hint="eastAsia"/>
          <w:sz w:val="16"/>
          <w:szCs w:val="21"/>
        </w:rPr>
        <w:t>5. 待测样本扩增曲线呈典型S型曲线，但浓度过高而导致内标没有扩增，待测样本可直接判为阳性。也可将待测样本进行稀释重新检测。</w:t>
      </w:r>
    </w:p>
    <w:p>
      <w:pPr>
        <w:adjustRightInd w:val="0"/>
        <w:snapToGrid w:val="0"/>
        <w:spacing w:line="230" w:lineRule="exact"/>
        <w:rPr>
          <w:b/>
          <w:sz w:val="16"/>
          <w:szCs w:val="21"/>
        </w:rPr>
      </w:pPr>
      <w:r>
        <w:rPr>
          <w:b/>
          <w:sz w:val="16"/>
          <w:szCs w:val="21"/>
        </w:rPr>
        <w:t>【检验方法的局限性】</w:t>
      </w:r>
    </w:p>
    <w:p>
      <w:pPr>
        <w:pStyle w:val="18"/>
        <w:adjustRightInd w:val="0"/>
        <w:snapToGrid w:val="0"/>
        <w:spacing w:line="230" w:lineRule="exact"/>
        <w:ind w:firstLine="320"/>
        <w:rPr>
          <w:sz w:val="16"/>
          <w:szCs w:val="21"/>
        </w:rPr>
      </w:pPr>
      <w:r>
        <w:rPr>
          <w:sz w:val="16"/>
          <w:szCs w:val="21"/>
        </w:rPr>
        <w:t>1</w:t>
      </w:r>
      <w:r>
        <w:rPr>
          <w:rFonts w:hint="eastAsia"/>
          <w:sz w:val="16"/>
          <w:szCs w:val="21"/>
        </w:rPr>
        <w:t>．</w:t>
      </w:r>
      <w:r>
        <w:rPr>
          <w:sz w:val="16"/>
          <w:szCs w:val="21"/>
        </w:rPr>
        <w:t>本试剂盒的检测结果仅供临床参考，对患者的临床诊治应结合其症状/体征、病史、其他实验室检查及治疗反应等情况综合考虑</w:t>
      </w:r>
      <w:r>
        <w:rPr>
          <w:rFonts w:hint="eastAsia"/>
          <w:sz w:val="16"/>
          <w:szCs w:val="21"/>
        </w:rPr>
        <w:t>。</w:t>
      </w:r>
    </w:p>
    <w:p>
      <w:pPr>
        <w:pStyle w:val="18"/>
        <w:adjustRightInd w:val="0"/>
        <w:snapToGrid w:val="0"/>
        <w:spacing w:line="230" w:lineRule="exact"/>
        <w:ind w:firstLine="320"/>
        <w:rPr>
          <w:sz w:val="16"/>
          <w:szCs w:val="21"/>
        </w:rPr>
      </w:pPr>
      <w:r>
        <w:rPr>
          <w:rFonts w:hint="eastAsia"/>
          <w:sz w:val="16"/>
          <w:szCs w:val="21"/>
        </w:rPr>
        <w:t>2．本试剂盒检测的靶序列为肠道病毒通用型基因的保守区域，肠道病毒通用型待测靶序列的变异或其他原因导致的序列改变可能会导致假阴性结果。</w:t>
      </w:r>
    </w:p>
    <w:p>
      <w:pPr>
        <w:pStyle w:val="18"/>
        <w:adjustRightInd w:val="0"/>
        <w:snapToGrid w:val="0"/>
        <w:spacing w:line="230" w:lineRule="exact"/>
        <w:ind w:firstLine="320"/>
        <w:rPr>
          <w:sz w:val="16"/>
          <w:szCs w:val="21"/>
        </w:rPr>
      </w:pPr>
      <w:r>
        <w:rPr>
          <w:rFonts w:hint="eastAsia"/>
          <w:sz w:val="16"/>
          <w:szCs w:val="21"/>
        </w:rPr>
        <w:t>3. 不合理的样本采集、运送与保</w:t>
      </w:r>
      <w:r>
        <w:rPr>
          <w:sz w:val="16"/>
          <w:szCs w:val="21"/>
        </w:rPr>
        <w:t>存条件，样本中病毒含量过低，均可能导致假阴性结果。</w:t>
      </w:r>
    </w:p>
    <w:p>
      <w:pPr>
        <w:pStyle w:val="18"/>
        <w:adjustRightInd w:val="0"/>
        <w:snapToGrid w:val="0"/>
        <w:spacing w:line="230" w:lineRule="exact"/>
        <w:ind w:firstLine="320"/>
        <w:rPr>
          <w:sz w:val="16"/>
          <w:szCs w:val="21"/>
        </w:rPr>
      </w:pPr>
      <w:r>
        <w:rPr>
          <w:rFonts w:hint="eastAsia"/>
          <w:sz w:val="16"/>
          <w:szCs w:val="21"/>
        </w:rPr>
        <w:t xml:space="preserve">4. </w:t>
      </w:r>
      <w:r>
        <w:rPr>
          <w:sz w:val="16"/>
          <w:szCs w:val="21"/>
        </w:rPr>
        <w:t>未经验证的其他干扰或PCR抑制因子，可能会导致假阴性结果</w:t>
      </w:r>
      <w:r>
        <w:rPr>
          <w:rFonts w:hint="eastAsia"/>
          <w:sz w:val="16"/>
          <w:szCs w:val="21"/>
        </w:rPr>
        <w:t>。</w:t>
      </w:r>
    </w:p>
    <w:p>
      <w:pPr>
        <w:pStyle w:val="18"/>
        <w:adjustRightInd w:val="0"/>
        <w:snapToGrid w:val="0"/>
        <w:spacing w:line="230" w:lineRule="exact"/>
        <w:ind w:firstLine="320"/>
        <w:rPr>
          <w:sz w:val="16"/>
          <w:szCs w:val="21"/>
        </w:rPr>
      </w:pPr>
      <w:r>
        <w:rPr>
          <w:rFonts w:hint="eastAsia"/>
          <w:sz w:val="16"/>
          <w:szCs w:val="21"/>
        </w:rPr>
        <w:t xml:space="preserve">5. </w:t>
      </w:r>
      <w:r>
        <w:rPr>
          <w:sz w:val="16"/>
          <w:szCs w:val="21"/>
        </w:rPr>
        <w:t>样本处理时如未控制交叉污染，其他病原体如含有靶核酸序列，均可能出现假阳性结果。</w:t>
      </w:r>
    </w:p>
    <w:p>
      <w:pPr>
        <w:pStyle w:val="18"/>
        <w:adjustRightInd w:val="0"/>
        <w:snapToGrid w:val="0"/>
        <w:spacing w:line="230" w:lineRule="exact"/>
        <w:ind w:firstLine="320"/>
        <w:rPr>
          <w:sz w:val="16"/>
          <w:szCs w:val="21"/>
        </w:rPr>
      </w:pPr>
      <w:r>
        <w:rPr>
          <w:rFonts w:hint="eastAsia"/>
          <w:sz w:val="16"/>
          <w:szCs w:val="21"/>
        </w:rPr>
        <w:t>6. 不同病程不同阶段样本的阳性率不一致。</w:t>
      </w:r>
    </w:p>
    <w:p>
      <w:pPr>
        <w:pStyle w:val="18"/>
        <w:adjustRightInd w:val="0"/>
        <w:snapToGrid w:val="0"/>
        <w:spacing w:line="230" w:lineRule="exact"/>
        <w:ind w:firstLine="320"/>
        <w:rPr>
          <w:sz w:val="16"/>
          <w:szCs w:val="21"/>
        </w:rPr>
      </w:pPr>
      <w:r>
        <w:rPr>
          <w:rFonts w:hint="eastAsia"/>
          <w:sz w:val="16"/>
          <w:szCs w:val="21"/>
        </w:rPr>
        <w:t>7</w:t>
      </w:r>
      <w:r>
        <w:rPr>
          <w:sz w:val="16"/>
          <w:szCs w:val="21"/>
        </w:rPr>
        <w:t xml:space="preserve">. </w:t>
      </w:r>
      <w:r>
        <w:rPr>
          <w:rFonts w:hint="eastAsia"/>
          <w:sz w:val="16"/>
          <w:szCs w:val="21"/>
        </w:rPr>
        <w:t>取标本期间，接种减毒活疫苗的患者可能会导致检测试剂检测结果呈阳性。</w:t>
      </w:r>
    </w:p>
    <w:p>
      <w:pPr>
        <w:pStyle w:val="18"/>
        <w:snapToGrid w:val="0"/>
        <w:spacing w:line="230" w:lineRule="exact"/>
        <w:ind w:firstLine="0" w:firstLineChars="0"/>
        <w:rPr>
          <w:b/>
          <w:sz w:val="16"/>
          <w:szCs w:val="21"/>
        </w:rPr>
      </w:pPr>
      <w:r>
        <w:rPr>
          <w:b/>
          <w:sz w:val="16"/>
          <w:szCs w:val="21"/>
        </w:rPr>
        <w:t>【产品性能指标】</w:t>
      </w:r>
    </w:p>
    <w:p>
      <w:pPr>
        <w:adjustRightInd w:val="0"/>
        <w:snapToGrid w:val="0"/>
        <w:spacing w:line="230" w:lineRule="exact"/>
        <w:ind w:firstLine="320" w:firstLineChars="200"/>
        <w:rPr>
          <w:sz w:val="16"/>
          <w:szCs w:val="21"/>
        </w:rPr>
      </w:pPr>
      <w:r>
        <w:rPr>
          <w:rFonts w:hint="eastAsia"/>
          <w:sz w:val="16"/>
          <w:szCs w:val="21"/>
        </w:rPr>
        <w:t>1 . 阳性参考品符合率：1</w:t>
      </w:r>
      <w:r>
        <w:rPr>
          <w:sz w:val="16"/>
          <w:szCs w:val="21"/>
        </w:rPr>
        <w:t>0份阳性企业参考品</w:t>
      </w:r>
      <w:r>
        <w:rPr>
          <w:rFonts w:hint="eastAsia"/>
          <w:sz w:val="16"/>
          <w:szCs w:val="21"/>
        </w:rPr>
        <w:t>符合率100%（</w:t>
      </w:r>
      <w:r>
        <w:rPr>
          <w:sz w:val="16"/>
          <w:szCs w:val="21"/>
        </w:rPr>
        <w:t>10/10</w:t>
      </w:r>
      <w:r>
        <w:rPr>
          <w:rFonts w:hint="eastAsia"/>
          <w:sz w:val="16"/>
          <w:szCs w:val="21"/>
        </w:rPr>
        <w:t>）。</w:t>
      </w:r>
    </w:p>
    <w:p>
      <w:pPr>
        <w:adjustRightInd w:val="0"/>
        <w:snapToGrid w:val="0"/>
        <w:spacing w:line="230" w:lineRule="exact"/>
        <w:ind w:firstLine="320" w:firstLineChars="200"/>
        <w:rPr>
          <w:sz w:val="16"/>
          <w:szCs w:val="21"/>
        </w:rPr>
      </w:pPr>
      <w:r>
        <w:rPr>
          <w:rFonts w:hint="eastAsia"/>
          <w:sz w:val="16"/>
          <w:szCs w:val="21"/>
        </w:rPr>
        <w:t>2. 阴性参考品符合率：1</w:t>
      </w:r>
      <w:r>
        <w:rPr>
          <w:sz w:val="16"/>
          <w:szCs w:val="21"/>
        </w:rPr>
        <w:t>0份</w:t>
      </w:r>
      <w:r>
        <w:rPr>
          <w:rFonts w:hint="eastAsia"/>
          <w:sz w:val="16"/>
          <w:szCs w:val="21"/>
        </w:rPr>
        <w:t>阴</w:t>
      </w:r>
      <w:r>
        <w:rPr>
          <w:sz w:val="16"/>
          <w:szCs w:val="21"/>
        </w:rPr>
        <w:t>性企业参考品</w:t>
      </w:r>
      <w:r>
        <w:rPr>
          <w:rFonts w:hint="eastAsia"/>
          <w:sz w:val="16"/>
          <w:szCs w:val="21"/>
        </w:rPr>
        <w:t>符合率100%（</w:t>
      </w:r>
      <w:r>
        <w:rPr>
          <w:sz w:val="16"/>
          <w:szCs w:val="21"/>
        </w:rPr>
        <w:t>10/10</w:t>
      </w:r>
      <w:r>
        <w:rPr>
          <w:rFonts w:hint="eastAsia"/>
          <w:sz w:val="16"/>
          <w:szCs w:val="21"/>
        </w:rPr>
        <w:t>）。</w:t>
      </w:r>
    </w:p>
    <w:p>
      <w:pPr>
        <w:adjustRightInd w:val="0"/>
        <w:snapToGrid w:val="0"/>
        <w:spacing w:line="230" w:lineRule="exact"/>
        <w:ind w:firstLine="320" w:firstLineChars="200"/>
        <w:rPr>
          <w:sz w:val="16"/>
          <w:szCs w:val="21"/>
        </w:rPr>
      </w:pPr>
      <w:r>
        <w:rPr>
          <w:rFonts w:hint="eastAsia"/>
          <w:sz w:val="16"/>
          <w:szCs w:val="21"/>
        </w:rPr>
        <w:t>3. 精密性：</w:t>
      </w:r>
      <w:r>
        <w:rPr>
          <w:sz w:val="16"/>
          <w:szCs w:val="21"/>
        </w:rPr>
        <w:t>5</w:t>
      </w:r>
      <w:r>
        <w:rPr>
          <w:rFonts w:hint="eastAsia"/>
          <w:sz w:val="16"/>
          <w:szCs w:val="21"/>
        </w:rPr>
        <w:t>份精密性企业参考品提取核酸后分别重复检测10次，其Ct值的CV%≤5.0%。</w:t>
      </w:r>
    </w:p>
    <w:p>
      <w:pPr>
        <w:adjustRightInd w:val="0"/>
        <w:snapToGrid w:val="0"/>
        <w:spacing w:line="230" w:lineRule="exact"/>
        <w:ind w:firstLine="320" w:firstLineChars="200"/>
        <w:rPr>
          <w:sz w:val="16"/>
          <w:szCs w:val="21"/>
        </w:rPr>
      </w:pPr>
      <w:r>
        <w:rPr>
          <w:rFonts w:hint="eastAsia"/>
          <w:sz w:val="16"/>
          <w:szCs w:val="21"/>
        </w:rPr>
        <w:t>4. 最低检出限：</w:t>
      </w:r>
      <w:r>
        <w:rPr>
          <w:sz w:val="16"/>
          <w:szCs w:val="21"/>
        </w:rPr>
        <w:t>5</w:t>
      </w:r>
      <w:r>
        <w:rPr>
          <w:rFonts w:hint="eastAsia"/>
          <w:sz w:val="16"/>
          <w:szCs w:val="21"/>
        </w:rPr>
        <w:t>份最低检出限企业参考品的最低检出浓度不高于5.0×10</w:t>
      </w:r>
      <w:r>
        <w:rPr>
          <w:sz w:val="16"/>
          <w:szCs w:val="21"/>
          <w:vertAlign w:val="superscript"/>
        </w:rPr>
        <w:t>2</w:t>
      </w:r>
      <w:r>
        <w:rPr>
          <w:rFonts w:hint="eastAsia"/>
          <w:sz w:val="16"/>
          <w:szCs w:val="21"/>
        </w:rPr>
        <w:t xml:space="preserve"> copies /mL。</w:t>
      </w:r>
    </w:p>
    <w:p>
      <w:pPr>
        <w:adjustRightInd w:val="0"/>
        <w:snapToGrid w:val="0"/>
        <w:spacing w:line="230" w:lineRule="exact"/>
        <w:ind w:firstLine="320" w:firstLineChars="200"/>
        <w:rPr>
          <w:sz w:val="16"/>
          <w:szCs w:val="21"/>
        </w:rPr>
      </w:pPr>
      <w:r>
        <w:rPr>
          <w:rFonts w:hint="eastAsia"/>
          <w:sz w:val="16"/>
          <w:szCs w:val="21"/>
        </w:rPr>
        <w:t>5. 交叉反应：针对可能与肠道病毒样本产生交叉的其他病原菌（诺如病毒、</w:t>
      </w:r>
      <w:r>
        <w:rPr>
          <w:sz w:val="16"/>
          <w:szCs w:val="21"/>
        </w:rPr>
        <w:t>单纯疱疹病毒</w:t>
      </w:r>
      <w:r>
        <w:rPr>
          <w:rFonts w:hint="eastAsia"/>
          <w:sz w:val="16"/>
          <w:szCs w:val="21"/>
        </w:rPr>
        <w:t>1和2型</w:t>
      </w:r>
      <w:r>
        <w:rPr>
          <w:sz w:val="16"/>
          <w:szCs w:val="21"/>
        </w:rPr>
        <w:t>、</w:t>
      </w:r>
      <w:r>
        <w:rPr>
          <w:rFonts w:hint="eastAsia"/>
          <w:sz w:val="16"/>
          <w:szCs w:val="21"/>
        </w:rPr>
        <w:t>肠道</w:t>
      </w:r>
      <w:r>
        <w:rPr>
          <w:sz w:val="16"/>
          <w:szCs w:val="21"/>
        </w:rPr>
        <w:t>腺病毒、水痘-带状疱疹病毒、轮状病毒、甲型肝炎病毒、</w:t>
      </w:r>
      <w:r>
        <w:rPr>
          <w:rFonts w:hint="eastAsia"/>
          <w:sz w:val="16"/>
          <w:szCs w:val="21"/>
        </w:rPr>
        <w:t>星状</w:t>
      </w:r>
      <w:r>
        <w:rPr>
          <w:sz w:val="16"/>
          <w:szCs w:val="21"/>
        </w:rPr>
        <w:t>病毒、</w:t>
      </w:r>
      <w:r>
        <w:rPr>
          <w:rFonts w:hint="eastAsia"/>
          <w:sz w:val="16"/>
          <w:szCs w:val="21"/>
        </w:rPr>
        <w:t>EB病毒</w:t>
      </w:r>
      <w:r>
        <w:rPr>
          <w:sz w:val="16"/>
          <w:szCs w:val="21"/>
        </w:rPr>
        <w:t>、风疹病毒、麻疹病毒、甲型流感病毒、副流感病毒、乙型流感病毒、巨细胞病毒、呼吸道合胞病毒、流行性腮腺炎病毒、戊肝病毒、</w:t>
      </w:r>
      <w:r>
        <w:rPr>
          <w:rFonts w:hint="eastAsia"/>
          <w:sz w:val="16"/>
          <w:szCs w:val="21"/>
        </w:rPr>
        <w:t>B族</w:t>
      </w:r>
      <w:r>
        <w:rPr>
          <w:sz w:val="16"/>
          <w:szCs w:val="21"/>
        </w:rPr>
        <w:t>链球菌、肺炎克雷伯菌、大肠杆菌、脑膜炎奈瑟菌、肺炎链球菌、金黄色葡萄球菌、沙门氏菌、志贺菌、</w:t>
      </w:r>
      <w:r>
        <w:rPr>
          <w:rFonts w:hint="eastAsia"/>
          <w:sz w:val="16"/>
          <w:szCs w:val="21"/>
        </w:rPr>
        <w:t>弧菌</w:t>
      </w:r>
      <w:r>
        <w:rPr>
          <w:sz w:val="16"/>
          <w:szCs w:val="21"/>
        </w:rPr>
        <w:t>、流感嗜血杆菌</w:t>
      </w:r>
      <w:r>
        <w:rPr>
          <w:rFonts w:hint="eastAsia"/>
          <w:sz w:val="16"/>
          <w:szCs w:val="21"/>
        </w:rPr>
        <w:t>、</w:t>
      </w:r>
      <w:r>
        <w:rPr>
          <w:sz w:val="16"/>
          <w:szCs w:val="21"/>
        </w:rPr>
        <w:t>卡他莫拉菌、草绿色链球菌、奈瑟菌</w:t>
      </w:r>
      <w:r>
        <w:rPr>
          <w:rFonts w:hint="eastAsia"/>
          <w:sz w:val="16"/>
          <w:szCs w:val="21"/>
        </w:rPr>
        <w:t>属</w:t>
      </w:r>
      <w:r>
        <w:rPr>
          <w:sz w:val="16"/>
          <w:szCs w:val="21"/>
        </w:rPr>
        <w:t>、</w:t>
      </w:r>
      <w:r>
        <w:rPr>
          <w:rFonts w:hint="eastAsia"/>
          <w:sz w:val="16"/>
          <w:szCs w:val="21"/>
        </w:rPr>
        <w:t>粘液</w:t>
      </w:r>
      <w:r>
        <w:rPr>
          <w:sz w:val="16"/>
          <w:szCs w:val="21"/>
        </w:rPr>
        <w:t>罗氏菌及变形杆菌</w:t>
      </w:r>
      <w:r>
        <w:rPr>
          <w:rFonts w:hint="eastAsia"/>
          <w:sz w:val="16"/>
          <w:szCs w:val="21"/>
        </w:rPr>
        <w:t>）进行验证，无交叉反应。</w:t>
      </w:r>
    </w:p>
    <w:p>
      <w:pPr>
        <w:adjustRightInd w:val="0"/>
        <w:snapToGrid w:val="0"/>
        <w:spacing w:line="230" w:lineRule="exact"/>
        <w:ind w:firstLine="320" w:firstLineChars="200"/>
        <w:rPr>
          <w:sz w:val="16"/>
          <w:szCs w:val="21"/>
        </w:rPr>
      </w:pPr>
      <w:r>
        <w:rPr>
          <w:rFonts w:hint="eastAsia"/>
          <w:sz w:val="16"/>
          <w:szCs w:val="21"/>
        </w:rPr>
        <w:t>6. 干扰物质：针对血液、脓液在样本中的浓度分别为25%时进行验证，未对检测结果产生显著影响；针对治疗手足口病或其他相关疾病的常见药物：如利巴韦林（200mg/mL）、阿昔洛韦（200mg/mL）、病毒灵（200mg/mL）、盐酸金刚乙胺（200mg/mL）、思密达（200mg/mL）进行验证，未对检测结果产生显著影响。</w:t>
      </w:r>
    </w:p>
    <w:p>
      <w:pPr>
        <w:adjustRightInd w:val="0"/>
        <w:snapToGrid w:val="0"/>
        <w:spacing w:line="230" w:lineRule="exact"/>
        <w:ind w:firstLine="320" w:firstLineChars="200"/>
        <w:rPr>
          <w:sz w:val="16"/>
          <w:szCs w:val="21"/>
        </w:rPr>
      </w:pPr>
      <w:r>
        <w:rPr>
          <w:sz w:val="16"/>
          <w:szCs w:val="21"/>
        </w:rPr>
        <w:t xml:space="preserve">7. </w:t>
      </w:r>
      <w:r>
        <w:rPr>
          <w:rFonts w:hint="eastAsia"/>
          <w:sz w:val="16"/>
          <w:szCs w:val="21"/>
        </w:rPr>
        <w:t>临床试验：研究采用637例（其中有效样本</w:t>
      </w:r>
      <w:r>
        <w:rPr>
          <w:sz w:val="16"/>
          <w:szCs w:val="21"/>
        </w:rPr>
        <w:t>6</w:t>
      </w:r>
      <w:r>
        <w:rPr>
          <w:rFonts w:hint="eastAsia"/>
          <w:sz w:val="16"/>
          <w:szCs w:val="21"/>
        </w:rPr>
        <w:t>11例）具手足口病症状的患者的咽拭子样本。临床检测结果表明，阳性符合率为99.26%（403/406），阴性符合率为</w:t>
      </w:r>
      <w:r>
        <w:rPr>
          <w:sz w:val="16"/>
          <w:szCs w:val="21"/>
        </w:rPr>
        <w:t>98.05</w:t>
      </w:r>
      <w:r>
        <w:rPr>
          <w:rFonts w:hint="eastAsia"/>
          <w:sz w:val="16"/>
          <w:szCs w:val="21"/>
        </w:rPr>
        <w:t>%（</w:t>
      </w:r>
      <w:r>
        <w:rPr>
          <w:sz w:val="16"/>
          <w:szCs w:val="21"/>
        </w:rPr>
        <w:t>201</w:t>
      </w:r>
      <w:r>
        <w:rPr>
          <w:rFonts w:hint="eastAsia"/>
          <w:sz w:val="16"/>
          <w:szCs w:val="21"/>
        </w:rPr>
        <w:t>/</w:t>
      </w:r>
      <w:r>
        <w:rPr>
          <w:sz w:val="16"/>
          <w:szCs w:val="21"/>
        </w:rPr>
        <w:t>205</w:t>
      </w:r>
      <w:r>
        <w:rPr>
          <w:rFonts w:hint="eastAsia"/>
          <w:sz w:val="16"/>
          <w:szCs w:val="21"/>
        </w:rPr>
        <w:t>），总符合率为</w:t>
      </w:r>
      <w:r>
        <w:rPr>
          <w:sz w:val="16"/>
          <w:szCs w:val="21"/>
        </w:rPr>
        <w:t>98.85</w:t>
      </w:r>
      <w:r>
        <w:rPr>
          <w:rFonts w:hint="eastAsia"/>
          <w:sz w:val="16"/>
          <w:szCs w:val="21"/>
        </w:rPr>
        <w:t>% （6</w:t>
      </w:r>
      <w:r>
        <w:rPr>
          <w:sz w:val="16"/>
          <w:szCs w:val="21"/>
        </w:rPr>
        <w:t>05</w:t>
      </w:r>
      <w:r>
        <w:rPr>
          <w:rFonts w:hint="eastAsia"/>
          <w:sz w:val="16"/>
          <w:szCs w:val="21"/>
        </w:rPr>
        <w:t>/6</w:t>
      </w:r>
      <w:r>
        <w:rPr>
          <w:sz w:val="16"/>
          <w:szCs w:val="21"/>
        </w:rPr>
        <w:t>11</w:t>
      </w:r>
      <w:r>
        <w:rPr>
          <w:rFonts w:hint="eastAsia"/>
          <w:sz w:val="16"/>
          <w:szCs w:val="21"/>
        </w:rPr>
        <w:t>），Kappa=0.</w:t>
      </w:r>
      <w:r>
        <w:rPr>
          <w:sz w:val="16"/>
          <w:szCs w:val="21"/>
        </w:rPr>
        <w:t>9746</w:t>
      </w:r>
      <w:r>
        <w:rPr>
          <w:rFonts w:hint="eastAsia"/>
          <w:sz w:val="16"/>
          <w:szCs w:val="21"/>
        </w:rPr>
        <w:t>。</w:t>
      </w:r>
    </w:p>
    <w:p>
      <w:pPr>
        <w:adjustRightInd w:val="0"/>
        <w:snapToGrid w:val="0"/>
        <w:spacing w:line="230" w:lineRule="exact"/>
        <w:rPr>
          <w:b/>
          <w:sz w:val="16"/>
          <w:szCs w:val="21"/>
        </w:rPr>
      </w:pPr>
      <w:r>
        <w:rPr>
          <w:b/>
          <w:sz w:val="16"/>
          <w:szCs w:val="21"/>
        </w:rPr>
        <w:t>【注意事项】</w:t>
      </w:r>
    </w:p>
    <w:p>
      <w:pPr>
        <w:tabs>
          <w:tab w:val="left" w:pos="2520"/>
          <w:tab w:val="left" w:pos="3060"/>
        </w:tabs>
        <w:adjustRightInd w:val="0"/>
        <w:snapToGrid w:val="0"/>
        <w:spacing w:line="230" w:lineRule="exact"/>
        <w:ind w:firstLine="320" w:firstLineChars="200"/>
        <w:rPr>
          <w:b/>
          <w:sz w:val="16"/>
          <w:szCs w:val="21"/>
        </w:rPr>
      </w:pPr>
      <w:r>
        <w:rPr>
          <w:sz w:val="16"/>
          <w:szCs w:val="21"/>
        </w:rPr>
        <w:t xml:space="preserve">1. 本品仅用于体外检测；请在有效期内使用本试剂盒。 </w:t>
      </w:r>
    </w:p>
    <w:p>
      <w:pPr>
        <w:tabs>
          <w:tab w:val="left" w:pos="2520"/>
          <w:tab w:val="left" w:pos="3060"/>
        </w:tabs>
        <w:adjustRightInd w:val="0"/>
        <w:snapToGrid w:val="0"/>
        <w:spacing w:line="230" w:lineRule="exact"/>
        <w:ind w:firstLine="320" w:firstLineChars="200"/>
        <w:rPr>
          <w:b/>
          <w:sz w:val="16"/>
          <w:szCs w:val="21"/>
        </w:rPr>
      </w:pPr>
      <w:r>
        <w:rPr>
          <w:sz w:val="16"/>
          <w:szCs w:val="21"/>
        </w:rPr>
        <w:t>2. 实验操作人员应接受过基因扩增或分子生物学方法检测的专业培训，具备相关的实验操作资格。</w:t>
      </w:r>
    </w:p>
    <w:p>
      <w:pPr>
        <w:tabs>
          <w:tab w:val="left" w:pos="2520"/>
          <w:tab w:val="left" w:pos="3060"/>
        </w:tabs>
        <w:adjustRightInd w:val="0"/>
        <w:snapToGrid w:val="0"/>
        <w:spacing w:line="230" w:lineRule="exact"/>
        <w:ind w:firstLine="320" w:firstLineChars="200"/>
        <w:rPr>
          <w:b/>
          <w:sz w:val="16"/>
          <w:szCs w:val="21"/>
        </w:rPr>
      </w:pPr>
      <w:r>
        <w:rPr>
          <w:sz w:val="16"/>
          <w:szCs w:val="21"/>
        </w:rPr>
        <w:t>3. 实验过程应分区进行（试剂准备区、样本处理区、扩增检测区），各区用品不得交叉使用；各区间人员流动及空气流向应有严格要求，最大限度避免交叉污染。</w:t>
      </w:r>
    </w:p>
    <w:p>
      <w:pPr>
        <w:tabs>
          <w:tab w:val="left" w:pos="2520"/>
          <w:tab w:val="left" w:pos="3060"/>
        </w:tabs>
        <w:adjustRightInd w:val="0"/>
        <w:snapToGrid w:val="0"/>
        <w:spacing w:line="230" w:lineRule="exact"/>
        <w:ind w:firstLine="320" w:firstLineChars="200"/>
        <w:rPr>
          <w:b/>
          <w:sz w:val="16"/>
          <w:szCs w:val="21"/>
        </w:rPr>
      </w:pPr>
      <w:r>
        <w:rPr>
          <w:sz w:val="16"/>
          <w:szCs w:val="21"/>
        </w:rPr>
        <w:t>4. 本试剂盒涉及的待测样本应视为具有传染性物质，操作和处理均需符合卫生部《微生物和生物医学实验室生物安全通用准则》和《医疗废物管理条例》相关要求。</w:t>
      </w:r>
    </w:p>
    <w:p>
      <w:pPr>
        <w:tabs>
          <w:tab w:val="left" w:pos="2520"/>
          <w:tab w:val="left" w:pos="3060"/>
        </w:tabs>
        <w:adjustRightInd w:val="0"/>
        <w:snapToGrid w:val="0"/>
        <w:spacing w:line="230" w:lineRule="exact"/>
        <w:ind w:firstLine="320" w:firstLineChars="200"/>
        <w:rPr>
          <w:b/>
          <w:sz w:val="16"/>
          <w:szCs w:val="21"/>
        </w:rPr>
      </w:pPr>
      <w:r>
        <w:rPr>
          <w:bCs/>
          <w:sz w:val="16"/>
          <w:szCs w:val="21"/>
        </w:rPr>
        <w:t>5. 试剂盒阳性对照为含目的基因片段的假病毒，内标对照为</w:t>
      </w:r>
      <w:r>
        <w:rPr>
          <w:color w:val="000000"/>
          <w:sz w:val="16"/>
          <w:szCs w:val="21"/>
        </w:rPr>
        <w:t>含非目的基因片段的假病毒</w:t>
      </w:r>
      <w:r>
        <w:rPr>
          <w:bCs/>
          <w:sz w:val="16"/>
          <w:szCs w:val="21"/>
        </w:rPr>
        <w:t>，均无潜在传染性</w:t>
      </w:r>
      <w:r>
        <w:rPr>
          <w:sz w:val="16"/>
          <w:szCs w:val="21"/>
        </w:rPr>
        <w:t>，但操作时以上组分仍应视为传染性物质处理</w:t>
      </w:r>
      <w:r>
        <w:rPr>
          <w:bCs/>
          <w:sz w:val="16"/>
          <w:szCs w:val="21"/>
        </w:rPr>
        <w:t>。</w:t>
      </w:r>
    </w:p>
    <w:p>
      <w:pPr>
        <w:tabs>
          <w:tab w:val="left" w:pos="2520"/>
          <w:tab w:val="left" w:pos="3060"/>
        </w:tabs>
        <w:adjustRightInd w:val="0"/>
        <w:snapToGrid w:val="0"/>
        <w:spacing w:line="230" w:lineRule="exact"/>
        <w:ind w:firstLine="320" w:firstLineChars="200"/>
        <w:rPr>
          <w:b/>
          <w:sz w:val="16"/>
          <w:szCs w:val="21"/>
        </w:rPr>
      </w:pPr>
      <w:r>
        <w:rPr>
          <w:sz w:val="16"/>
          <w:szCs w:val="21"/>
        </w:rPr>
        <w:t>6. 每次实验应设置阳性对照和阴性对照。</w:t>
      </w:r>
    </w:p>
    <w:p>
      <w:pPr>
        <w:tabs>
          <w:tab w:val="left" w:pos="2520"/>
          <w:tab w:val="left" w:pos="3060"/>
        </w:tabs>
        <w:adjustRightInd w:val="0"/>
        <w:snapToGrid w:val="0"/>
        <w:spacing w:line="230" w:lineRule="exact"/>
        <w:ind w:firstLine="320" w:firstLineChars="200"/>
        <w:rPr>
          <w:b/>
          <w:sz w:val="16"/>
          <w:szCs w:val="21"/>
        </w:rPr>
      </w:pPr>
      <w:r>
        <w:rPr>
          <w:sz w:val="16"/>
          <w:szCs w:val="21"/>
        </w:rPr>
        <w:t>7. 建议使用新鲜待测样本。</w:t>
      </w:r>
    </w:p>
    <w:p>
      <w:pPr>
        <w:tabs>
          <w:tab w:val="left" w:pos="2520"/>
          <w:tab w:val="left" w:pos="3060"/>
        </w:tabs>
        <w:adjustRightInd w:val="0"/>
        <w:snapToGrid w:val="0"/>
        <w:spacing w:line="230" w:lineRule="exact"/>
        <w:ind w:firstLine="320" w:firstLineChars="200"/>
        <w:rPr>
          <w:b/>
          <w:sz w:val="16"/>
          <w:szCs w:val="21"/>
        </w:rPr>
      </w:pPr>
      <w:r>
        <w:rPr>
          <w:sz w:val="16"/>
          <w:szCs w:val="21"/>
        </w:rPr>
        <w:t>8. 核酸提取过程应严防RNase污染；完成核酸提取后，建议立即进行检测；选用合格的一次性使用的无DNase和RNase的实验耗材，如PCR管、离心管、枪头等。</w:t>
      </w:r>
    </w:p>
    <w:p>
      <w:pPr>
        <w:tabs>
          <w:tab w:val="left" w:pos="2520"/>
          <w:tab w:val="left" w:pos="3060"/>
        </w:tabs>
        <w:adjustRightInd w:val="0"/>
        <w:snapToGrid w:val="0"/>
        <w:spacing w:line="230" w:lineRule="exact"/>
        <w:ind w:firstLine="320" w:firstLineChars="200"/>
        <w:rPr>
          <w:sz w:val="16"/>
          <w:szCs w:val="21"/>
        </w:rPr>
      </w:pPr>
      <w:r>
        <w:rPr>
          <w:sz w:val="16"/>
          <w:szCs w:val="21"/>
        </w:rPr>
        <w:t>9. 试剂盒各组分使用前请充分融化，长时间放置建议放置在冰上，混匀并瞬时离心后使用，避免反复冻融。</w:t>
      </w:r>
    </w:p>
    <w:p>
      <w:pPr>
        <w:tabs>
          <w:tab w:val="left" w:pos="2520"/>
          <w:tab w:val="left" w:pos="3060"/>
        </w:tabs>
        <w:adjustRightInd w:val="0"/>
        <w:snapToGrid w:val="0"/>
        <w:spacing w:line="230" w:lineRule="exact"/>
        <w:ind w:firstLine="320" w:firstLineChars="200"/>
        <w:rPr>
          <w:sz w:val="16"/>
          <w:szCs w:val="21"/>
        </w:rPr>
      </w:pPr>
      <w:r>
        <w:rPr>
          <w:sz w:val="16"/>
          <w:szCs w:val="21"/>
        </w:rPr>
        <w:t>10. 使用已校准的移液器。</w:t>
      </w:r>
    </w:p>
    <w:p>
      <w:pPr>
        <w:tabs>
          <w:tab w:val="left" w:pos="2520"/>
          <w:tab w:val="left" w:pos="3060"/>
        </w:tabs>
        <w:adjustRightInd w:val="0"/>
        <w:snapToGrid w:val="0"/>
        <w:spacing w:line="230" w:lineRule="exact"/>
        <w:ind w:firstLine="320" w:firstLineChars="200"/>
        <w:rPr>
          <w:sz w:val="16"/>
          <w:szCs w:val="21"/>
        </w:rPr>
      </w:pPr>
      <w:r>
        <w:rPr>
          <w:sz w:val="16"/>
          <w:szCs w:val="21"/>
        </w:rPr>
        <w:t>11. 反应液分装时应尽量避免产生气泡，上机前注意检查各反应管是否盖紧，以免荧光物质泄漏污染仪器。</w:t>
      </w:r>
    </w:p>
    <w:p>
      <w:pPr>
        <w:tabs>
          <w:tab w:val="left" w:pos="2520"/>
          <w:tab w:val="left" w:pos="3060"/>
        </w:tabs>
        <w:adjustRightInd w:val="0"/>
        <w:snapToGrid w:val="0"/>
        <w:spacing w:line="230" w:lineRule="exact"/>
        <w:ind w:firstLine="320" w:firstLineChars="200"/>
        <w:rPr>
          <w:sz w:val="16"/>
          <w:szCs w:val="21"/>
        </w:rPr>
      </w:pPr>
      <w:r>
        <w:rPr>
          <w:sz w:val="16"/>
          <w:szCs w:val="21"/>
        </w:rPr>
        <w:t>12. 扩增完毕取出反应管，密封在塑料袋内，丢弃于指定地点，避免污染环境。</w:t>
      </w:r>
    </w:p>
    <w:p>
      <w:pPr>
        <w:tabs>
          <w:tab w:val="left" w:pos="2520"/>
          <w:tab w:val="left" w:pos="3060"/>
        </w:tabs>
        <w:adjustRightInd w:val="0"/>
        <w:snapToGrid w:val="0"/>
        <w:spacing w:line="230" w:lineRule="exact"/>
        <w:ind w:firstLine="320" w:firstLineChars="200"/>
        <w:rPr>
          <w:sz w:val="16"/>
          <w:szCs w:val="21"/>
        </w:rPr>
      </w:pPr>
      <w:r>
        <w:rPr>
          <w:sz w:val="16"/>
          <w:szCs w:val="21"/>
        </w:rPr>
        <w:t>13. 实验中用过的枪头应直接打入盛有10%次氯酸钠的废物缸内，与其他废弃物品一同丢弃。</w:t>
      </w:r>
    </w:p>
    <w:p>
      <w:pPr>
        <w:tabs>
          <w:tab w:val="left" w:pos="2520"/>
          <w:tab w:val="left" w:pos="3060"/>
        </w:tabs>
        <w:adjustRightInd w:val="0"/>
        <w:snapToGrid w:val="0"/>
        <w:spacing w:line="230" w:lineRule="exact"/>
        <w:ind w:firstLine="320" w:firstLineChars="200"/>
        <w:rPr>
          <w:sz w:val="16"/>
          <w:szCs w:val="21"/>
        </w:rPr>
      </w:pPr>
      <w:r>
        <w:rPr>
          <w:sz w:val="16"/>
          <w:szCs w:val="21"/>
        </w:rPr>
        <w:t>14. 实验完毕用500～2000ppm的次氯酸钠或75%酒精及紫外线灯处理工作台和移液器。</w:t>
      </w:r>
    </w:p>
    <w:p>
      <w:pPr>
        <w:tabs>
          <w:tab w:val="left" w:pos="2520"/>
          <w:tab w:val="left" w:pos="3060"/>
        </w:tabs>
        <w:adjustRightInd w:val="0"/>
        <w:snapToGrid w:val="0"/>
        <w:spacing w:line="230" w:lineRule="exact"/>
        <w:ind w:firstLine="320" w:firstLineChars="200"/>
        <w:rPr>
          <w:sz w:val="16"/>
          <w:szCs w:val="21"/>
        </w:rPr>
      </w:pPr>
      <w:r>
        <w:rPr>
          <w:sz w:val="16"/>
          <w:szCs w:val="21"/>
        </w:rPr>
        <w:t>15. 实时荧光PCR仪需定期校正和清洁</w:t>
      </w:r>
      <w:r>
        <w:rPr>
          <w:rFonts w:hint="eastAsia"/>
          <w:sz w:val="16"/>
          <w:szCs w:val="21"/>
        </w:rPr>
        <w:t>；</w:t>
      </w:r>
      <w:r>
        <w:rPr>
          <w:sz w:val="16"/>
          <w:szCs w:val="21"/>
        </w:rPr>
        <w:t>应使用与仪器配套的PCR反应管。</w:t>
      </w:r>
    </w:p>
    <w:p>
      <w:pPr>
        <w:tabs>
          <w:tab w:val="left" w:pos="2520"/>
          <w:tab w:val="left" w:pos="3060"/>
        </w:tabs>
        <w:adjustRightInd w:val="0"/>
        <w:snapToGrid w:val="0"/>
        <w:spacing w:line="230" w:lineRule="exact"/>
        <w:rPr>
          <w:b/>
          <w:bCs/>
          <w:sz w:val="16"/>
          <w:szCs w:val="21"/>
        </w:rPr>
      </w:pPr>
      <w:r>
        <w:rPr>
          <w:b/>
          <w:bCs/>
          <w:sz w:val="16"/>
          <w:szCs w:val="21"/>
        </w:rPr>
        <w:t>【参考文献】</w:t>
      </w:r>
    </w:p>
    <w:p>
      <w:pPr>
        <w:tabs>
          <w:tab w:val="left" w:pos="2520"/>
          <w:tab w:val="left" w:pos="3060"/>
        </w:tabs>
        <w:adjustRightInd w:val="0"/>
        <w:snapToGrid w:val="0"/>
        <w:spacing w:line="230" w:lineRule="exact"/>
        <w:rPr>
          <w:sz w:val="16"/>
          <w:szCs w:val="21"/>
        </w:rPr>
      </w:pPr>
      <w:r>
        <w:rPr>
          <w:rFonts w:hint="eastAsia"/>
          <w:sz w:val="16"/>
          <w:szCs w:val="21"/>
        </w:rPr>
        <w:t>1.《微生物和生物医学实验室生物安全通用准则（WS 233-2002）》</w:t>
      </w:r>
    </w:p>
    <w:p>
      <w:pPr>
        <w:tabs>
          <w:tab w:val="left" w:pos="2520"/>
          <w:tab w:val="left" w:pos="3060"/>
        </w:tabs>
        <w:adjustRightInd w:val="0"/>
        <w:snapToGrid w:val="0"/>
        <w:spacing w:line="230" w:lineRule="exact"/>
        <w:rPr>
          <w:sz w:val="16"/>
          <w:szCs w:val="21"/>
        </w:rPr>
      </w:pPr>
      <w:r>
        <w:rPr>
          <w:rFonts w:hint="eastAsia"/>
          <w:sz w:val="16"/>
          <w:szCs w:val="21"/>
        </w:rPr>
        <w:t>2.《医疗机构临床基因扩增检验实验室管理办法》卫办医政发〔2010〕194号</w:t>
      </w:r>
    </w:p>
    <w:p>
      <w:pPr>
        <w:tabs>
          <w:tab w:val="left" w:pos="2520"/>
          <w:tab w:val="left" w:pos="3060"/>
        </w:tabs>
        <w:adjustRightInd w:val="0"/>
        <w:snapToGrid w:val="0"/>
        <w:spacing w:line="230" w:lineRule="exact"/>
        <w:rPr>
          <w:sz w:val="16"/>
          <w:szCs w:val="21"/>
        </w:rPr>
      </w:pPr>
      <w:r>
        <w:rPr>
          <w:rFonts w:hint="eastAsia"/>
          <w:sz w:val="16"/>
          <w:szCs w:val="21"/>
        </w:rPr>
        <w:t>3.《医疗废物管理条例》中华人民共和国国务院令（第380号）</w:t>
      </w:r>
    </w:p>
    <w:p>
      <w:pPr>
        <w:tabs>
          <w:tab w:val="left" w:pos="2520"/>
          <w:tab w:val="left" w:pos="3060"/>
        </w:tabs>
        <w:adjustRightInd w:val="0"/>
        <w:snapToGrid w:val="0"/>
        <w:spacing w:line="230" w:lineRule="exact"/>
        <w:rPr>
          <w:sz w:val="16"/>
          <w:szCs w:val="21"/>
        </w:rPr>
      </w:pPr>
      <w:r>
        <w:rPr>
          <w:sz w:val="16"/>
          <w:szCs w:val="21"/>
        </w:rPr>
        <w:t>4. Chen J F, Zhang R S, Ou X H, et al. The role of enterovirus 71 and coxsackievirus A strains in a large outbreak of hand, foot, and mouth disease in 2012 in Changsha, China[J]. International Journal of Infectious Diseases, 2014, 28: 17-25.</w:t>
      </w:r>
    </w:p>
    <w:p>
      <w:pPr>
        <w:tabs>
          <w:tab w:val="left" w:pos="2520"/>
          <w:tab w:val="left" w:pos="3060"/>
        </w:tabs>
        <w:adjustRightInd w:val="0"/>
        <w:snapToGrid w:val="0"/>
        <w:spacing w:line="230" w:lineRule="exact"/>
        <w:rPr>
          <w:b/>
          <w:sz w:val="16"/>
          <w:szCs w:val="21"/>
        </w:rPr>
      </w:pPr>
      <w:r>
        <w:rPr>
          <w:rFonts w:hint="eastAsia"/>
          <w:b/>
          <w:sz w:val="16"/>
          <w:szCs w:val="21"/>
        </w:rPr>
        <w:t>【</w:t>
      </w:r>
      <w:r>
        <w:rPr>
          <w:b/>
          <w:sz w:val="16"/>
          <w:szCs w:val="21"/>
        </w:rPr>
        <w:t>基本信息</w:t>
      </w:r>
      <w:r>
        <w:rPr>
          <w:rFonts w:hint="eastAsia"/>
          <w:b/>
          <w:sz w:val="16"/>
          <w:szCs w:val="21"/>
        </w:rPr>
        <w:t>】</w:t>
      </w:r>
    </w:p>
    <w:p>
      <w:pPr>
        <w:tabs>
          <w:tab w:val="left" w:pos="2520"/>
          <w:tab w:val="left" w:pos="3060"/>
        </w:tabs>
        <w:adjustRightInd w:val="0"/>
        <w:snapToGrid w:val="0"/>
        <w:spacing w:line="230" w:lineRule="exact"/>
        <w:rPr>
          <w:sz w:val="16"/>
          <w:szCs w:val="21"/>
        </w:rPr>
      </w:pPr>
      <w:r>
        <w:rPr>
          <w:rFonts w:hint="eastAsia"/>
          <w:sz w:val="16"/>
          <w:szCs w:val="21"/>
        </w:rPr>
        <w:t>注册人/生产企业名称：北京卓诚惠生生物科技股份有限公司</w:t>
      </w:r>
    </w:p>
    <w:p>
      <w:pPr>
        <w:tabs>
          <w:tab w:val="left" w:pos="2520"/>
          <w:tab w:val="left" w:pos="3060"/>
        </w:tabs>
        <w:adjustRightInd w:val="0"/>
        <w:snapToGrid w:val="0"/>
        <w:spacing w:line="230" w:lineRule="exact"/>
        <w:rPr>
          <w:sz w:val="16"/>
          <w:szCs w:val="21"/>
        </w:rPr>
      </w:pPr>
      <w:r>
        <w:rPr>
          <w:rFonts w:hint="eastAsia"/>
          <w:sz w:val="16"/>
          <w:szCs w:val="21"/>
        </w:rPr>
        <w:t>住所：北京市昌平区科技园区生命园路29号2层A204室</w:t>
      </w:r>
    </w:p>
    <w:p>
      <w:pPr>
        <w:tabs>
          <w:tab w:val="left" w:pos="2520"/>
          <w:tab w:val="left" w:pos="3060"/>
        </w:tabs>
        <w:adjustRightInd w:val="0"/>
        <w:snapToGrid w:val="0"/>
        <w:spacing w:line="230" w:lineRule="exact"/>
        <w:rPr>
          <w:sz w:val="16"/>
          <w:szCs w:val="21"/>
        </w:rPr>
      </w:pPr>
      <w:r>
        <w:rPr>
          <w:rFonts w:hint="eastAsia"/>
          <w:sz w:val="16"/>
          <w:szCs w:val="21"/>
        </w:rPr>
        <w:t>联系方式：</w:t>
      </w:r>
      <w:r>
        <w:rPr>
          <w:sz w:val="16"/>
          <w:szCs w:val="21"/>
        </w:rPr>
        <w:t>010-81937999</w:t>
      </w:r>
    </w:p>
    <w:p>
      <w:pPr>
        <w:tabs>
          <w:tab w:val="left" w:pos="2520"/>
          <w:tab w:val="left" w:pos="3060"/>
        </w:tabs>
        <w:adjustRightInd w:val="0"/>
        <w:snapToGrid w:val="0"/>
        <w:spacing w:line="230" w:lineRule="exact"/>
        <w:rPr>
          <w:sz w:val="16"/>
          <w:szCs w:val="21"/>
        </w:rPr>
      </w:pPr>
      <w:r>
        <w:rPr>
          <w:rFonts w:hint="eastAsia"/>
          <w:sz w:val="16"/>
          <w:szCs w:val="21"/>
        </w:rPr>
        <w:t xml:space="preserve">售后服务单位名称：北京卓诚惠生生物科技股份有限公司 </w:t>
      </w:r>
    </w:p>
    <w:p>
      <w:pPr>
        <w:tabs>
          <w:tab w:val="left" w:pos="2520"/>
          <w:tab w:val="left" w:pos="3060"/>
        </w:tabs>
        <w:adjustRightInd w:val="0"/>
        <w:snapToGrid w:val="0"/>
        <w:spacing w:line="230" w:lineRule="exact"/>
        <w:rPr>
          <w:sz w:val="16"/>
          <w:szCs w:val="21"/>
        </w:rPr>
      </w:pPr>
      <w:r>
        <w:rPr>
          <w:rFonts w:hint="eastAsia"/>
          <w:sz w:val="16"/>
          <w:szCs w:val="21"/>
        </w:rPr>
        <w:t>联系方式：</w:t>
      </w:r>
      <w:r>
        <w:rPr>
          <w:sz w:val="16"/>
          <w:szCs w:val="21"/>
        </w:rPr>
        <w:t>010-81937999</w:t>
      </w:r>
    </w:p>
    <w:p>
      <w:pPr>
        <w:tabs>
          <w:tab w:val="left" w:pos="2520"/>
          <w:tab w:val="left" w:pos="3060"/>
        </w:tabs>
        <w:adjustRightInd w:val="0"/>
        <w:snapToGrid w:val="0"/>
        <w:spacing w:line="230" w:lineRule="exact"/>
        <w:rPr>
          <w:sz w:val="16"/>
          <w:szCs w:val="21"/>
        </w:rPr>
      </w:pPr>
      <w:r>
        <w:rPr>
          <w:rFonts w:hint="eastAsia"/>
          <w:sz w:val="16"/>
          <w:szCs w:val="21"/>
        </w:rPr>
        <w:t>生产地址：北京市昌平区科技园区生命园路29号1幢1层A101室、2层A204室、B207室、B218室、D203室、D203-1室、3层B304室</w:t>
      </w:r>
    </w:p>
    <w:p>
      <w:pPr>
        <w:spacing w:line="230" w:lineRule="exact"/>
        <w:jc w:val="left"/>
        <w:rPr>
          <w:sz w:val="16"/>
          <w:szCs w:val="21"/>
        </w:rPr>
      </w:pPr>
      <w:r>
        <w:rPr>
          <w:rFonts w:hint="eastAsia"/>
          <w:sz w:val="16"/>
          <w:szCs w:val="21"/>
        </w:rPr>
        <w:t>生产许可证编号：京食药监械生产许20190018号</w:t>
      </w:r>
    </w:p>
    <w:p>
      <w:pPr>
        <w:spacing w:line="230" w:lineRule="exact"/>
        <w:jc w:val="left"/>
        <w:rPr>
          <w:sz w:val="16"/>
          <w:szCs w:val="21"/>
        </w:rPr>
      </w:pPr>
      <w:r>
        <w:rPr>
          <w:sz w:val="16"/>
          <w:szCs w:val="21"/>
        </w:rPr>
        <w:t>【</w:t>
      </w:r>
      <w:r>
        <w:rPr>
          <w:b/>
          <w:sz w:val="16"/>
          <w:szCs w:val="21"/>
        </w:rPr>
        <w:t>医疗器械注册证编号/产品技术要求编号</w:t>
      </w:r>
      <w:r>
        <w:rPr>
          <w:sz w:val="16"/>
          <w:szCs w:val="21"/>
        </w:rPr>
        <w:t>】</w:t>
      </w:r>
    </w:p>
    <w:p>
      <w:pPr>
        <w:spacing w:line="230" w:lineRule="exact"/>
        <w:jc w:val="left"/>
        <w:rPr>
          <w:sz w:val="16"/>
          <w:szCs w:val="21"/>
        </w:rPr>
      </w:pPr>
      <w:r>
        <w:rPr>
          <w:sz w:val="16"/>
          <w:szCs w:val="21"/>
        </w:rPr>
        <w:t>国械注准20193400864</w:t>
      </w:r>
    </w:p>
    <w:p>
      <w:pPr>
        <w:spacing w:line="230" w:lineRule="exact"/>
        <w:jc w:val="left"/>
        <w:rPr>
          <w:sz w:val="16"/>
          <w:szCs w:val="21"/>
        </w:rPr>
      </w:pPr>
      <w:r>
        <w:rPr>
          <w:sz w:val="16"/>
          <w:szCs w:val="21"/>
        </w:rPr>
        <w:t>【</w:t>
      </w:r>
      <w:r>
        <w:rPr>
          <w:b/>
          <w:sz w:val="16"/>
          <w:szCs w:val="21"/>
        </w:rPr>
        <w:t>说明书</w:t>
      </w:r>
      <w:r>
        <w:rPr>
          <w:rFonts w:hint="eastAsia"/>
          <w:b/>
          <w:sz w:val="16"/>
          <w:szCs w:val="21"/>
        </w:rPr>
        <w:t>核准及修改日期</w:t>
      </w:r>
      <w:r>
        <w:rPr>
          <w:sz w:val="16"/>
          <w:szCs w:val="21"/>
        </w:rPr>
        <w:t>】</w:t>
      </w:r>
    </w:p>
    <w:p>
      <w:pPr>
        <w:spacing w:line="230" w:lineRule="exact"/>
        <w:jc w:val="left"/>
        <w:rPr>
          <w:sz w:val="16"/>
          <w:szCs w:val="21"/>
        </w:rPr>
      </w:pPr>
      <w:r>
        <w:rPr>
          <w:rFonts w:hint="eastAsia"/>
          <w:sz w:val="16"/>
          <w:szCs w:val="21"/>
        </w:rPr>
        <w:t>核准日期：</w:t>
      </w:r>
      <w:r>
        <w:rPr>
          <w:sz w:val="16"/>
          <w:szCs w:val="21"/>
        </w:rPr>
        <w:t>2019年11月</w:t>
      </w:r>
      <w:r>
        <w:rPr>
          <w:rFonts w:hint="eastAsia"/>
          <w:sz w:val="16"/>
          <w:szCs w:val="21"/>
        </w:rPr>
        <w:t>0</w:t>
      </w:r>
      <w:r>
        <w:rPr>
          <w:sz w:val="16"/>
          <w:szCs w:val="21"/>
        </w:rPr>
        <w:t>1日</w:t>
      </w:r>
    </w:p>
    <w:p>
      <w:pPr>
        <w:spacing w:line="230" w:lineRule="exact"/>
        <w:jc w:val="left"/>
        <w:rPr>
          <w:sz w:val="28"/>
        </w:rPr>
      </w:pPr>
      <w:r>
        <w:rPr>
          <w:rFonts w:hint="eastAsia"/>
          <w:sz w:val="16"/>
          <w:szCs w:val="21"/>
        </w:rPr>
        <w:t>修改日期：2021年0</w:t>
      </w:r>
      <w:r>
        <w:rPr>
          <w:sz w:val="16"/>
          <w:szCs w:val="21"/>
        </w:rPr>
        <w:t>7</w:t>
      </w:r>
      <w:r>
        <w:rPr>
          <w:rFonts w:hint="eastAsia"/>
          <w:sz w:val="16"/>
          <w:szCs w:val="21"/>
        </w:rPr>
        <w:t>月2</w:t>
      </w:r>
      <w:r>
        <w:rPr>
          <w:sz w:val="16"/>
          <w:szCs w:val="21"/>
        </w:rPr>
        <w:t>8</w:t>
      </w:r>
      <w:r>
        <w:rPr>
          <w:rFonts w:hint="eastAsia"/>
          <w:sz w:val="16"/>
          <w:szCs w:val="21"/>
        </w:rPr>
        <w:t>日</w:t>
      </w:r>
    </w:p>
    <w:sectPr>
      <w:headerReference r:id="rId3" w:type="default"/>
      <w:footerReference r:id="rId4" w:type="default"/>
      <w:type w:val="continuous"/>
      <w:pgSz w:w="11906" w:h="16838"/>
      <w:pgMar w:top="426" w:right="851" w:bottom="567" w:left="851" w:header="851" w:footer="992" w:gutter="0"/>
      <w:cols w:space="425" w:num="2"/>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隶书">
    <w:panose1 w:val="0201050906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Times New Roman" w:hAnsi="Times New Roman"/>
      </w:rPr>
      <w:id w:val="1817066507"/>
      <w:docPartObj>
        <w:docPartGallery w:val="AutoText"/>
      </w:docPartObj>
    </w:sdtPr>
    <w:sdtEndPr>
      <w:rPr>
        <w:rFonts w:ascii="Times New Roman" w:hAnsi="Times New Roman"/>
      </w:rPr>
    </w:sdtEndPr>
    <w:sdtContent>
      <w:sdt>
        <w:sdtPr>
          <w:rPr>
            <w:rFonts w:ascii="Times New Roman" w:hAnsi="Times New Roman"/>
          </w:rPr>
          <w:id w:val="98381352"/>
          <w:docPartObj>
            <w:docPartGallery w:val="AutoText"/>
          </w:docPartObj>
        </w:sdtPr>
        <w:sdtEndPr>
          <w:rPr>
            <w:rFonts w:ascii="Times New Roman" w:hAnsi="Times New Roman"/>
          </w:rPr>
        </w:sdtEndPr>
        <w:sdtContent>
          <w:p>
            <w:pPr>
              <w:pStyle w:val="4"/>
              <w:jc w:val="center"/>
              <w:rPr>
                <w:rFonts w:ascii="Times New Roman" w:hAnsi="Times New Roman"/>
              </w:rPr>
            </w:pPr>
            <w:r>
              <w:rPr>
                <w:rFonts w:ascii="Times New Roman" w:hAnsi="Times New Roman"/>
                <w:lang w:val="zh-CN"/>
              </w:rPr>
              <w:t xml:space="preserve"> </w:t>
            </w:r>
            <w:r>
              <w:rPr>
                <w:rFonts w:ascii="Times New Roman" w:hAnsi="Times New Roman"/>
                <w:b/>
                <w:bCs/>
              </w:rPr>
              <w:fldChar w:fldCharType="begin"/>
            </w:r>
            <w:r>
              <w:rPr>
                <w:rFonts w:ascii="Times New Roman" w:hAnsi="Times New Roman"/>
                <w:b/>
                <w:bCs/>
              </w:rPr>
              <w:instrText xml:space="preserve">PAGE</w:instrText>
            </w:r>
            <w:r>
              <w:rPr>
                <w:rFonts w:ascii="Times New Roman" w:hAnsi="Times New Roman"/>
                <w:b/>
                <w:bCs/>
              </w:rPr>
              <w:fldChar w:fldCharType="separate"/>
            </w:r>
            <w:r>
              <w:rPr>
                <w:rFonts w:ascii="Times New Roman" w:hAnsi="Times New Roman"/>
                <w:b/>
                <w:bCs/>
              </w:rPr>
              <w:t>2</w:t>
            </w:r>
            <w:r>
              <w:rPr>
                <w:rFonts w:ascii="Times New Roman" w:hAnsi="Times New Roman"/>
                <w:b/>
                <w:bCs/>
              </w:rPr>
              <w:fldChar w:fldCharType="end"/>
            </w:r>
            <w:r>
              <w:rPr>
                <w:rFonts w:ascii="Times New Roman" w:hAnsi="Times New Roman"/>
                <w:lang w:val="zh-CN"/>
              </w:rPr>
              <w:t xml:space="preserve"> / </w:t>
            </w:r>
            <w:r>
              <w:rPr>
                <w:rFonts w:ascii="Times New Roman" w:hAnsi="Times New Roman"/>
                <w:b/>
                <w:bCs/>
              </w:rPr>
              <w:fldChar w:fldCharType="begin"/>
            </w:r>
            <w:r>
              <w:rPr>
                <w:rFonts w:ascii="Times New Roman" w:hAnsi="Times New Roman"/>
                <w:b/>
                <w:bCs/>
              </w:rPr>
              <w:instrText xml:space="preserve">NUMPAGES</w:instrText>
            </w:r>
            <w:r>
              <w:rPr>
                <w:rFonts w:ascii="Times New Roman" w:hAnsi="Times New Roman"/>
                <w:b/>
                <w:bCs/>
              </w:rPr>
              <w:fldChar w:fldCharType="separate"/>
            </w:r>
            <w:r>
              <w:rPr>
                <w:rFonts w:ascii="Times New Roman" w:hAnsi="Times New Roman"/>
                <w:b/>
                <w:bCs/>
              </w:rPr>
              <w:t>2</w:t>
            </w:r>
            <w:r>
              <w:rPr>
                <w:rFonts w:ascii="Times New Roman" w:hAnsi="Times New Roman"/>
                <w:b/>
                <w:bCs/>
              </w:rPr>
              <w:fldChar w:fldCharType="end"/>
            </w:r>
          </w:p>
        </w:sdtContent>
      </w:sdt>
    </w:sdtContent>
  </w:sdt>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single" w:color="auto" w:sz="6" w:space="0"/>
      </w:pBdr>
      <w:tabs>
        <w:tab w:val="left" w:pos="3624"/>
      </w:tabs>
      <w:jc w:val="left"/>
    </w:pPr>
    <w:r>
      <w:rPr>
        <w:sz w:val="21"/>
        <w:szCs w:val="21"/>
      </w:rPr>
      <w:drawing>
        <wp:inline distT="0" distB="0" distL="0" distR="0">
          <wp:extent cx="714375" cy="236220"/>
          <wp:effectExtent l="0" t="0" r="9525" b="0"/>
          <wp:docPr id="50" name="图片 50" descr="LOGO透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50" descr="LOGO透明"/>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714375" cy="236220"/>
                  </a:xfrm>
                  <a:prstGeom prst="rect">
                    <a:avLst/>
                  </a:prstGeom>
                  <a:noFill/>
                  <a:ln>
                    <a:noFill/>
                  </a:ln>
                </pic:spPr>
              </pic:pic>
            </a:graphicData>
          </a:graphic>
        </wp:inline>
      </w:drawing>
    </w:r>
    <w:r>
      <w:rPr>
        <w:rFonts w:hint="eastAsia"/>
        <w:sz w:val="21"/>
        <w:szCs w:val="21"/>
      </w:rPr>
      <w:t xml:space="preserve"> </w:t>
    </w:r>
    <w:r>
      <w:rPr>
        <w:rFonts w:hint="eastAsia"/>
      </w:rPr>
      <w:t xml:space="preserve">北京卓诚惠生生物科技股份有限公司                                         </w:t>
    </w:r>
    <w:r>
      <w:rPr>
        <w:rFonts w:ascii="Times New Roman" w:hAnsi="Times New Roman"/>
      </w:rPr>
      <w:t xml:space="preserve">ZCHS-C-YF-JC04-01 </w:t>
    </w:r>
    <w:r>
      <w:rPr>
        <w:rFonts w:hint="eastAsia" w:ascii="Times New Roman" w:hAnsi="Times New Roman"/>
      </w:rPr>
      <w:t xml:space="preserve">  </w:t>
    </w:r>
    <w:r>
      <w:rPr>
        <w:rFonts w:ascii="Times New Roman" w:hAnsi="Times New Roman"/>
      </w:rPr>
      <w:t xml:space="preserve"> V1.3</w:t>
    </w:r>
  </w:p>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00343"/>
    <w:rsid w:val="00006A6A"/>
    <w:rsid w:val="00014090"/>
    <w:rsid w:val="00014B5A"/>
    <w:rsid w:val="00020A65"/>
    <w:rsid w:val="000220AC"/>
    <w:rsid w:val="00025A1A"/>
    <w:rsid w:val="00032AAA"/>
    <w:rsid w:val="0003316A"/>
    <w:rsid w:val="00044629"/>
    <w:rsid w:val="000515F3"/>
    <w:rsid w:val="00053CE9"/>
    <w:rsid w:val="00055DAB"/>
    <w:rsid w:val="0006166F"/>
    <w:rsid w:val="00062E53"/>
    <w:rsid w:val="00064C31"/>
    <w:rsid w:val="00066F50"/>
    <w:rsid w:val="00075A97"/>
    <w:rsid w:val="00077D33"/>
    <w:rsid w:val="000947A0"/>
    <w:rsid w:val="000953A4"/>
    <w:rsid w:val="000A12FA"/>
    <w:rsid w:val="000A503E"/>
    <w:rsid w:val="000B256A"/>
    <w:rsid w:val="000B41D4"/>
    <w:rsid w:val="000B4A61"/>
    <w:rsid w:val="000C2279"/>
    <w:rsid w:val="000C2F5B"/>
    <w:rsid w:val="000C3CF8"/>
    <w:rsid w:val="000D1D69"/>
    <w:rsid w:val="000D3E73"/>
    <w:rsid w:val="000D731B"/>
    <w:rsid w:val="000E44A0"/>
    <w:rsid w:val="000F1B74"/>
    <w:rsid w:val="000F6194"/>
    <w:rsid w:val="0010316D"/>
    <w:rsid w:val="00106724"/>
    <w:rsid w:val="0010706C"/>
    <w:rsid w:val="0011140F"/>
    <w:rsid w:val="00112F36"/>
    <w:rsid w:val="00113DA3"/>
    <w:rsid w:val="00132AEC"/>
    <w:rsid w:val="00135D90"/>
    <w:rsid w:val="001403A7"/>
    <w:rsid w:val="00143457"/>
    <w:rsid w:val="00156549"/>
    <w:rsid w:val="00156A2F"/>
    <w:rsid w:val="00157458"/>
    <w:rsid w:val="00157E0E"/>
    <w:rsid w:val="001607CA"/>
    <w:rsid w:val="00162059"/>
    <w:rsid w:val="00162360"/>
    <w:rsid w:val="00162E87"/>
    <w:rsid w:val="0016547E"/>
    <w:rsid w:val="001766EF"/>
    <w:rsid w:val="0017745B"/>
    <w:rsid w:val="001850E7"/>
    <w:rsid w:val="00186FE6"/>
    <w:rsid w:val="00190AC9"/>
    <w:rsid w:val="001930EA"/>
    <w:rsid w:val="0019497A"/>
    <w:rsid w:val="00195E93"/>
    <w:rsid w:val="001A6397"/>
    <w:rsid w:val="001B0C88"/>
    <w:rsid w:val="001B40BD"/>
    <w:rsid w:val="001B4DE4"/>
    <w:rsid w:val="001B55DD"/>
    <w:rsid w:val="001C1A93"/>
    <w:rsid w:val="001C468C"/>
    <w:rsid w:val="001C5092"/>
    <w:rsid w:val="001D3B11"/>
    <w:rsid w:val="001E3A3C"/>
    <w:rsid w:val="001E56A0"/>
    <w:rsid w:val="001E5BB2"/>
    <w:rsid w:val="001E6ECF"/>
    <w:rsid w:val="002017D5"/>
    <w:rsid w:val="0020182F"/>
    <w:rsid w:val="002024D2"/>
    <w:rsid w:val="0021013C"/>
    <w:rsid w:val="00214842"/>
    <w:rsid w:val="00217A07"/>
    <w:rsid w:val="00221B25"/>
    <w:rsid w:val="00225445"/>
    <w:rsid w:val="0022670D"/>
    <w:rsid w:val="0023497E"/>
    <w:rsid w:val="0024122B"/>
    <w:rsid w:val="00243A6E"/>
    <w:rsid w:val="002566BA"/>
    <w:rsid w:val="00261834"/>
    <w:rsid w:val="002655ED"/>
    <w:rsid w:val="00267E0A"/>
    <w:rsid w:val="0027752E"/>
    <w:rsid w:val="002812FF"/>
    <w:rsid w:val="00281CA2"/>
    <w:rsid w:val="00284DAF"/>
    <w:rsid w:val="00290346"/>
    <w:rsid w:val="0029038D"/>
    <w:rsid w:val="00290D46"/>
    <w:rsid w:val="00293014"/>
    <w:rsid w:val="002A74D2"/>
    <w:rsid w:val="002B397A"/>
    <w:rsid w:val="002B64C0"/>
    <w:rsid w:val="002C1B16"/>
    <w:rsid w:val="002D235F"/>
    <w:rsid w:val="002E1672"/>
    <w:rsid w:val="002E2981"/>
    <w:rsid w:val="002E6DB0"/>
    <w:rsid w:val="002E75CA"/>
    <w:rsid w:val="002E7926"/>
    <w:rsid w:val="002F0326"/>
    <w:rsid w:val="002F16B4"/>
    <w:rsid w:val="00300530"/>
    <w:rsid w:val="003079E6"/>
    <w:rsid w:val="00311726"/>
    <w:rsid w:val="00312FCD"/>
    <w:rsid w:val="003132C5"/>
    <w:rsid w:val="003171BA"/>
    <w:rsid w:val="00321BC3"/>
    <w:rsid w:val="00335514"/>
    <w:rsid w:val="00356CE4"/>
    <w:rsid w:val="00357113"/>
    <w:rsid w:val="00367C2D"/>
    <w:rsid w:val="00373D46"/>
    <w:rsid w:val="00376257"/>
    <w:rsid w:val="00381214"/>
    <w:rsid w:val="003902EC"/>
    <w:rsid w:val="00391214"/>
    <w:rsid w:val="00396027"/>
    <w:rsid w:val="003A2A82"/>
    <w:rsid w:val="003A42AC"/>
    <w:rsid w:val="003A6A8A"/>
    <w:rsid w:val="003B131D"/>
    <w:rsid w:val="003B3969"/>
    <w:rsid w:val="003C32F4"/>
    <w:rsid w:val="003C43ED"/>
    <w:rsid w:val="003C61A6"/>
    <w:rsid w:val="003D26FF"/>
    <w:rsid w:val="003D29B9"/>
    <w:rsid w:val="003D6A79"/>
    <w:rsid w:val="003D6AE8"/>
    <w:rsid w:val="003E096B"/>
    <w:rsid w:val="003E0C5D"/>
    <w:rsid w:val="003F5075"/>
    <w:rsid w:val="00411CAD"/>
    <w:rsid w:val="00414538"/>
    <w:rsid w:val="004206B4"/>
    <w:rsid w:val="00426C88"/>
    <w:rsid w:val="0043766F"/>
    <w:rsid w:val="00450D6B"/>
    <w:rsid w:val="0045524B"/>
    <w:rsid w:val="00456083"/>
    <w:rsid w:val="00462FC5"/>
    <w:rsid w:val="00463FFD"/>
    <w:rsid w:val="00471547"/>
    <w:rsid w:val="00477665"/>
    <w:rsid w:val="00483B82"/>
    <w:rsid w:val="004921DF"/>
    <w:rsid w:val="0049277D"/>
    <w:rsid w:val="00493176"/>
    <w:rsid w:val="004953D3"/>
    <w:rsid w:val="00495A66"/>
    <w:rsid w:val="00495BCC"/>
    <w:rsid w:val="004A6FB3"/>
    <w:rsid w:val="004B0388"/>
    <w:rsid w:val="004B107F"/>
    <w:rsid w:val="004B2365"/>
    <w:rsid w:val="004C5760"/>
    <w:rsid w:val="004D190A"/>
    <w:rsid w:val="004D2EFC"/>
    <w:rsid w:val="004D488C"/>
    <w:rsid w:val="004D4AD0"/>
    <w:rsid w:val="004E2253"/>
    <w:rsid w:val="004E6530"/>
    <w:rsid w:val="004E7458"/>
    <w:rsid w:val="004E755F"/>
    <w:rsid w:val="004F3440"/>
    <w:rsid w:val="004F443A"/>
    <w:rsid w:val="004F6509"/>
    <w:rsid w:val="004F7365"/>
    <w:rsid w:val="00504A4D"/>
    <w:rsid w:val="00513AF3"/>
    <w:rsid w:val="00514781"/>
    <w:rsid w:val="00520E48"/>
    <w:rsid w:val="005236AC"/>
    <w:rsid w:val="00523C9F"/>
    <w:rsid w:val="00525517"/>
    <w:rsid w:val="005262C2"/>
    <w:rsid w:val="00526671"/>
    <w:rsid w:val="0053128A"/>
    <w:rsid w:val="00533914"/>
    <w:rsid w:val="005378C6"/>
    <w:rsid w:val="00543851"/>
    <w:rsid w:val="005504FA"/>
    <w:rsid w:val="005514CD"/>
    <w:rsid w:val="00554816"/>
    <w:rsid w:val="00557FD8"/>
    <w:rsid w:val="00565654"/>
    <w:rsid w:val="0056683E"/>
    <w:rsid w:val="00567959"/>
    <w:rsid w:val="0058078F"/>
    <w:rsid w:val="0058083F"/>
    <w:rsid w:val="00582BEF"/>
    <w:rsid w:val="00584BEA"/>
    <w:rsid w:val="005875CB"/>
    <w:rsid w:val="00592D28"/>
    <w:rsid w:val="005A4990"/>
    <w:rsid w:val="005A575B"/>
    <w:rsid w:val="005A7210"/>
    <w:rsid w:val="005B1B48"/>
    <w:rsid w:val="005B5592"/>
    <w:rsid w:val="005B648A"/>
    <w:rsid w:val="005B7E49"/>
    <w:rsid w:val="005C2C22"/>
    <w:rsid w:val="005C61F0"/>
    <w:rsid w:val="005C65E4"/>
    <w:rsid w:val="005C79B9"/>
    <w:rsid w:val="005D122B"/>
    <w:rsid w:val="005D7D69"/>
    <w:rsid w:val="005E10FD"/>
    <w:rsid w:val="005F37BC"/>
    <w:rsid w:val="005F6D8E"/>
    <w:rsid w:val="005F6F48"/>
    <w:rsid w:val="00600343"/>
    <w:rsid w:val="00603D7C"/>
    <w:rsid w:val="00607343"/>
    <w:rsid w:val="006119CD"/>
    <w:rsid w:val="00611CEC"/>
    <w:rsid w:val="00614C47"/>
    <w:rsid w:val="00620C57"/>
    <w:rsid w:val="006254F0"/>
    <w:rsid w:val="00627976"/>
    <w:rsid w:val="0063062B"/>
    <w:rsid w:val="006344FC"/>
    <w:rsid w:val="00643191"/>
    <w:rsid w:val="00644B39"/>
    <w:rsid w:val="006453C1"/>
    <w:rsid w:val="00654B5D"/>
    <w:rsid w:val="00656521"/>
    <w:rsid w:val="00657D84"/>
    <w:rsid w:val="00660E9D"/>
    <w:rsid w:val="006655B1"/>
    <w:rsid w:val="006723D0"/>
    <w:rsid w:val="0067272A"/>
    <w:rsid w:val="00683150"/>
    <w:rsid w:val="0069504C"/>
    <w:rsid w:val="006A3DA0"/>
    <w:rsid w:val="006A4843"/>
    <w:rsid w:val="006B377F"/>
    <w:rsid w:val="006B7FF3"/>
    <w:rsid w:val="006C1EA4"/>
    <w:rsid w:val="006C235B"/>
    <w:rsid w:val="006C39A5"/>
    <w:rsid w:val="006C56F3"/>
    <w:rsid w:val="006E1B9D"/>
    <w:rsid w:val="006E5A44"/>
    <w:rsid w:val="006E6C06"/>
    <w:rsid w:val="006F13C3"/>
    <w:rsid w:val="006F7E1D"/>
    <w:rsid w:val="00702953"/>
    <w:rsid w:val="00720424"/>
    <w:rsid w:val="00724ABC"/>
    <w:rsid w:val="00735A32"/>
    <w:rsid w:val="00735B6D"/>
    <w:rsid w:val="00736A22"/>
    <w:rsid w:val="00743105"/>
    <w:rsid w:val="007453CE"/>
    <w:rsid w:val="0074631E"/>
    <w:rsid w:val="007472EC"/>
    <w:rsid w:val="0075012A"/>
    <w:rsid w:val="0075129F"/>
    <w:rsid w:val="00753370"/>
    <w:rsid w:val="00754B72"/>
    <w:rsid w:val="00757435"/>
    <w:rsid w:val="00765259"/>
    <w:rsid w:val="007720C9"/>
    <w:rsid w:val="00772517"/>
    <w:rsid w:val="00772B6F"/>
    <w:rsid w:val="00776752"/>
    <w:rsid w:val="007860F8"/>
    <w:rsid w:val="0078711E"/>
    <w:rsid w:val="007929D0"/>
    <w:rsid w:val="00794457"/>
    <w:rsid w:val="007A2629"/>
    <w:rsid w:val="007A3B5B"/>
    <w:rsid w:val="007A3D8D"/>
    <w:rsid w:val="007A58A9"/>
    <w:rsid w:val="007A64EE"/>
    <w:rsid w:val="007B2989"/>
    <w:rsid w:val="007B5D42"/>
    <w:rsid w:val="007C1A75"/>
    <w:rsid w:val="007C3C3B"/>
    <w:rsid w:val="007C66F7"/>
    <w:rsid w:val="007D0BA8"/>
    <w:rsid w:val="007D2ED0"/>
    <w:rsid w:val="007E0D63"/>
    <w:rsid w:val="007E1366"/>
    <w:rsid w:val="007F36D7"/>
    <w:rsid w:val="007F410B"/>
    <w:rsid w:val="007F5CFC"/>
    <w:rsid w:val="0080045D"/>
    <w:rsid w:val="00810138"/>
    <w:rsid w:val="00814438"/>
    <w:rsid w:val="00815EC8"/>
    <w:rsid w:val="00816490"/>
    <w:rsid w:val="00816856"/>
    <w:rsid w:val="008324FD"/>
    <w:rsid w:val="0083470B"/>
    <w:rsid w:val="00845154"/>
    <w:rsid w:val="0084651A"/>
    <w:rsid w:val="00846B97"/>
    <w:rsid w:val="0085499F"/>
    <w:rsid w:val="00866FB4"/>
    <w:rsid w:val="0088456C"/>
    <w:rsid w:val="0089340C"/>
    <w:rsid w:val="008975AB"/>
    <w:rsid w:val="008A0704"/>
    <w:rsid w:val="008A2D1C"/>
    <w:rsid w:val="008A6C7C"/>
    <w:rsid w:val="008B47FB"/>
    <w:rsid w:val="008C2429"/>
    <w:rsid w:val="008C45AB"/>
    <w:rsid w:val="008C5ECF"/>
    <w:rsid w:val="008D1C4F"/>
    <w:rsid w:val="008D3097"/>
    <w:rsid w:val="008D5CFF"/>
    <w:rsid w:val="008F3435"/>
    <w:rsid w:val="00906E49"/>
    <w:rsid w:val="00913991"/>
    <w:rsid w:val="009175B2"/>
    <w:rsid w:val="00920BD1"/>
    <w:rsid w:val="00925D24"/>
    <w:rsid w:val="00925ECE"/>
    <w:rsid w:val="0093072D"/>
    <w:rsid w:val="00932B13"/>
    <w:rsid w:val="00934319"/>
    <w:rsid w:val="00934831"/>
    <w:rsid w:val="009349D8"/>
    <w:rsid w:val="00935A5B"/>
    <w:rsid w:val="00937442"/>
    <w:rsid w:val="00944BA9"/>
    <w:rsid w:val="00946DF3"/>
    <w:rsid w:val="0095038E"/>
    <w:rsid w:val="00955565"/>
    <w:rsid w:val="0095622E"/>
    <w:rsid w:val="00956D68"/>
    <w:rsid w:val="00956DD3"/>
    <w:rsid w:val="00962AE5"/>
    <w:rsid w:val="00966580"/>
    <w:rsid w:val="00966595"/>
    <w:rsid w:val="009668C0"/>
    <w:rsid w:val="00970F4F"/>
    <w:rsid w:val="0097158B"/>
    <w:rsid w:val="00972FAE"/>
    <w:rsid w:val="00975D2B"/>
    <w:rsid w:val="00980B55"/>
    <w:rsid w:val="00980B79"/>
    <w:rsid w:val="009810FC"/>
    <w:rsid w:val="009824C4"/>
    <w:rsid w:val="009862A4"/>
    <w:rsid w:val="00994646"/>
    <w:rsid w:val="009A6C5C"/>
    <w:rsid w:val="009B190D"/>
    <w:rsid w:val="009B2536"/>
    <w:rsid w:val="009B458F"/>
    <w:rsid w:val="009B5C5C"/>
    <w:rsid w:val="009C213F"/>
    <w:rsid w:val="009D0031"/>
    <w:rsid w:val="009D2353"/>
    <w:rsid w:val="009D3F60"/>
    <w:rsid w:val="009D3FB1"/>
    <w:rsid w:val="009D7937"/>
    <w:rsid w:val="009E7F8D"/>
    <w:rsid w:val="00A00D8F"/>
    <w:rsid w:val="00A14B72"/>
    <w:rsid w:val="00A16821"/>
    <w:rsid w:val="00A17E65"/>
    <w:rsid w:val="00A20878"/>
    <w:rsid w:val="00A22103"/>
    <w:rsid w:val="00A223FE"/>
    <w:rsid w:val="00A231DC"/>
    <w:rsid w:val="00A246CE"/>
    <w:rsid w:val="00A25C03"/>
    <w:rsid w:val="00A2638F"/>
    <w:rsid w:val="00A308AE"/>
    <w:rsid w:val="00A30F63"/>
    <w:rsid w:val="00A32CF6"/>
    <w:rsid w:val="00A339B1"/>
    <w:rsid w:val="00A407F8"/>
    <w:rsid w:val="00A514C8"/>
    <w:rsid w:val="00A55921"/>
    <w:rsid w:val="00A638C0"/>
    <w:rsid w:val="00A6546B"/>
    <w:rsid w:val="00A742A4"/>
    <w:rsid w:val="00A802CE"/>
    <w:rsid w:val="00A82B85"/>
    <w:rsid w:val="00AA229A"/>
    <w:rsid w:val="00AA4E38"/>
    <w:rsid w:val="00AB3363"/>
    <w:rsid w:val="00AB393F"/>
    <w:rsid w:val="00AB626F"/>
    <w:rsid w:val="00AC05A6"/>
    <w:rsid w:val="00AD28D3"/>
    <w:rsid w:val="00AF1D5E"/>
    <w:rsid w:val="00B03E6F"/>
    <w:rsid w:val="00B04CAA"/>
    <w:rsid w:val="00B10B68"/>
    <w:rsid w:val="00B1182E"/>
    <w:rsid w:val="00B27219"/>
    <w:rsid w:val="00B2793C"/>
    <w:rsid w:val="00B31B3C"/>
    <w:rsid w:val="00B423A1"/>
    <w:rsid w:val="00B42FE9"/>
    <w:rsid w:val="00B43531"/>
    <w:rsid w:val="00B44B71"/>
    <w:rsid w:val="00B45E48"/>
    <w:rsid w:val="00B50CC8"/>
    <w:rsid w:val="00B565ED"/>
    <w:rsid w:val="00B61123"/>
    <w:rsid w:val="00B627A6"/>
    <w:rsid w:val="00B647AA"/>
    <w:rsid w:val="00B64A49"/>
    <w:rsid w:val="00B66595"/>
    <w:rsid w:val="00B826D7"/>
    <w:rsid w:val="00B949B2"/>
    <w:rsid w:val="00BA17E7"/>
    <w:rsid w:val="00BC4FEF"/>
    <w:rsid w:val="00BD0058"/>
    <w:rsid w:val="00BD2CB7"/>
    <w:rsid w:val="00BD5730"/>
    <w:rsid w:val="00BE3356"/>
    <w:rsid w:val="00BE5251"/>
    <w:rsid w:val="00BF2065"/>
    <w:rsid w:val="00C03F73"/>
    <w:rsid w:val="00C0467C"/>
    <w:rsid w:val="00C06C28"/>
    <w:rsid w:val="00C115B7"/>
    <w:rsid w:val="00C21487"/>
    <w:rsid w:val="00C23079"/>
    <w:rsid w:val="00C234C7"/>
    <w:rsid w:val="00C274CA"/>
    <w:rsid w:val="00C27513"/>
    <w:rsid w:val="00C3427A"/>
    <w:rsid w:val="00C51412"/>
    <w:rsid w:val="00C5152D"/>
    <w:rsid w:val="00C5355E"/>
    <w:rsid w:val="00C5448F"/>
    <w:rsid w:val="00C56097"/>
    <w:rsid w:val="00C567AB"/>
    <w:rsid w:val="00C600AD"/>
    <w:rsid w:val="00C60967"/>
    <w:rsid w:val="00C62391"/>
    <w:rsid w:val="00C641B7"/>
    <w:rsid w:val="00C64774"/>
    <w:rsid w:val="00C67A93"/>
    <w:rsid w:val="00C71291"/>
    <w:rsid w:val="00C814CA"/>
    <w:rsid w:val="00C92861"/>
    <w:rsid w:val="00C92EE6"/>
    <w:rsid w:val="00C94280"/>
    <w:rsid w:val="00C974A6"/>
    <w:rsid w:val="00CA37EC"/>
    <w:rsid w:val="00CA74AC"/>
    <w:rsid w:val="00CB1632"/>
    <w:rsid w:val="00CB2C6C"/>
    <w:rsid w:val="00CB54D8"/>
    <w:rsid w:val="00CB70A7"/>
    <w:rsid w:val="00CC2611"/>
    <w:rsid w:val="00CC2FFF"/>
    <w:rsid w:val="00CD1BD0"/>
    <w:rsid w:val="00CE0A92"/>
    <w:rsid w:val="00CE188D"/>
    <w:rsid w:val="00CE2880"/>
    <w:rsid w:val="00CE6BB0"/>
    <w:rsid w:val="00CE7651"/>
    <w:rsid w:val="00CF23E2"/>
    <w:rsid w:val="00CF50D2"/>
    <w:rsid w:val="00CF5B6D"/>
    <w:rsid w:val="00D01510"/>
    <w:rsid w:val="00D01EEE"/>
    <w:rsid w:val="00D10F8E"/>
    <w:rsid w:val="00D13A8A"/>
    <w:rsid w:val="00D16300"/>
    <w:rsid w:val="00D17610"/>
    <w:rsid w:val="00D26173"/>
    <w:rsid w:val="00D31B14"/>
    <w:rsid w:val="00D34ADB"/>
    <w:rsid w:val="00D3663B"/>
    <w:rsid w:val="00D40519"/>
    <w:rsid w:val="00D410F6"/>
    <w:rsid w:val="00D42D9B"/>
    <w:rsid w:val="00D46C88"/>
    <w:rsid w:val="00D47110"/>
    <w:rsid w:val="00D53FBB"/>
    <w:rsid w:val="00D55527"/>
    <w:rsid w:val="00D61FA5"/>
    <w:rsid w:val="00D62F54"/>
    <w:rsid w:val="00D665D3"/>
    <w:rsid w:val="00D74774"/>
    <w:rsid w:val="00D77FC3"/>
    <w:rsid w:val="00D808F8"/>
    <w:rsid w:val="00D80E57"/>
    <w:rsid w:val="00D84A59"/>
    <w:rsid w:val="00DB0D8B"/>
    <w:rsid w:val="00DB12AA"/>
    <w:rsid w:val="00DB54A8"/>
    <w:rsid w:val="00DD11BB"/>
    <w:rsid w:val="00DD12D9"/>
    <w:rsid w:val="00DD3109"/>
    <w:rsid w:val="00DD7BA0"/>
    <w:rsid w:val="00DE0B5C"/>
    <w:rsid w:val="00DE4BFA"/>
    <w:rsid w:val="00DE689F"/>
    <w:rsid w:val="00DE6C6C"/>
    <w:rsid w:val="00DF227B"/>
    <w:rsid w:val="00DF5AAF"/>
    <w:rsid w:val="00E0180C"/>
    <w:rsid w:val="00E07655"/>
    <w:rsid w:val="00E07662"/>
    <w:rsid w:val="00E15D7E"/>
    <w:rsid w:val="00E21697"/>
    <w:rsid w:val="00E376AE"/>
    <w:rsid w:val="00E41B91"/>
    <w:rsid w:val="00E43533"/>
    <w:rsid w:val="00E46484"/>
    <w:rsid w:val="00E46574"/>
    <w:rsid w:val="00E4745F"/>
    <w:rsid w:val="00E50D06"/>
    <w:rsid w:val="00E51A3B"/>
    <w:rsid w:val="00E5397C"/>
    <w:rsid w:val="00E632A0"/>
    <w:rsid w:val="00E648D4"/>
    <w:rsid w:val="00E66FCD"/>
    <w:rsid w:val="00E75F0C"/>
    <w:rsid w:val="00E82EE6"/>
    <w:rsid w:val="00E83C05"/>
    <w:rsid w:val="00E86027"/>
    <w:rsid w:val="00E91019"/>
    <w:rsid w:val="00E91438"/>
    <w:rsid w:val="00E9174A"/>
    <w:rsid w:val="00E91C89"/>
    <w:rsid w:val="00E947F3"/>
    <w:rsid w:val="00E9532A"/>
    <w:rsid w:val="00E96D93"/>
    <w:rsid w:val="00EA4050"/>
    <w:rsid w:val="00EA6498"/>
    <w:rsid w:val="00EA734F"/>
    <w:rsid w:val="00EB1088"/>
    <w:rsid w:val="00EB12BF"/>
    <w:rsid w:val="00EB2424"/>
    <w:rsid w:val="00EB263F"/>
    <w:rsid w:val="00EB31F2"/>
    <w:rsid w:val="00EB3B34"/>
    <w:rsid w:val="00EB7444"/>
    <w:rsid w:val="00ED0CCA"/>
    <w:rsid w:val="00ED2E94"/>
    <w:rsid w:val="00EE4097"/>
    <w:rsid w:val="00EF2903"/>
    <w:rsid w:val="00EF48F1"/>
    <w:rsid w:val="00EF61F2"/>
    <w:rsid w:val="00F00306"/>
    <w:rsid w:val="00F028F3"/>
    <w:rsid w:val="00F233D8"/>
    <w:rsid w:val="00F26203"/>
    <w:rsid w:val="00F35873"/>
    <w:rsid w:val="00F35C02"/>
    <w:rsid w:val="00F37420"/>
    <w:rsid w:val="00F37BEB"/>
    <w:rsid w:val="00F453EF"/>
    <w:rsid w:val="00F45BD7"/>
    <w:rsid w:val="00F45BF0"/>
    <w:rsid w:val="00F464DC"/>
    <w:rsid w:val="00F4775C"/>
    <w:rsid w:val="00F533A7"/>
    <w:rsid w:val="00F55B4D"/>
    <w:rsid w:val="00F62E6F"/>
    <w:rsid w:val="00F710AA"/>
    <w:rsid w:val="00F74372"/>
    <w:rsid w:val="00F77056"/>
    <w:rsid w:val="00F86CC4"/>
    <w:rsid w:val="00F86E9E"/>
    <w:rsid w:val="00F87FC6"/>
    <w:rsid w:val="00FA1741"/>
    <w:rsid w:val="00FA25BB"/>
    <w:rsid w:val="00FA3ECA"/>
    <w:rsid w:val="00FB2A1F"/>
    <w:rsid w:val="00FB6F6A"/>
    <w:rsid w:val="00FC2240"/>
    <w:rsid w:val="00FC303E"/>
    <w:rsid w:val="00FC3F63"/>
    <w:rsid w:val="00FC5E3A"/>
    <w:rsid w:val="00FD0269"/>
    <w:rsid w:val="00FE0546"/>
    <w:rsid w:val="00FE31C5"/>
    <w:rsid w:val="00FF353D"/>
    <w:rsid w:val="0EF60291"/>
    <w:rsid w:val="1CCE63CB"/>
    <w:rsid w:val="1D562644"/>
    <w:rsid w:val="1E331FC7"/>
    <w:rsid w:val="1E946031"/>
    <w:rsid w:val="27162BCA"/>
    <w:rsid w:val="31CD3515"/>
    <w:rsid w:val="38164175"/>
    <w:rsid w:val="3C413D58"/>
    <w:rsid w:val="49CF0596"/>
    <w:rsid w:val="4A3809B6"/>
    <w:rsid w:val="4D071AE6"/>
    <w:rsid w:val="53AD51DF"/>
    <w:rsid w:val="62A52D74"/>
    <w:rsid w:val="77193FD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iPriority="0" w:name="heading 2" w:locked="1"/>
    <w:lsdException w:qFormat="1" w:uiPriority="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nhideWhenUsed="0" w:uiPriority="0" w:semiHidden="0" w:name="toc 1" w:locked="1"/>
    <w:lsdException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uiPriority="0" w:name="Normal Indent"/>
    <w:lsdException w:uiPriority="0" w:name="footnote text"/>
    <w:lsdException w:qFormat="1" w:uiPriority="0" w:semiHidden="0" w:name="annotation text"/>
    <w:lsdException w:qFormat="1" w:unhideWhenUsed="0" w:uiPriority="99" w:name="header"/>
    <w:lsdException w:qFormat="1" w:unhideWhenUsed="0" w:uiPriority="99" w:semiHidden="0" w:name="footer"/>
    <w:lsdException w:uiPriority="0" w:name="index heading"/>
    <w:lsdException w:qFormat="1" w:uiPriority="0" w:name="caption" w:locked="1"/>
    <w:lsdException w:uiPriority="0" w:name="table of figures"/>
    <w:lsdException w:uiPriority="0" w:name="envelope address"/>
    <w:lsdException w:uiPriority="0" w:name="envelope return"/>
    <w:lsdException w:uiPriority="0" w:name="footnote reference"/>
    <w:lsdException w:qFormat="1" w:uiPriority="0" w:semiHidden="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ocked="1"/>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ocked="1"/>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uiPriority="0" w:name="FollowedHyperlink"/>
    <w:lsdException w:qFormat="1" w:unhideWhenUsed="0" w:uiPriority="0" w:semiHidden="0" w:name="Strong" w:locked="1"/>
    <w:lsdException w:qFormat="1" w:unhideWhenUsed="0" w:uiPriority="0" w:semiHidden="0" w:name="Emphasis" w:locked="1"/>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uiPriority="99" w:name="Normal Table"/>
    <w:lsdException w:qFormat="1" w:uiPriority="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uiPriority w:val="99"/>
    <w:tblPr>
      <w:tblCellMar>
        <w:top w:w="0" w:type="dxa"/>
        <w:left w:w="108" w:type="dxa"/>
        <w:bottom w:w="0" w:type="dxa"/>
        <w:right w:w="108" w:type="dxa"/>
      </w:tblCellMar>
    </w:tblPr>
  </w:style>
  <w:style w:type="paragraph" w:styleId="2">
    <w:name w:val="annotation text"/>
    <w:basedOn w:val="1"/>
    <w:link w:val="19"/>
    <w:unhideWhenUsed/>
    <w:qFormat/>
    <w:uiPriority w:val="0"/>
    <w:pPr>
      <w:jc w:val="left"/>
    </w:pPr>
  </w:style>
  <w:style w:type="paragraph" w:styleId="3">
    <w:name w:val="Balloon Text"/>
    <w:basedOn w:val="1"/>
    <w:link w:val="17"/>
    <w:semiHidden/>
    <w:qFormat/>
    <w:uiPriority w:val="99"/>
    <w:rPr>
      <w:sz w:val="18"/>
      <w:szCs w:val="18"/>
    </w:rPr>
  </w:style>
  <w:style w:type="paragraph" w:styleId="4">
    <w:name w:val="footer"/>
    <w:basedOn w:val="1"/>
    <w:link w:val="16"/>
    <w:qFormat/>
    <w:uiPriority w:val="99"/>
    <w:pPr>
      <w:tabs>
        <w:tab w:val="center" w:pos="4153"/>
        <w:tab w:val="right" w:pos="8306"/>
      </w:tabs>
      <w:snapToGrid w:val="0"/>
      <w:jc w:val="left"/>
    </w:pPr>
    <w:rPr>
      <w:rFonts w:ascii="Calibri" w:hAnsi="Calibri"/>
      <w:sz w:val="18"/>
      <w:szCs w:val="18"/>
    </w:rPr>
  </w:style>
  <w:style w:type="paragraph" w:styleId="5">
    <w:name w:val="header"/>
    <w:basedOn w:val="1"/>
    <w:link w:val="15"/>
    <w:semiHidden/>
    <w:qFormat/>
    <w:uiPriority w:val="99"/>
    <w:pPr>
      <w:pBdr>
        <w:bottom w:val="single" w:color="auto" w:sz="6" w:space="1"/>
      </w:pBdr>
      <w:tabs>
        <w:tab w:val="center" w:pos="4153"/>
        <w:tab w:val="right" w:pos="8306"/>
      </w:tabs>
      <w:snapToGrid w:val="0"/>
      <w:jc w:val="center"/>
    </w:pPr>
    <w:rPr>
      <w:rFonts w:ascii="Calibri" w:hAnsi="Calibri"/>
      <w:sz w:val="18"/>
      <w:szCs w:val="18"/>
    </w:rPr>
  </w:style>
  <w:style w:type="paragraph" w:styleId="6">
    <w:name w:val="annotation subject"/>
    <w:basedOn w:val="2"/>
    <w:next w:val="2"/>
    <w:link w:val="20"/>
    <w:semiHidden/>
    <w:unhideWhenUsed/>
    <w:qFormat/>
    <w:uiPriority w:val="0"/>
    <w:rPr>
      <w:b/>
      <w:bCs/>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0">
    <w:name w:val="Hyperlink"/>
    <w:basedOn w:val="9"/>
    <w:qFormat/>
    <w:uiPriority w:val="99"/>
    <w:rPr>
      <w:rFonts w:cs="Times New Roman"/>
      <w:color w:val="0000FF"/>
      <w:u w:val="single"/>
    </w:rPr>
  </w:style>
  <w:style w:type="character" w:styleId="11">
    <w:name w:val="annotation reference"/>
    <w:basedOn w:val="9"/>
    <w:unhideWhenUsed/>
    <w:qFormat/>
    <w:uiPriority w:val="0"/>
    <w:rPr>
      <w:sz w:val="21"/>
      <w:szCs w:val="21"/>
    </w:rPr>
  </w:style>
  <w:style w:type="paragraph" w:customStyle="1" w:styleId="12">
    <w:name w:val="无间隔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3">
    <w:name w:val="cjk"/>
    <w:basedOn w:val="1"/>
    <w:qFormat/>
    <w:uiPriority w:val="99"/>
    <w:pPr>
      <w:widowControl/>
      <w:spacing w:before="100" w:beforeAutospacing="1" w:after="119"/>
    </w:pPr>
    <w:rPr>
      <w:rFonts w:ascii="宋体" w:hAnsi="宋体" w:cs="宋体"/>
      <w:color w:val="000000"/>
      <w:kern w:val="0"/>
      <w:sz w:val="20"/>
      <w:szCs w:val="20"/>
    </w:rPr>
  </w:style>
  <w:style w:type="paragraph" w:customStyle="1" w:styleId="14">
    <w:name w:val="列出段落1"/>
    <w:basedOn w:val="1"/>
    <w:qFormat/>
    <w:uiPriority w:val="99"/>
    <w:pPr>
      <w:ind w:firstLine="420" w:firstLineChars="200"/>
    </w:pPr>
  </w:style>
  <w:style w:type="character" w:customStyle="1" w:styleId="15">
    <w:name w:val="页眉 字符"/>
    <w:basedOn w:val="9"/>
    <w:link w:val="5"/>
    <w:semiHidden/>
    <w:qFormat/>
    <w:locked/>
    <w:uiPriority w:val="99"/>
    <w:rPr>
      <w:rFonts w:cs="Times New Roman"/>
      <w:sz w:val="18"/>
      <w:szCs w:val="18"/>
    </w:rPr>
  </w:style>
  <w:style w:type="character" w:customStyle="1" w:styleId="16">
    <w:name w:val="页脚 字符"/>
    <w:basedOn w:val="9"/>
    <w:link w:val="4"/>
    <w:qFormat/>
    <w:locked/>
    <w:uiPriority w:val="99"/>
    <w:rPr>
      <w:rFonts w:cs="Times New Roman"/>
      <w:sz w:val="18"/>
      <w:szCs w:val="18"/>
    </w:rPr>
  </w:style>
  <w:style w:type="character" w:customStyle="1" w:styleId="17">
    <w:name w:val="批注框文本 字符"/>
    <w:basedOn w:val="9"/>
    <w:link w:val="3"/>
    <w:semiHidden/>
    <w:qFormat/>
    <w:locked/>
    <w:uiPriority w:val="99"/>
    <w:rPr>
      <w:rFonts w:ascii="Times New Roman" w:hAnsi="Times New Roman" w:eastAsia="宋体" w:cs="Times New Roman"/>
      <w:sz w:val="18"/>
      <w:szCs w:val="18"/>
    </w:rPr>
  </w:style>
  <w:style w:type="paragraph" w:styleId="18">
    <w:name w:val="List Paragraph"/>
    <w:basedOn w:val="1"/>
    <w:qFormat/>
    <w:uiPriority w:val="34"/>
    <w:pPr>
      <w:ind w:firstLine="420" w:firstLineChars="200"/>
    </w:pPr>
  </w:style>
  <w:style w:type="character" w:customStyle="1" w:styleId="19">
    <w:name w:val="批注文字 字符"/>
    <w:basedOn w:val="9"/>
    <w:link w:val="2"/>
    <w:semiHidden/>
    <w:qFormat/>
    <w:uiPriority w:val="0"/>
    <w:rPr>
      <w:rFonts w:ascii="Times New Roman" w:hAnsi="Times New Roman" w:cs="Times New Roman"/>
      <w:kern w:val="2"/>
      <w:sz w:val="21"/>
      <w:szCs w:val="24"/>
    </w:rPr>
  </w:style>
  <w:style w:type="character" w:customStyle="1" w:styleId="20">
    <w:name w:val="批注主题 字符"/>
    <w:basedOn w:val="19"/>
    <w:link w:val="6"/>
    <w:semiHidden/>
    <w:qFormat/>
    <w:uiPriority w:val="0"/>
    <w:rPr>
      <w:rFonts w:ascii="Times New Roman" w:hAnsi="Times New Roman" w:cs="Times New Roman"/>
      <w:b/>
      <w:bCs/>
      <w:kern w:val="2"/>
      <w:sz w:val="21"/>
      <w:szCs w:val="24"/>
    </w:rPr>
  </w:style>
  <w:style w:type="paragraph" w:customStyle="1" w:styleId="21">
    <w:name w:val="Default"/>
    <w:qFormat/>
    <w:uiPriority w:val="99"/>
    <w:pPr>
      <w:widowControl w:val="0"/>
      <w:autoSpaceDE w:val="0"/>
      <w:autoSpaceDN w:val="0"/>
      <w:adjustRightInd w:val="0"/>
    </w:pPr>
    <w:rPr>
      <w:rFonts w:ascii="隶书" w:hAnsi="Times New Roman" w:eastAsia="隶书" w:cs="隶书"/>
      <w:color w:val="000000"/>
      <w:sz w:val="24"/>
      <w:szCs w:val="24"/>
      <w:lang w:val="en-US" w:eastAsia="zh-CN" w:bidi="ar-SA"/>
    </w:rPr>
  </w:style>
  <w:style w:type="character" w:customStyle="1" w:styleId="22">
    <w:name w:val="op_dict_text2"/>
    <w:basedOn w:val="9"/>
    <w:qFormat/>
    <w:uiPriority w:val="0"/>
  </w:style>
  <w:style w:type="paragraph" w:customStyle="1" w:styleId="2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file>

<file path=customXml/itemProps1.xml><?xml version="1.0" encoding="utf-8"?>
<ds:datastoreItem xmlns:ds="http://schemas.openxmlformats.org/officeDocument/2006/customXml" ds:itemID="{839FD9C9-D606-4081-A994-9BA16BE557EB}">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2</Pages>
  <Words>4457</Words>
  <Characters>5558</Characters>
  <Lines>42</Lines>
  <Paragraphs>11</Paragraphs>
  <TotalTime>558</TotalTime>
  <ScaleCrop>false</ScaleCrop>
  <LinksUpToDate>false</LinksUpToDate>
  <CharactersWithSpaces>5674</CharactersWithSpaces>
  <Application>WPS Office_11.1.0.14309_F1E327BC-269C-435d-A152-05C5408002CA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2018-10-26T02:05:00Z</dcterms:created>
  <dc:creator>Windows 用户</dc:creator>
  <cp:lastModifiedBy>丹姐爱吃鱼</cp:lastModifiedBy>
  <cp:lastPrinted>2019-09-20T05:29:00Z</cp:lastPrinted>
  <dcterms:modified xsi:type="dcterms:W3CDTF">2023-07-20T02:10:31Z</dcterms:modified>
  <dc:title>_x0001_</dc:title>
  <cp:revision>50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2052-11.1.0.14309</vt:lpwstr>
  </property>
  <property fmtid="{D5CDD505-2E9C-101B-9397-08002B2CF9AE}" pid="3" name="ICV">
    <vt:lpwstr>A899927817B54A8AB9612B26976448E9_13</vt:lpwstr>
  </property>
</Properties>
</file>