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rPr>
      </w:pPr>
    </w:p>
    <w:p>
      <w:pPr>
        <w:pStyle w:val="BodyText"/>
        <w:spacing w:line="240" w:lineRule="auto" w:before="9"/>
        <w:ind w:left="0"/>
        <w:rPr>
          <w:rFonts w:ascii="Times New Roman"/>
          <w:sz w:val="14"/>
        </w:rPr>
      </w:pPr>
    </w:p>
    <w:p>
      <w:pPr>
        <w:pStyle w:val="Heading1"/>
        <w:spacing w:line="200" w:lineRule="exact"/>
        <w:ind w:left="129"/>
      </w:pPr>
      <w:r>
        <w:rPr/>
        <w:t>【产品名称】</w:t>
      </w:r>
    </w:p>
    <w:p>
      <w:pPr>
        <w:spacing w:before="66"/>
        <w:ind w:left="129" w:right="0" w:firstLine="0"/>
        <w:jc w:val="left"/>
        <w:rPr>
          <w:b/>
          <w:sz w:val="21"/>
        </w:rPr>
      </w:pPr>
      <w:r>
        <w:rPr/>
        <w:br w:type="column"/>
      </w:r>
      <w:r>
        <w:rPr>
          <w:b/>
          <w:sz w:val="21"/>
        </w:rPr>
        <w:t>丙型肝炎病毒基因分型检测试剂盒（</w:t>
      </w:r>
      <w:r>
        <w:rPr>
          <w:rFonts w:ascii="Times New Roman" w:eastAsia="Times New Roman"/>
          <w:b/>
          <w:sz w:val="21"/>
        </w:rPr>
        <w:t>PCR-</w:t>
      </w:r>
      <w:r>
        <w:rPr>
          <w:b/>
          <w:sz w:val="21"/>
        </w:rPr>
        <w:t>荧光探针法）说明书</w:t>
      </w:r>
    </w:p>
    <w:p>
      <w:pPr>
        <w:spacing w:after="0"/>
        <w:jc w:val="left"/>
        <w:rPr>
          <w:sz w:val="21"/>
        </w:rPr>
        <w:sectPr>
          <w:headerReference w:type="default" r:id="rId5"/>
          <w:footerReference w:type="default" r:id="rId6"/>
          <w:type w:val="continuous"/>
          <w:pgSz w:w="11910" w:h="16840"/>
          <w:pgMar w:header="462" w:footer="436" w:top="680" w:bottom="620" w:left="780" w:right="700"/>
          <w:pgNumType w:start="1"/>
          <w:cols w:num="2" w:equalWidth="0">
            <w:col w:w="1252" w:space="915"/>
            <w:col w:w="8263"/>
          </w:cols>
        </w:sectPr>
      </w:pPr>
    </w:p>
    <w:p>
      <w:pPr>
        <w:pStyle w:val="BodyText"/>
        <w:spacing w:line="186" w:lineRule="exact"/>
        <w:ind w:left="129"/>
      </w:pPr>
      <w:r>
        <w:rPr/>
        <w:pict>
          <v:line style="position:absolute;mso-position-horizontal-relative:page;mso-position-vertical-relative:page;z-index:251658240" from="45.349998pt,35.710026pt" to="549.949998pt,35.710026pt" stroked="true" strokeweight=".72pt" strokecolor="#000000">
            <v:stroke dashstyle="solid"/>
            <w10:wrap type="none"/>
          </v:line>
        </w:pict>
      </w:r>
      <w:r>
        <w:rPr/>
        <w:t>通用名称：丙型肝炎病毒基因分型检测试剂盒（</w:t>
      </w:r>
      <w:r>
        <w:rPr>
          <w:rFonts w:ascii="Times New Roman" w:eastAsia="Times New Roman"/>
        </w:rPr>
        <w:t>PCR-</w:t>
      </w:r>
      <w:r>
        <w:rPr/>
        <w:t>荧光探针法）</w:t>
      </w:r>
    </w:p>
    <w:p>
      <w:pPr>
        <w:spacing w:line="180" w:lineRule="exact" w:before="0"/>
        <w:ind w:left="127" w:right="0" w:firstLine="0"/>
        <w:jc w:val="left"/>
        <w:rPr>
          <w:sz w:val="18"/>
        </w:rPr>
      </w:pPr>
      <w:r>
        <w:rPr>
          <w:b/>
          <w:sz w:val="18"/>
        </w:rPr>
        <w:t>【包装规格】</w:t>
      </w:r>
      <w:r>
        <w:rPr>
          <w:rFonts w:ascii="Times New Roman" w:eastAsia="Times New Roman"/>
          <w:sz w:val="18"/>
        </w:rPr>
        <w:t>12 </w:t>
      </w:r>
      <w:r>
        <w:rPr>
          <w:sz w:val="18"/>
        </w:rPr>
        <w:t>人份</w:t>
      </w:r>
      <w:r>
        <w:rPr>
          <w:rFonts w:ascii="Times New Roman" w:eastAsia="Times New Roman"/>
          <w:sz w:val="18"/>
        </w:rPr>
        <w:t>/</w:t>
      </w:r>
      <w:r>
        <w:rPr>
          <w:sz w:val="18"/>
        </w:rPr>
        <w:t>盒</w:t>
      </w:r>
    </w:p>
    <w:p>
      <w:pPr>
        <w:pStyle w:val="Heading1"/>
      </w:pPr>
      <w:r>
        <w:rPr/>
        <w:t>【预期用途】</w:t>
      </w:r>
    </w:p>
    <w:p>
      <w:pPr>
        <w:pStyle w:val="BodyText"/>
        <w:spacing w:line="187" w:lineRule="auto" w:before="14"/>
        <w:ind w:right="199" w:firstLine="283"/>
      </w:pPr>
      <w:r>
        <w:rPr>
          <w:spacing w:val="-5"/>
        </w:rPr>
        <w:t>本试剂盒用于定性检测丙型肝炎病毒</w:t>
      </w:r>
      <w:r>
        <w:rPr/>
        <w:t>（</w:t>
      </w:r>
      <w:r>
        <w:rPr>
          <w:rFonts w:ascii="Times New Roman" w:eastAsia="Times New Roman"/>
        </w:rPr>
        <w:t>HCV</w:t>
      </w:r>
      <w:r>
        <w:rPr/>
        <w:t>） </w:t>
      </w:r>
      <w:r>
        <w:rPr>
          <w:rFonts w:ascii="Times New Roman" w:eastAsia="Times New Roman"/>
        </w:rPr>
        <w:t>RNA </w:t>
      </w:r>
      <w:r>
        <w:rPr>
          <w:spacing w:val="-8"/>
        </w:rPr>
        <w:t>阳性样本中丙型肝炎病毒的基因型，包括 </w:t>
      </w:r>
      <w:r>
        <w:rPr>
          <w:rFonts w:ascii="Times New Roman" w:eastAsia="Times New Roman"/>
        </w:rPr>
        <w:t>1 </w:t>
      </w:r>
      <w:r>
        <w:rPr>
          <w:spacing w:val="-5"/>
        </w:rPr>
        <w:t>型</w:t>
      </w:r>
      <w:r>
        <w:rPr/>
        <w:t>（</w:t>
      </w:r>
      <w:r>
        <w:rPr>
          <w:rFonts w:ascii="Times New Roman" w:eastAsia="Times New Roman"/>
        </w:rPr>
        <w:t>1a</w:t>
      </w:r>
      <w:r>
        <w:rPr>
          <w:spacing w:val="-3"/>
        </w:rPr>
        <w:t>、</w:t>
      </w:r>
      <w:r>
        <w:rPr>
          <w:rFonts w:ascii="Times New Roman" w:eastAsia="Times New Roman"/>
        </w:rPr>
        <w:t>1b </w:t>
      </w:r>
      <w:r>
        <w:rPr>
          <w:spacing w:val="-3"/>
        </w:rPr>
        <w:t>不区分</w:t>
      </w:r>
      <w:r>
        <w:rPr>
          <w:spacing w:val="-92"/>
        </w:rPr>
        <w:t>）</w:t>
      </w:r>
      <w:r>
        <w:rPr>
          <w:spacing w:val="-3"/>
        </w:rPr>
        <w:t>、</w:t>
      </w:r>
      <w:r>
        <w:rPr>
          <w:rFonts w:ascii="Times New Roman" w:eastAsia="Times New Roman"/>
        </w:rPr>
        <w:t>2 </w:t>
      </w:r>
      <w:r>
        <w:rPr>
          <w:spacing w:val="-3"/>
        </w:rPr>
        <w:t>型（</w:t>
      </w:r>
      <w:r>
        <w:rPr>
          <w:rFonts w:ascii="Times New Roman" w:eastAsia="Times New Roman"/>
          <w:spacing w:val="-3"/>
        </w:rPr>
        <w:t>2a </w:t>
      </w:r>
      <w:r>
        <w:rPr>
          <w:spacing w:val="-5"/>
        </w:rPr>
        <w:t>型</w:t>
      </w:r>
      <w:r>
        <w:rPr>
          <w:spacing w:val="-92"/>
        </w:rPr>
        <w:t>）</w:t>
      </w:r>
      <w:r>
        <w:rPr>
          <w:spacing w:val="-5"/>
        </w:rPr>
        <w:t>、</w:t>
      </w:r>
      <w:r>
        <w:rPr>
          <w:rFonts w:ascii="Times New Roman" w:eastAsia="Times New Roman"/>
        </w:rPr>
        <w:t>3 </w:t>
      </w:r>
      <w:r>
        <w:rPr>
          <w:spacing w:val="-3"/>
        </w:rPr>
        <w:t>型</w:t>
      </w:r>
      <w:r>
        <w:rPr>
          <w:spacing w:val="-4"/>
        </w:rPr>
        <w:t>（</w:t>
      </w:r>
      <w:r>
        <w:rPr>
          <w:rFonts w:ascii="Times New Roman" w:eastAsia="Times New Roman"/>
          <w:spacing w:val="-4"/>
        </w:rPr>
        <w:t>3a</w:t>
      </w:r>
      <w:r>
        <w:rPr>
          <w:spacing w:val="-5"/>
        </w:rPr>
        <w:t>、</w:t>
      </w:r>
      <w:r>
        <w:rPr>
          <w:rFonts w:ascii="Times New Roman" w:eastAsia="Times New Roman"/>
        </w:rPr>
        <w:t>3b </w:t>
      </w:r>
      <w:r>
        <w:rPr>
          <w:spacing w:val="-5"/>
        </w:rPr>
        <w:t>型不区分</w:t>
      </w:r>
      <w:r>
        <w:rPr>
          <w:spacing w:val="-92"/>
        </w:rPr>
        <w:t>）</w:t>
      </w:r>
      <w:r>
        <w:rPr>
          <w:spacing w:val="-5"/>
        </w:rPr>
        <w:t>、</w:t>
      </w:r>
      <w:r>
        <w:rPr>
          <w:rFonts w:ascii="Times New Roman" w:eastAsia="Times New Roman"/>
        </w:rPr>
        <w:t>6 </w:t>
      </w:r>
      <w:r>
        <w:rPr>
          <w:spacing w:val="-5"/>
        </w:rPr>
        <w:t>型</w:t>
      </w:r>
      <w:r>
        <w:rPr/>
        <w:t>（</w:t>
      </w:r>
      <w:r>
        <w:rPr>
          <w:rFonts w:ascii="Times New Roman" w:eastAsia="Times New Roman"/>
        </w:rPr>
        <w:t>6a </w:t>
      </w:r>
      <w:r>
        <w:rPr>
          <w:spacing w:val="-5"/>
        </w:rPr>
        <w:t>型</w:t>
      </w:r>
      <w:r>
        <w:rPr>
          <w:spacing w:val="-92"/>
        </w:rPr>
        <w:t>）</w:t>
      </w:r>
      <w:r>
        <w:rPr>
          <w:spacing w:val="-5"/>
        </w:rPr>
        <w:t>、</w:t>
      </w:r>
      <w:r>
        <w:rPr>
          <w:rFonts w:ascii="Times New Roman" w:eastAsia="Times New Roman"/>
        </w:rPr>
        <w:t>1b </w:t>
      </w:r>
      <w:r>
        <w:rPr>
          <w:spacing w:val="-3"/>
        </w:rPr>
        <w:t>型。</w:t>
      </w:r>
    </w:p>
    <w:p>
      <w:pPr>
        <w:pStyle w:val="BodyText"/>
        <w:spacing w:line="166" w:lineRule="exact"/>
        <w:ind w:left="410"/>
      </w:pPr>
      <w:r>
        <w:rPr/>
        <w:t>检测结果可用于丙型肝炎病毒基因型的辅助诊断。本试剂盒检测结果仅供临床参考，不能单独作为确诊或排除病例的依据。</w:t>
      </w:r>
    </w:p>
    <w:p>
      <w:pPr>
        <w:pStyle w:val="BodyText"/>
        <w:spacing w:line="187" w:lineRule="auto" w:before="14"/>
        <w:ind w:right="192" w:firstLine="283"/>
        <w:jc w:val="both"/>
      </w:pPr>
      <w:r>
        <w:rPr>
          <w:spacing w:val="-5"/>
        </w:rPr>
        <w:t>丙型肝炎是一种主要经血液传播的疾病，由丙型肝炎病毒</w:t>
      </w:r>
      <w:r>
        <w:rPr>
          <w:rFonts w:ascii="Times New Roman" w:eastAsia="Times New Roman"/>
        </w:rPr>
        <w:t>(Hepatitis C </w:t>
      </w:r>
      <w:r>
        <w:rPr>
          <w:rFonts w:ascii="Times New Roman" w:eastAsia="Times New Roman"/>
          <w:spacing w:val="-4"/>
        </w:rPr>
        <w:t>Virus)</w:t>
      </w:r>
      <w:r>
        <w:rPr>
          <w:spacing w:val="-5"/>
        </w:rPr>
        <w:t>引起。慢性感染可导致肝脏慢性炎症坏死和纤维化， 部分患者可发展为肝硬化甚至肝细胞癌，对患者的健康和生命危害极大。许多研究表明，丙型肝炎病毒基因型对临床表现及肝病严</w:t>
      </w:r>
      <w:r>
        <w:rPr>
          <w:spacing w:val="-8"/>
        </w:rPr>
        <w:t>重程度及慢性化病程有关，特别是 </w:t>
      </w:r>
      <w:r>
        <w:rPr>
          <w:rFonts w:ascii="Times New Roman" w:eastAsia="Times New Roman"/>
        </w:rPr>
        <w:t>1 </w:t>
      </w:r>
      <w:r>
        <w:rPr>
          <w:spacing w:val="-5"/>
        </w:rPr>
        <w:t>型与其他基因型比较，具有更强的致病性。</w:t>
      </w:r>
    </w:p>
    <w:p>
      <w:pPr>
        <w:pStyle w:val="Heading1"/>
        <w:spacing w:line="166" w:lineRule="exact"/>
      </w:pPr>
      <w:r>
        <w:rPr/>
        <w:t>【检验原理】</w:t>
      </w:r>
    </w:p>
    <w:p>
      <w:pPr>
        <w:pStyle w:val="BodyText"/>
        <w:spacing w:line="187" w:lineRule="auto" w:before="15"/>
        <w:ind w:right="197" w:firstLine="283"/>
        <w:jc w:val="both"/>
      </w:pPr>
      <w:r>
        <w:rPr>
          <w:spacing w:val="-4"/>
        </w:rPr>
        <w:t>本试剂盒采用磁珠法试剂提取血清样本中的丙型肝炎病毒</w:t>
      </w:r>
      <w:r>
        <w:rPr>
          <w:rFonts w:ascii="Times New Roman" w:eastAsia="Times New Roman"/>
          <w:spacing w:val="-3"/>
        </w:rPr>
        <w:t>RNA</w:t>
      </w:r>
      <w:r>
        <w:rPr>
          <w:spacing w:val="-5"/>
        </w:rPr>
        <w:t>，针对丙型肝炎病毒各型的保守区域，分别设计检测各基因型的</w:t>
      </w:r>
      <w:r>
        <w:rPr>
          <w:spacing w:val="4"/>
        </w:rPr>
        <w:t>特异性引物和</w:t>
      </w:r>
      <w:r>
        <w:rPr>
          <w:rFonts w:ascii="Times New Roman" w:eastAsia="Times New Roman"/>
          <w:spacing w:val="-5"/>
        </w:rPr>
        <w:t>Taqman </w:t>
      </w:r>
      <w:r>
        <w:rPr/>
        <w:t>荧光探针，运用一步法</w:t>
      </w:r>
      <w:r>
        <w:rPr>
          <w:rFonts w:ascii="Times New Roman" w:eastAsia="Times New Roman"/>
          <w:spacing w:val="-7"/>
        </w:rPr>
        <w:t>RT-PCR </w:t>
      </w:r>
      <w:r>
        <w:rPr>
          <w:spacing w:val="2"/>
        </w:rPr>
        <w:t>技术在荧光定量</w:t>
      </w:r>
      <w:r>
        <w:rPr>
          <w:rFonts w:ascii="Times New Roman" w:eastAsia="Times New Roman"/>
        </w:rPr>
        <w:t>PCR </w:t>
      </w:r>
      <w:r>
        <w:rPr>
          <w:spacing w:val="-5"/>
        </w:rPr>
        <w:t>仪上，通过荧光信号的变化实现丙型肝炎病毒不同基因型的分型检测。</w:t>
      </w:r>
    </w:p>
    <w:p>
      <w:pPr>
        <w:pStyle w:val="BodyText"/>
        <w:spacing w:line="166" w:lineRule="exact"/>
        <w:ind w:left="410"/>
        <w:jc w:val="both"/>
      </w:pP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7"/>
        </w:rPr>
        <w:t> </w:t>
      </w:r>
      <w:r>
        <w:rPr>
          <w:spacing w:val="-5"/>
        </w:rPr>
        <w:t>检测体系含有阳性内对照（</w:t>
      </w:r>
      <w:r>
        <w:rPr>
          <w:spacing w:val="-4"/>
        </w:rPr>
        <w:t>内标</w:t>
      </w:r>
      <w:r>
        <w:rPr>
          <w:spacing w:val="-92"/>
        </w:rPr>
        <w:t>）</w:t>
      </w:r>
      <w:r>
        <w:rPr>
          <w:spacing w:val="-7"/>
        </w:rPr>
        <w:t>，通过检测内标是否正常来监测待测样本中是否具有 </w:t>
      </w: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7"/>
        </w:rPr>
        <w:t> </w:t>
      </w:r>
      <w:r>
        <w:rPr>
          <w:spacing w:val="2"/>
        </w:rPr>
        <w:t>抑制物，避免</w:t>
      </w:r>
      <w:r>
        <w:rPr>
          <w:rFonts w:ascii="Times New Roman" w:eastAsia="Times New Roman"/>
        </w:rPr>
        <w:t>P</w:t>
      </w:r>
      <w:r>
        <w:rPr>
          <w:rFonts w:ascii="Times New Roman" w:eastAsia="Times New Roman"/>
          <w:spacing w:val="-3"/>
        </w:rPr>
        <w:t>C</w:t>
      </w:r>
      <w:r>
        <w:rPr>
          <w:rFonts w:ascii="Times New Roman" w:eastAsia="Times New Roman"/>
        </w:rPr>
        <w:t>R</w:t>
      </w:r>
      <w:r>
        <w:rPr>
          <w:rFonts w:ascii="Times New Roman" w:eastAsia="Times New Roman"/>
          <w:spacing w:val="-5"/>
        </w:rPr>
        <w:t> </w:t>
      </w:r>
      <w:r>
        <w:rPr>
          <w:spacing w:val="-4"/>
        </w:rPr>
        <w:t>假阴性。</w:t>
      </w:r>
    </w:p>
    <w:p>
      <w:pPr>
        <w:pStyle w:val="BodyText"/>
        <w:spacing w:line="187" w:lineRule="auto" w:before="14"/>
        <w:ind w:right="195" w:firstLine="283"/>
        <w:jc w:val="both"/>
      </w:pPr>
      <w:r>
        <w:rPr>
          <w:rFonts w:ascii="Times New Roman" w:eastAsia="Times New Roman"/>
        </w:rPr>
        <w:t>PCR </w:t>
      </w:r>
      <w:r>
        <w:rPr>
          <w:spacing w:val="-1"/>
        </w:rPr>
        <w:t>检测体系含有内参比荧光</w:t>
      </w:r>
      <w:r>
        <w:rPr>
          <w:rFonts w:ascii="Times New Roman" w:eastAsia="Times New Roman"/>
          <w:spacing w:val="-9"/>
        </w:rPr>
        <w:t>ROX</w:t>
      </w:r>
      <w:r>
        <w:rPr>
          <w:spacing w:val="-10"/>
        </w:rPr>
        <w:t>，用于校正加样误差和管间差异，便于仪器自动分析报告荧光与内参比荧光 </w:t>
      </w:r>
      <w:r>
        <w:rPr>
          <w:rFonts w:ascii="Times New Roman" w:eastAsia="Times New Roman"/>
        </w:rPr>
        <w:t>ROX </w:t>
      </w:r>
      <w:r>
        <w:rPr>
          <w:spacing w:val="-9"/>
        </w:rPr>
        <w:t>的比值，检</w:t>
      </w:r>
      <w:r>
        <w:rPr>
          <w:spacing w:val="-5"/>
        </w:rPr>
        <w:t>测结果更准确。</w:t>
      </w:r>
    </w:p>
    <w:p>
      <w:pPr>
        <w:pStyle w:val="Heading1"/>
        <w:spacing w:line="191" w:lineRule="exact"/>
      </w:pPr>
      <w:r>
        <w:rPr/>
        <w:t>【主要组成成分】</w:t>
      </w:r>
    </w:p>
    <w:tbl>
      <w:tblPr>
        <w:tblW w:w="0" w:type="auto"/>
        <w:jc w:val="left"/>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72"/>
        <w:gridCol w:w="708"/>
        <w:gridCol w:w="2762"/>
        <w:gridCol w:w="1349"/>
        <w:gridCol w:w="3958"/>
      </w:tblGrid>
      <w:tr>
        <w:trPr>
          <w:trHeight w:val="180" w:hRule="atLeast"/>
        </w:trPr>
        <w:tc>
          <w:tcPr>
            <w:tcW w:w="1272" w:type="dxa"/>
          </w:tcPr>
          <w:p>
            <w:pPr>
              <w:pStyle w:val="TableParagraph"/>
              <w:spacing w:line="240" w:lineRule="auto"/>
              <w:ind w:left="0"/>
              <w:jc w:val="left"/>
              <w:rPr>
                <w:sz w:val="12"/>
              </w:rPr>
            </w:pPr>
          </w:p>
        </w:tc>
        <w:tc>
          <w:tcPr>
            <w:tcW w:w="708" w:type="dxa"/>
          </w:tcPr>
          <w:p>
            <w:pPr>
              <w:pStyle w:val="TableParagraph"/>
              <w:ind w:left="155" w:right="142"/>
              <w:rPr>
                <w:rFonts w:ascii="宋体" w:eastAsia="宋体" w:hint="eastAsia"/>
                <w:sz w:val="18"/>
              </w:rPr>
            </w:pPr>
            <w:r>
              <w:rPr>
                <w:rFonts w:ascii="宋体" w:eastAsia="宋体" w:hint="eastAsia"/>
                <w:sz w:val="18"/>
              </w:rPr>
              <w:t>序号</w:t>
            </w:r>
          </w:p>
        </w:tc>
        <w:tc>
          <w:tcPr>
            <w:tcW w:w="2762" w:type="dxa"/>
          </w:tcPr>
          <w:p>
            <w:pPr>
              <w:pStyle w:val="TableParagraph"/>
              <w:ind w:left="85" w:right="74"/>
              <w:rPr>
                <w:rFonts w:ascii="宋体" w:eastAsia="宋体" w:hint="eastAsia"/>
                <w:sz w:val="18"/>
              </w:rPr>
            </w:pPr>
            <w:r>
              <w:rPr>
                <w:rFonts w:ascii="宋体" w:eastAsia="宋体" w:hint="eastAsia"/>
                <w:sz w:val="18"/>
              </w:rPr>
              <w:t>试剂名称</w:t>
            </w:r>
          </w:p>
        </w:tc>
        <w:tc>
          <w:tcPr>
            <w:tcW w:w="1349" w:type="dxa"/>
          </w:tcPr>
          <w:p>
            <w:pPr>
              <w:pStyle w:val="TableParagraph"/>
              <w:ind w:left="101" w:right="87"/>
              <w:rPr>
                <w:rFonts w:ascii="宋体" w:eastAsia="宋体" w:hint="eastAsia"/>
                <w:sz w:val="18"/>
              </w:rPr>
            </w:pPr>
            <w:r>
              <w:rPr>
                <w:rFonts w:ascii="宋体" w:eastAsia="宋体" w:hint="eastAsia"/>
                <w:sz w:val="18"/>
              </w:rPr>
              <w:t>规格与装量</w:t>
            </w:r>
          </w:p>
        </w:tc>
        <w:tc>
          <w:tcPr>
            <w:tcW w:w="3958" w:type="dxa"/>
          </w:tcPr>
          <w:p>
            <w:pPr>
              <w:pStyle w:val="TableParagraph"/>
              <w:ind w:left="11"/>
              <w:rPr>
                <w:rFonts w:ascii="宋体" w:eastAsia="宋体" w:hint="eastAsia"/>
                <w:sz w:val="18"/>
              </w:rPr>
            </w:pPr>
            <w:r>
              <w:rPr>
                <w:rFonts w:ascii="宋体" w:eastAsia="宋体" w:hint="eastAsia"/>
                <w:sz w:val="18"/>
              </w:rPr>
              <w:t>主要成分</w:t>
            </w:r>
          </w:p>
        </w:tc>
      </w:tr>
      <w:tr>
        <w:trPr>
          <w:trHeight w:val="360" w:hRule="atLeast"/>
        </w:trPr>
        <w:tc>
          <w:tcPr>
            <w:tcW w:w="1272" w:type="dxa"/>
            <w:vMerge w:val="restart"/>
          </w:tcPr>
          <w:p>
            <w:pPr>
              <w:pStyle w:val="TableParagraph"/>
              <w:spacing w:line="240" w:lineRule="auto" w:before="5"/>
              <w:ind w:left="0"/>
              <w:jc w:val="left"/>
              <w:rPr>
                <w:rFonts w:ascii="宋体"/>
                <w:b/>
                <w:sz w:val="21"/>
              </w:rPr>
            </w:pPr>
          </w:p>
          <w:p>
            <w:pPr>
              <w:pStyle w:val="TableParagraph"/>
              <w:spacing w:line="187" w:lineRule="auto"/>
              <w:ind w:left="283" w:right="42" w:hanging="176"/>
              <w:jc w:val="left"/>
              <w:rPr>
                <w:rFonts w:ascii="宋体" w:eastAsia="宋体" w:hint="eastAsia"/>
                <w:sz w:val="18"/>
              </w:rPr>
            </w:pPr>
            <w:r>
              <w:rPr>
                <w:rFonts w:ascii="宋体" w:eastAsia="宋体" w:hint="eastAsia"/>
                <w:sz w:val="18"/>
              </w:rPr>
              <w:t>磁珠法核酸提取试剂盒</w:t>
            </w:r>
          </w:p>
        </w:tc>
        <w:tc>
          <w:tcPr>
            <w:tcW w:w="708" w:type="dxa"/>
          </w:tcPr>
          <w:p>
            <w:pPr>
              <w:pStyle w:val="TableParagraph"/>
              <w:spacing w:line="240" w:lineRule="auto" w:before="52"/>
              <w:rPr>
                <w:sz w:val="18"/>
              </w:rPr>
            </w:pPr>
            <w:r>
              <w:rPr>
                <w:sz w:val="18"/>
              </w:rPr>
              <w:t>1</w:t>
            </w:r>
          </w:p>
        </w:tc>
        <w:tc>
          <w:tcPr>
            <w:tcW w:w="2762" w:type="dxa"/>
          </w:tcPr>
          <w:p>
            <w:pPr>
              <w:pStyle w:val="TableParagraph"/>
              <w:spacing w:line="240" w:lineRule="auto" w:before="40"/>
              <w:ind w:left="86" w:right="71"/>
              <w:rPr>
                <w:sz w:val="18"/>
              </w:rPr>
            </w:pPr>
            <w:r>
              <w:rPr>
                <w:sz w:val="18"/>
              </w:rPr>
              <w:t>RNA</w:t>
            </w:r>
            <w:r>
              <w:rPr>
                <w:rFonts w:ascii="宋体" w:eastAsia="宋体" w:hint="eastAsia"/>
                <w:sz w:val="18"/>
              </w:rPr>
              <w:t>提取溶液</w:t>
            </w:r>
            <w:r>
              <w:rPr>
                <w:sz w:val="18"/>
              </w:rPr>
              <w:t>1</w:t>
            </w:r>
          </w:p>
        </w:tc>
        <w:tc>
          <w:tcPr>
            <w:tcW w:w="1349" w:type="dxa"/>
          </w:tcPr>
          <w:p>
            <w:pPr>
              <w:pStyle w:val="TableParagraph"/>
              <w:spacing w:line="240" w:lineRule="auto" w:before="40"/>
              <w:ind w:left="156"/>
              <w:jc w:val="left"/>
              <w:rPr>
                <w:rFonts w:ascii="宋体" w:hAnsi="宋体" w:eastAsia="宋体" w:hint="eastAsia"/>
                <w:sz w:val="18"/>
              </w:rPr>
            </w:pPr>
            <w:r>
              <w:rPr>
                <w:sz w:val="18"/>
              </w:rPr>
              <w:t>7.5 ml/</w:t>
            </w:r>
            <w:r>
              <w:rPr>
                <w:rFonts w:ascii="宋体" w:hAnsi="宋体" w:eastAsia="宋体" w:hint="eastAsia"/>
                <w:sz w:val="18"/>
              </w:rPr>
              <w:t>瓶</w:t>
            </w:r>
            <w:r>
              <w:rPr>
                <w:sz w:val="18"/>
              </w:rPr>
              <w:t>×1</w:t>
            </w:r>
            <w:r>
              <w:rPr>
                <w:rFonts w:ascii="宋体" w:hAnsi="宋体" w:eastAsia="宋体" w:hint="eastAsia"/>
                <w:sz w:val="18"/>
              </w:rPr>
              <w:t>瓶</w:t>
            </w:r>
          </w:p>
        </w:tc>
        <w:tc>
          <w:tcPr>
            <w:tcW w:w="3958" w:type="dxa"/>
          </w:tcPr>
          <w:p>
            <w:pPr>
              <w:pStyle w:val="TableParagraph"/>
              <w:spacing w:line="154" w:lineRule="exact"/>
              <w:ind w:left="92"/>
              <w:rPr>
                <w:rFonts w:ascii="宋体" w:eastAsia="宋体" w:hint="eastAsia"/>
                <w:sz w:val="18"/>
              </w:rPr>
            </w:pPr>
            <w:r>
              <w:rPr>
                <w:spacing w:val="-3"/>
                <w:sz w:val="18"/>
              </w:rPr>
              <w:t>SDS(0.5%)</w:t>
            </w:r>
            <w:r>
              <w:rPr>
                <w:rFonts w:ascii="宋体" w:eastAsia="宋体" w:hint="eastAsia"/>
                <w:spacing w:val="-5"/>
                <w:sz w:val="18"/>
              </w:rPr>
              <w:t>、</w:t>
            </w:r>
            <w:r>
              <w:rPr>
                <w:spacing w:val="-3"/>
                <w:sz w:val="18"/>
              </w:rPr>
              <w:t>Triton X-100(2%)</w:t>
            </w:r>
            <w:r>
              <w:rPr>
                <w:rFonts w:ascii="宋体" w:eastAsia="宋体" w:hint="eastAsia"/>
                <w:spacing w:val="-5"/>
                <w:sz w:val="18"/>
              </w:rPr>
              <w:t>、</w:t>
            </w:r>
            <w:r>
              <w:rPr>
                <w:spacing w:val="-3"/>
                <w:sz w:val="18"/>
              </w:rPr>
              <w:t>GuSCN(1mol/L)</w:t>
            </w:r>
            <w:r>
              <w:rPr>
                <w:rFonts w:ascii="宋体" w:eastAsia="宋体" w:hint="eastAsia"/>
                <w:sz w:val="18"/>
              </w:rPr>
              <w:t>、</w:t>
            </w:r>
          </w:p>
          <w:p>
            <w:pPr>
              <w:pStyle w:val="TableParagraph"/>
              <w:spacing w:line="186" w:lineRule="exact"/>
              <w:ind w:left="13"/>
              <w:rPr>
                <w:sz w:val="18"/>
              </w:rPr>
            </w:pPr>
            <w:r>
              <w:rPr>
                <w:rFonts w:ascii="宋体" w:hAnsi="宋体" w:eastAsia="宋体" w:hint="eastAsia"/>
                <w:sz w:val="18"/>
              </w:rPr>
              <w:t>磁珠</w:t>
            </w:r>
            <w:r>
              <w:rPr>
                <w:sz w:val="18"/>
              </w:rPr>
              <w:t>(200µg/ml)</w:t>
            </w:r>
          </w:p>
        </w:tc>
      </w:tr>
      <w:tr>
        <w:trPr>
          <w:trHeight w:val="180" w:hRule="atLeast"/>
        </w:trPr>
        <w:tc>
          <w:tcPr>
            <w:tcW w:w="1272" w:type="dxa"/>
            <w:vMerge/>
            <w:tcBorders>
              <w:top w:val="nil"/>
            </w:tcBorders>
          </w:tcPr>
          <w:p>
            <w:pPr>
              <w:rPr>
                <w:sz w:val="2"/>
                <w:szCs w:val="2"/>
              </w:rPr>
            </w:pPr>
          </w:p>
        </w:tc>
        <w:tc>
          <w:tcPr>
            <w:tcW w:w="708" w:type="dxa"/>
          </w:tcPr>
          <w:p>
            <w:pPr>
              <w:pStyle w:val="TableParagraph"/>
              <w:rPr>
                <w:sz w:val="18"/>
              </w:rPr>
            </w:pPr>
            <w:r>
              <w:rPr>
                <w:sz w:val="18"/>
              </w:rPr>
              <w:t>2</w:t>
            </w:r>
          </w:p>
        </w:tc>
        <w:tc>
          <w:tcPr>
            <w:tcW w:w="2762" w:type="dxa"/>
          </w:tcPr>
          <w:p>
            <w:pPr>
              <w:pStyle w:val="TableParagraph"/>
              <w:ind w:left="86" w:right="71"/>
              <w:rPr>
                <w:sz w:val="18"/>
              </w:rPr>
            </w:pPr>
            <w:r>
              <w:rPr>
                <w:sz w:val="18"/>
              </w:rPr>
              <w:t>RNA</w:t>
            </w:r>
            <w:r>
              <w:rPr>
                <w:rFonts w:ascii="宋体" w:eastAsia="宋体" w:hint="eastAsia"/>
                <w:sz w:val="18"/>
              </w:rPr>
              <w:t>提取溶液</w:t>
            </w:r>
            <w:r>
              <w:rPr>
                <w:sz w:val="18"/>
              </w:rPr>
              <w:t>2</w:t>
            </w:r>
          </w:p>
        </w:tc>
        <w:tc>
          <w:tcPr>
            <w:tcW w:w="1349" w:type="dxa"/>
          </w:tcPr>
          <w:p>
            <w:pPr>
              <w:pStyle w:val="TableParagraph"/>
              <w:ind w:left="101" w:right="90"/>
              <w:rPr>
                <w:rFonts w:ascii="宋体" w:hAnsi="宋体" w:eastAsia="宋体" w:hint="eastAsia"/>
                <w:sz w:val="18"/>
              </w:rPr>
            </w:pPr>
            <w:r>
              <w:rPr>
                <w:sz w:val="18"/>
              </w:rPr>
              <w:t>1.25ml/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ind w:left="20"/>
              <w:rPr>
                <w:sz w:val="18"/>
              </w:rPr>
            </w:pPr>
            <w:r>
              <w:rPr>
                <w:sz w:val="18"/>
              </w:rPr>
              <w:t>HEPES(200mmol/L)</w:t>
            </w:r>
            <w:r>
              <w:rPr>
                <w:rFonts w:ascii="宋体" w:eastAsia="宋体" w:hint="eastAsia"/>
                <w:sz w:val="18"/>
              </w:rPr>
              <w:t>、</w:t>
            </w:r>
            <w:r>
              <w:rPr>
                <w:sz w:val="18"/>
              </w:rPr>
              <w:t>NaCl(200mmol/L)</w:t>
            </w:r>
          </w:p>
        </w:tc>
      </w:tr>
      <w:tr>
        <w:trPr>
          <w:trHeight w:val="180" w:hRule="atLeast"/>
        </w:trPr>
        <w:tc>
          <w:tcPr>
            <w:tcW w:w="1272" w:type="dxa"/>
            <w:vMerge/>
            <w:tcBorders>
              <w:top w:val="nil"/>
            </w:tcBorders>
          </w:tcPr>
          <w:p>
            <w:pPr>
              <w:rPr>
                <w:sz w:val="2"/>
                <w:szCs w:val="2"/>
              </w:rPr>
            </w:pPr>
          </w:p>
        </w:tc>
        <w:tc>
          <w:tcPr>
            <w:tcW w:w="708" w:type="dxa"/>
          </w:tcPr>
          <w:p>
            <w:pPr>
              <w:pStyle w:val="TableParagraph"/>
              <w:rPr>
                <w:sz w:val="18"/>
              </w:rPr>
            </w:pPr>
            <w:r>
              <w:rPr>
                <w:sz w:val="18"/>
              </w:rPr>
              <w:t>3</w:t>
            </w:r>
          </w:p>
        </w:tc>
        <w:tc>
          <w:tcPr>
            <w:tcW w:w="2762" w:type="dxa"/>
          </w:tcPr>
          <w:p>
            <w:pPr>
              <w:pStyle w:val="TableParagraph"/>
              <w:ind w:left="86" w:right="71"/>
              <w:rPr>
                <w:sz w:val="18"/>
              </w:rPr>
            </w:pPr>
            <w:r>
              <w:rPr>
                <w:sz w:val="18"/>
              </w:rPr>
              <w:t>RNA</w:t>
            </w:r>
            <w:r>
              <w:rPr>
                <w:rFonts w:ascii="宋体" w:eastAsia="宋体" w:hint="eastAsia"/>
                <w:sz w:val="18"/>
              </w:rPr>
              <w:t>提取溶液</w:t>
            </w:r>
            <w:r>
              <w:rPr>
                <w:sz w:val="18"/>
              </w:rPr>
              <w:t>3</w:t>
            </w:r>
          </w:p>
        </w:tc>
        <w:tc>
          <w:tcPr>
            <w:tcW w:w="1349" w:type="dxa"/>
          </w:tcPr>
          <w:p>
            <w:pPr>
              <w:pStyle w:val="TableParagraph"/>
              <w:ind w:left="101" w:right="87"/>
              <w:rPr>
                <w:rFonts w:ascii="宋体" w:hAnsi="宋体" w:eastAsia="宋体" w:hint="eastAsia"/>
                <w:sz w:val="18"/>
              </w:rPr>
            </w:pPr>
            <w:r>
              <w:rPr>
                <w:sz w:val="18"/>
              </w:rPr>
              <w:t>7.5ml/</w:t>
            </w:r>
            <w:r>
              <w:rPr>
                <w:rFonts w:ascii="宋体" w:hAnsi="宋体" w:eastAsia="宋体" w:hint="eastAsia"/>
                <w:sz w:val="18"/>
              </w:rPr>
              <w:t>瓶</w:t>
            </w:r>
            <w:r>
              <w:rPr>
                <w:sz w:val="18"/>
              </w:rPr>
              <w:t>×1</w:t>
            </w:r>
            <w:r>
              <w:rPr>
                <w:rFonts w:ascii="宋体" w:hAnsi="宋体" w:eastAsia="宋体" w:hint="eastAsia"/>
                <w:sz w:val="18"/>
              </w:rPr>
              <w:t>瓶</w:t>
            </w:r>
          </w:p>
        </w:tc>
        <w:tc>
          <w:tcPr>
            <w:tcW w:w="3958" w:type="dxa"/>
          </w:tcPr>
          <w:p>
            <w:pPr>
              <w:pStyle w:val="TableParagraph"/>
              <w:ind w:left="23"/>
              <w:rPr>
                <w:sz w:val="18"/>
              </w:rPr>
            </w:pPr>
            <w:r>
              <w:rPr>
                <w:sz w:val="18"/>
              </w:rPr>
              <w:t>Triton X-100(0.2%)</w:t>
            </w:r>
            <w:r>
              <w:rPr>
                <w:rFonts w:ascii="宋体" w:eastAsia="宋体" w:hint="eastAsia"/>
                <w:sz w:val="18"/>
              </w:rPr>
              <w:t>、</w:t>
            </w:r>
            <w:r>
              <w:rPr>
                <w:sz w:val="18"/>
              </w:rPr>
              <w:t>NaCl(200mmol/L)</w:t>
            </w:r>
          </w:p>
        </w:tc>
      </w:tr>
      <w:tr>
        <w:trPr>
          <w:trHeight w:val="180" w:hRule="atLeast"/>
        </w:trPr>
        <w:tc>
          <w:tcPr>
            <w:tcW w:w="1272" w:type="dxa"/>
            <w:vMerge/>
            <w:tcBorders>
              <w:top w:val="nil"/>
            </w:tcBorders>
          </w:tcPr>
          <w:p>
            <w:pPr>
              <w:rPr>
                <w:sz w:val="2"/>
                <w:szCs w:val="2"/>
              </w:rPr>
            </w:pPr>
          </w:p>
        </w:tc>
        <w:tc>
          <w:tcPr>
            <w:tcW w:w="708" w:type="dxa"/>
          </w:tcPr>
          <w:p>
            <w:pPr>
              <w:pStyle w:val="TableParagraph"/>
              <w:rPr>
                <w:sz w:val="18"/>
              </w:rPr>
            </w:pPr>
            <w:r>
              <w:rPr>
                <w:sz w:val="18"/>
              </w:rPr>
              <w:t>4</w:t>
            </w:r>
          </w:p>
        </w:tc>
        <w:tc>
          <w:tcPr>
            <w:tcW w:w="2762" w:type="dxa"/>
          </w:tcPr>
          <w:p>
            <w:pPr>
              <w:pStyle w:val="TableParagraph"/>
              <w:ind w:left="86" w:right="71"/>
              <w:rPr>
                <w:sz w:val="18"/>
              </w:rPr>
            </w:pPr>
            <w:r>
              <w:rPr>
                <w:sz w:val="18"/>
              </w:rPr>
              <w:t>RNA</w:t>
            </w:r>
            <w:r>
              <w:rPr>
                <w:rFonts w:ascii="宋体" w:eastAsia="宋体" w:hint="eastAsia"/>
                <w:sz w:val="18"/>
              </w:rPr>
              <w:t>提取溶液</w:t>
            </w:r>
            <w:r>
              <w:rPr>
                <w:sz w:val="18"/>
              </w:rPr>
              <w:t>4</w:t>
            </w:r>
          </w:p>
        </w:tc>
        <w:tc>
          <w:tcPr>
            <w:tcW w:w="1349" w:type="dxa"/>
          </w:tcPr>
          <w:p>
            <w:pPr>
              <w:pStyle w:val="TableParagraph"/>
              <w:ind w:left="101" w:right="87"/>
              <w:rPr>
                <w:rFonts w:ascii="宋体" w:hAnsi="宋体" w:eastAsia="宋体" w:hint="eastAsia"/>
                <w:sz w:val="18"/>
              </w:rPr>
            </w:pPr>
            <w:r>
              <w:rPr>
                <w:sz w:val="18"/>
              </w:rPr>
              <w:t>2.5ml/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ind w:left="13"/>
              <w:rPr>
                <w:rFonts w:ascii="宋体" w:eastAsia="宋体" w:hint="eastAsia"/>
                <w:sz w:val="18"/>
              </w:rPr>
            </w:pPr>
            <w:r>
              <w:rPr>
                <w:rFonts w:ascii="宋体" w:eastAsia="宋体" w:hint="eastAsia"/>
                <w:sz w:val="18"/>
              </w:rPr>
              <w:t>矿物油</w:t>
            </w:r>
          </w:p>
        </w:tc>
      </w:tr>
      <w:tr>
        <w:trPr>
          <w:trHeight w:val="180" w:hRule="atLeast"/>
        </w:trPr>
        <w:tc>
          <w:tcPr>
            <w:tcW w:w="1272" w:type="dxa"/>
            <w:vMerge w:val="restart"/>
          </w:tcPr>
          <w:p>
            <w:pPr>
              <w:pStyle w:val="TableParagraph"/>
              <w:spacing w:line="240" w:lineRule="auto"/>
              <w:ind w:left="0"/>
              <w:jc w:val="left"/>
              <w:rPr>
                <w:rFonts w:ascii="宋体"/>
                <w:b/>
                <w:sz w:val="18"/>
              </w:rPr>
            </w:pPr>
          </w:p>
          <w:p>
            <w:pPr>
              <w:pStyle w:val="TableParagraph"/>
              <w:spacing w:line="240" w:lineRule="auto"/>
              <w:ind w:left="0"/>
              <w:jc w:val="left"/>
              <w:rPr>
                <w:rFonts w:ascii="宋体"/>
                <w:b/>
                <w:sz w:val="18"/>
              </w:rPr>
            </w:pPr>
          </w:p>
          <w:p>
            <w:pPr>
              <w:pStyle w:val="TableParagraph"/>
              <w:spacing w:line="240" w:lineRule="auto"/>
              <w:ind w:left="0"/>
              <w:jc w:val="left"/>
              <w:rPr>
                <w:rFonts w:ascii="宋体"/>
                <w:b/>
                <w:sz w:val="18"/>
              </w:rPr>
            </w:pPr>
          </w:p>
          <w:p>
            <w:pPr>
              <w:pStyle w:val="TableParagraph"/>
              <w:spacing w:line="187" w:lineRule="auto" w:before="159"/>
              <w:ind w:left="372" w:right="223" w:hanging="89"/>
              <w:jc w:val="left"/>
              <w:rPr>
                <w:rFonts w:ascii="宋体" w:eastAsia="宋体" w:hint="eastAsia"/>
                <w:sz w:val="18"/>
              </w:rPr>
            </w:pPr>
            <w:r>
              <w:rPr>
                <w:rFonts w:ascii="宋体" w:eastAsia="宋体" w:hint="eastAsia"/>
                <w:sz w:val="18"/>
              </w:rPr>
              <w:t>扩增反应试剂盒</w:t>
            </w:r>
          </w:p>
        </w:tc>
        <w:tc>
          <w:tcPr>
            <w:tcW w:w="708" w:type="dxa"/>
          </w:tcPr>
          <w:p>
            <w:pPr>
              <w:pStyle w:val="TableParagraph"/>
              <w:rPr>
                <w:sz w:val="18"/>
              </w:rPr>
            </w:pPr>
            <w:r>
              <w:rPr>
                <w:sz w:val="18"/>
              </w:rPr>
              <w:t>1</w:t>
            </w:r>
          </w:p>
        </w:tc>
        <w:tc>
          <w:tcPr>
            <w:tcW w:w="2762" w:type="dxa"/>
          </w:tcPr>
          <w:p>
            <w:pPr>
              <w:pStyle w:val="TableParagraph"/>
              <w:ind w:left="86" w:right="70"/>
              <w:rPr>
                <w:rFonts w:ascii="宋体" w:eastAsia="宋体" w:hint="eastAsia"/>
                <w:sz w:val="18"/>
              </w:rPr>
            </w:pPr>
            <w:r>
              <w:rPr>
                <w:sz w:val="18"/>
              </w:rPr>
              <w:t>RNA</w:t>
            </w:r>
            <w:r>
              <w:rPr>
                <w:rFonts w:ascii="宋体" w:eastAsia="宋体" w:hint="eastAsia"/>
                <w:sz w:val="18"/>
              </w:rPr>
              <w:t>洗脱液</w:t>
            </w:r>
          </w:p>
        </w:tc>
        <w:tc>
          <w:tcPr>
            <w:tcW w:w="1349" w:type="dxa"/>
          </w:tcPr>
          <w:p>
            <w:pPr>
              <w:pStyle w:val="TableParagraph"/>
              <w:ind w:left="101" w:right="90"/>
              <w:rPr>
                <w:rFonts w:ascii="宋体" w:hAnsi="宋体" w:eastAsia="宋体" w:hint="eastAsia"/>
                <w:sz w:val="18"/>
              </w:rPr>
            </w:pPr>
            <w:r>
              <w:rPr>
                <w:sz w:val="18"/>
              </w:rPr>
              <w:t>0.65ml/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ind w:left="18"/>
              <w:rPr>
                <w:sz w:val="18"/>
              </w:rPr>
            </w:pPr>
            <w:r>
              <w:rPr>
                <w:sz w:val="18"/>
              </w:rPr>
              <w:t>Tris(1mol/L)</w:t>
            </w:r>
            <w:r>
              <w:rPr>
                <w:rFonts w:ascii="宋体" w:eastAsia="宋体" w:hint="eastAsia"/>
                <w:sz w:val="18"/>
              </w:rPr>
              <w:t>、</w:t>
            </w:r>
            <w:r>
              <w:rPr>
                <w:sz w:val="18"/>
              </w:rPr>
              <w:t>EDTA(0.5mol/L)</w:t>
            </w:r>
          </w:p>
        </w:tc>
      </w:tr>
      <w:tr>
        <w:trPr>
          <w:trHeight w:val="360" w:hRule="atLeast"/>
        </w:trPr>
        <w:tc>
          <w:tcPr>
            <w:tcW w:w="1272" w:type="dxa"/>
            <w:vMerge/>
            <w:tcBorders>
              <w:top w:val="nil"/>
            </w:tcBorders>
          </w:tcPr>
          <w:p>
            <w:pPr>
              <w:rPr>
                <w:sz w:val="2"/>
                <w:szCs w:val="2"/>
              </w:rPr>
            </w:pPr>
          </w:p>
        </w:tc>
        <w:tc>
          <w:tcPr>
            <w:tcW w:w="708" w:type="dxa"/>
          </w:tcPr>
          <w:p>
            <w:pPr>
              <w:pStyle w:val="TableParagraph"/>
              <w:spacing w:line="240" w:lineRule="auto" w:before="50"/>
              <w:rPr>
                <w:sz w:val="18"/>
              </w:rPr>
            </w:pPr>
            <w:r>
              <w:rPr>
                <w:sz w:val="18"/>
              </w:rPr>
              <w:t>2</w:t>
            </w:r>
          </w:p>
        </w:tc>
        <w:tc>
          <w:tcPr>
            <w:tcW w:w="2762" w:type="dxa"/>
          </w:tcPr>
          <w:p>
            <w:pPr>
              <w:pStyle w:val="TableParagraph"/>
              <w:spacing w:line="187" w:lineRule="auto"/>
              <w:ind w:left="1291" w:right="99" w:hanging="1114"/>
              <w:jc w:val="left"/>
              <w:rPr>
                <w:rFonts w:ascii="宋体" w:eastAsia="宋体" w:hint="eastAsia"/>
                <w:sz w:val="18"/>
              </w:rPr>
            </w:pPr>
            <w:r>
              <w:rPr>
                <w:rFonts w:ascii="宋体" w:eastAsia="宋体" w:hint="eastAsia"/>
                <w:sz w:val="18"/>
              </w:rPr>
              <w:t>丙型肝炎病毒</w:t>
            </w:r>
            <w:r>
              <w:rPr>
                <w:sz w:val="18"/>
              </w:rPr>
              <w:t>1</w:t>
            </w:r>
            <w:r>
              <w:rPr>
                <w:rFonts w:ascii="宋体" w:eastAsia="宋体" w:hint="eastAsia"/>
                <w:sz w:val="18"/>
              </w:rPr>
              <w:t>型</w:t>
            </w:r>
            <w:r>
              <w:rPr>
                <w:sz w:val="18"/>
              </w:rPr>
              <w:t>/3</w:t>
            </w:r>
            <w:r>
              <w:rPr>
                <w:rFonts w:ascii="宋体" w:eastAsia="宋体" w:hint="eastAsia"/>
                <w:sz w:val="18"/>
              </w:rPr>
              <w:t>型 </w:t>
            </w:r>
            <w:r>
              <w:rPr>
                <w:sz w:val="18"/>
              </w:rPr>
              <w:t>PCR</w:t>
            </w:r>
            <w:r>
              <w:rPr>
                <w:rFonts w:ascii="宋体" w:eastAsia="宋体" w:hint="eastAsia"/>
                <w:sz w:val="18"/>
              </w:rPr>
              <w:t>反应液</w:t>
            </w:r>
          </w:p>
        </w:tc>
        <w:tc>
          <w:tcPr>
            <w:tcW w:w="1349" w:type="dxa"/>
          </w:tcPr>
          <w:p>
            <w:pPr>
              <w:pStyle w:val="TableParagraph"/>
              <w:spacing w:line="240" w:lineRule="auto" w:before="40"/>
              <w:ind w:left="101" w:right="87"/>
              <w:rPr>
                <w:rFonts w:ascii="宋体" w:hAnsi="宋体" w:eastAsia="宋体" w:hint="eastAsia"/>
                <w:sz w:val="18"/>
              </w:rPr>
            </w:pPr>
            <w:r>
              <w:rPr>
                <w:sz w:val="18"/>
              </w:rPr>
              <w:t>516μl/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spacing w:line="155" w:lineRule="exact"/>
              <w:ind w:left="35"/>
              <w:rPr>
                <w:rFonts w:ascii="宋体" w:eastAsia="宋体" w:hint="eastAsia"/>
                <w:sz w:val="18"/>
              </w:rPr>
            </w:pPr>
            <w:r>
              <w:rPr>
                <w:rFonts w:ascii="宋体" w:eastAsia="宋体" w:hint="eastAsia"/>
                <w:sz w:val="18"/>
              </w:rPr>
              <w:t>引物</w:t>
            </w:r>
            <w:r>
              <w:rPr>
                <w:sz w:val="18"/>
              </w:rPr>
              <w:t>(8~10pmol)</w:t>
            </w:r>
            <w:r>
              <w:rPr>
                <w:rFonts w:ascii="宋体" w:eastAsia="宋体" w:hint="eastAsia"/>
                <w:sz w:val="18"/>
              </w:rPr>
              <w:t>、探针</w:t>
            </w:r>
            <w:r>
              <w:rPr>
                <w:sz w:val="18"/>
              </w:rPr>
              <w:t>(5pmol)</w:t>
            </w:r>
            <w:r>
              <w:rPr>
                <w:rFonts w:ascii="宋体" w:eastAsia="宋体" w:hint="eastAsia"/>
                <w:sz w:val="18"/>
              </w:rPr>
              <w:t>、</w:t>
            </w:r>
            <w:r>
              <w:rPr>
                <w:sz w:val="18"/>
              </w:rPr>
              <w:t>dNTPs(3.3mM)</w:t>
            </w:r>
            <w:r>
              <w:rPr>
                <w:rFonts w:ascii="宋体" w:eastAsia="宋体" w:hint="eastAsia"/>
                <w:sz w:val="18"/>
              </w:rPr>
              <w:t>、</w:t>
            </w:r>
          </w:p>
          <w:p>
            <w:pPr>
              <w:pStyle w:val="TableParagraph"/>
              <w:spacing w:line="185" w:lineRule="exact"/>
              <w:ind w:left="27"/>
              <w:rPr>
                <w:sz w:val="18"/>
              </w:rPr>
            </w:pPr>
            <w:r>
              <w:rPr>
                <w:sz w:val="18"/>
              </w:rPr>
              <w:t>5×PCR buffer(10μl)</w:t>
            </w:r>
            <w:r>
              <w:rPr>
                <w:rFonts w:ascii="宋体" w:hAnsi="宋体" w:eastAsia="宋体" w:hint="eastAsia"/>
                <w:sz w:val="18"/>
              </w:rPr>
              <w:t>、</w:t>
            </w:r>
            <w:r>
              <w:rPr>
                <w:sz w:val="18"/>
              </w:rPr>
              <w:t>Tth(10U)</w:t>
            </w:r>
            <w:r>
              <w:rPr>
                <w:rFonts w:ascii="宋体" w:hAnsi="宋体" w:eastAsia="宋体" w:hint="eastAsia"/>
                <w:sz w:val="18"/>
              </w:rPr>
              <w:t>、</w:t>
            </w:r>
            <w:r>
              <w:rPr>
                <w:sz w:val="18"/>
              </w:rPr>
              <w:t>H-Taq(2.5U)</w:t>
            </w:r>
          </w:p>
        </w:tc>
      </w:tr>
      <w:tr>
        <w:trPr>
          <w:trHeight w:val="360" w:hRule="atLeast"/>
        </w:trPr>
        <w:tc>
          <w:tcPr>
            <w:tcW w:w="1272" w:type="dxa"/>
            <w:vMerge/>
            <w:tcBorders>
              <w:top w:val="nil"/>
            </w:tcBorders>
          </w:tcPr>
          <w:p>
            <w:pPr>
              <w:rPr>
                <w:sz w:val="2"/>
                <w:szCs w:val="2"/>
              </w:rPr>
            </w:pPr>
          </w:p>
        </w:tc>
        <w:tc>
          <w:tcPr>
            <w:tcW w:w="708" w:type="dxa"/>
          </w:tcPr>
          <w:p>
            <w:pPr>
              <w:pStyle w:val="TableParagraph"/>
              <w:spacing w:line="240" w:lineRule="auto" w:before="52"/>
              <w:rPr>
                <w:sz w:val="18"/>
              </w:rPr>
            </w:pPr>
            <w:r>
              <w:rPr>
                <w:sz w:val="18"/>
              </w:rPr>
              <w:t>3</w:t>
            </w:r>
          </w:p>
        </w:tc>
        <w:tc>
          <w:tcPr>
            <w:tcW w:w="2762" w:type="dxa"/>
          </w:tcPr>
          <w:p>
            <w:pPr>
              <w:pStyle w:val="TableParagraph"/>
              <w:spacing w:line="240" w:lineRule="auto" w:before="40"/>
              <w:ind w:left="86" w:right="73"/>
              <w:rPr>
                <w:rFonts w:ascii="宋体" w:eastAsia="宋体" w:hint="eastAsia"/>
                <w:sz w:val="18"/>
              </w:rPr>
            </w:pPr>
            <w:r>
              <w:rPr>
                <w:rFonts w:ascii="宋体" w:eastAsia="宋体" w:hint="eastAsia"/>
                <w:sz w:val="18"/>
              </w:rPr>
              <w:t>丙型肝炎病毒</w:t>
            </w:r>
            <w:r>
              <w:rPr>
                <w:sz w:val="18"/>
              </w:rPr>
              <w:t>2</w:t>
            </w:r>
            <w:r>
              <w:rPr>
                <w:rFonts w:ascii="宋体" w:eastAsia="宋体" w:hint="eastAsia"/>
                <w:sz w:val="18"/>
              </w:rPr>
              <w:t>型</w:t>
            </w:r>
            <w:r>
              <w:rPr>
                <w:sz w:val="18"/>
              </w:rPr>
              <w:t>/6</w:t>
            </w:r>
            <w:r>
              <w:rPr>
                <w:rFonts w:ascii="宋体" w:eastAsia="宋体" w:hint="eastAsia"/>
                <w:sz w:val="18"/>
              </w:rPr>
              <w:t>型</w:t>
            </w:r>
            <w:r>
              <w:rPr>
                <w:sz w:val="18"/>
              </w:rPr>
              <w:t>PCR</w:t>
            </w:r>
            <w:r>
              <w:rPr>
                <w:rFonts w:ascii="宋体" w:eastAsia="宋体" w:hint="eastAsia"/>
                <w:sz w:val="18"/>
              </w:rPr>
              <w:t>反应液</w:t>
            </w:r>
          </w:p>
        </w:tc>
        <w:tc>
          <w:tcPr>
            <w:tcW w:w="1349" w:type="dxa"/>
          </w:tcPr>
          <w:p>
            <w:pPr>
              <w:pStyle w:val="TableParagraph"/>
              <w:spacing w:line="240" w:lineRule="auto" w:before="40"/>
              <w:ind w:left="101" w:right="87"/>
              <w:rPr>
                <w:rFonts w:ascii="宋体" w:hAnsi="宋体" w:eastAsia="宋体" w:hint="eastAsia"/>
                <w:sz w:val="18"/>
              </w:rPr>
            </w:pPr>
            <w:r>
              <w:rPr>
                <w:sz w:val="18"/>
              </w:rPr>
              <w:t>516μl/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spacing w:line="154" w:lineRule="exact"/>
              <w:ind w:left="109"/>
              <w:rPr>
                <w:rFonts w:ascii="宋体" w:eastAsia="宋体" w:hint="eastAsia"/>
                <w:sz w:val="18"/>
              </w:rPr>
            </w:pPr>
            <w:r>
              <w:rPr>
                <w:rFonts w:ascii="宋体" w:eastAsia="宋体" w:hint="eastAsia"/>
                <w:spacing w:val="-4"/>
                <w:sz w:val="18"/>
              </w:rPr>
              <w:t>引物</w:t>
            </w:r>
            <w:r>
              <w:rPr>
                <w:spacing w:val="-3"/>
                <w:sz w:val="18"/>
              </w:rPr>
              <w:t>(8~10pmol)</w:t>
            </w:r>
            <w:r>
              <w:rPr>
                <w:rFonts w:ascii="宋体" w:eastAsia="宋体" w:hint="eastAsia"/>
                <w:spacing w:val="-23"/>
                <w:sz w:val="18"/>
              </w:rPr>
              <w:t>、探针</w:t>
            </w:r>
            <w:r>
              <w:rPr>
                <w:spacing w:val="-3"/>
                <w:sz w:val="18"/>
              </w:rPr>
              <w:t>(5~6pmol)</w:t>
            </w:r>
            <w:r>
              <w:rPr>
                <w:rFonts w:ascii="宋体" w:eastAsia="宋体" w:hint="eastAsia"/>
                <w:spacing w:val="-60"/>
                <w:sz w:val="18"/>
              </w:rPr>
              <w:t>、</w:t>
            </w:r>
            <w:r>
              <w:rPr>
                <w:spacing w:val="-3"/>
                <w:sz w:val="18"/>
              </w:rPr>
              <w:t>dNTPs(3.3mM)</w:t>
            </w:r>
            <w:r>
              <w:rPr>
                <w:rFonts w:ascii="宋体" w:eastAsia="宋体" w:hint="eastAsia"/>
                <w:sz w:val="18"/>
              </w:rPr>
              <w:t>、</w:t>
            </w:r>
          </w:p>
          <w:p>
            <w:pPr>
              <w:pStyle w:val="TableParagraph"/>
              <w:spacing w:line="186" w:lineRule="exact"/>
              <w:ind w:left="27"/>
              <w:rPr>
                <w:sz w:val="18"/>
              </w:rPr>
            </w:pPr>
            <w:r>
              <w:rPr>
                <w:sz w:val="18"/>
              </w:rPr>
              <w:t>5×PCR buffer(10μl)</w:t>
            </w:r>
            <w:r>
              <w:rPr>
                <w:rFonts w:ascii="宋体" w:hAnsi="宋体" w:eastAsia="宋体" w:hint="eastAsia"/>
                <w:sz w:val="18"/>
              </w:rPr>
              <w:t>、</w:t>
            </w:r>
            <w:r>
              <w:rPr>
                <w:sz w:val="18"/>
              </w:rPr>
              <w:t>Tth(10U)</w:t>
            </w:r>
            <w:r>
              <w:rPr>
                <w:rFonts w:ascii="宋体" w:hAnsi="宋体" w:eastAsia="宋体" w:hint="eastAsia"/>
                <w:sz w:val="18"/>
              </w:rPr>
              <w:t>、</w:t>
            </w:r>
            <w:r>
              <w:rPr>
                <w:sz w:val="18"/>
              </w:rPr>
              <w:t>H-Taq(2.5U)</w:t>
            </w:r>
          </w:p>
        </w:tc>
      </w:tr>
      <w:tr>
        <w:trPr>
          <w:trHeight w:val="359" w:hRule="atLeast"/>
        </w:trPr>
        <w:tc>
          <w:tcPr>
            <w:tcW w:w="1272" w:type="dxa"/>
            <w:vMerge/>
            <w:tcBorders>
              <w:top w:val="nil"/>
            </w:tcBorders>
          </w:tcPr>
          <w:p>
            <w:pPr>
              <w:rPr>
                <w:sz w:val="2"/>
                <w:szCs w:val="2"/>
              </w:rPr>
            </w:pPr>
          </w:p>
        </w:tc>
        <w:tc>
          <w:tcPr>
            <w:tcW w:w="708" w:type="dxa"/>
          </w:tcPr>
          <w:p>
            <w:pPr>
              <w:pStyle w:val="TableParagraph"/>
              <w:spacing w:line="240" w:lineRule="auto" w:before="51"/>
              <w:rPr>
                <w:sz w:val="18"/>
              </w:rPr>
            </w:pPr>
            <w:r>
              <w:rPr>
                <w:sz w:val="18"/>
              </w:rPr>
              <w:t>4</w:t>
            </w:r>
          </w:p>
        </w:tc>
        <w:tc>
          <w:tcPr>
            <w:tcW w:w="2762" w:type="dxa"/>
          </w:tcPr>
          <w:p>
            <w:pPr>
              <w:pStyle w:val="TableParagraph"/>
              <w:spacing w:line="156" w:lineRule="exact"/>
              <w:ind w:left="85" w:right="74"/>
              <w:rPr>
                <w:rFonts w:ascii="宋体" w:eastAsia="宋体" w:hint="eastAsia"/>
                <w:sz w:val="18"/>
              </w:rPr>
            </w:pPr>
            <w:r>
              <w:rPr>
                <w:rFonts w:ascii="宋体" w:eastAsia="宋体" w:hint="eastAsia"/>
                <w:sz w:val="18"/>
              </w:rPr>
              <w:t>丙型肝炎病毒</w:t>
            </w:r>
            <w:r>
              <w:rPr>
                <w:sz w:val="18"/>
              </w:rPr>
              <w:t>1b</w:t>
            </w:r>
            <w:r>
              <w:rPr>
                <w:rFonts w:ascii="宋体" w:eastAsia="宋体" w:hint="eastAsia"/>
                <w:sz w:val="18"/>
              </w:rPr>
              <w:t>型</w:t>
            </w:r>
            <w:r>
              <w:rPr>
                <w:sz w:val="18"/>
              </w:rPr>
              <w:t>/</w:t>
            </w:r>
            <w:r>
              <w:rPr>
                <w:rFonts w:ascii="宋体" w:eastAsia="宋体" w:hint="eastAsia"/>
                <w:sz w:val="18"/>
              </w:rPr>
              <w:t>内标</w:t>
            </w:r>
            <w:r>
              <w:rPr>
                <w:sz w:val="18"/>
              </w:rPr>
              <w:t>PCR</w:t>
            </w:r>
            <w:r>
              <w:rPr>
                <w:rFonts w:ascii="宋体" w:eastAsia="宋体" w:hint="eastAsia"/>
                <w:sz w:val="18"/>
              </w:rPr>
              <w:t>反应</w:t>
            </w:r>
          </w:p>
          <w:p>
            <w:pPr>
              <w:pStyle w:val="TableParagraph"/>
              <w:spacing w:line="184" w:lineRule="exact"/>
              <w:ind w:left="11"/>
              <w:rPr>
                <w:rFonts w:ascii="宋体" w:eastAsia="宋体" w:hint="eastAsia"/>
                <w:sz w:val="18"/>
              </w:rPr>
            </w:pPr>
            <w:r>
              <w:rPr>
                <w:rFonts w:ascii="宋体" w:eastAsia="宋体" w:hint="eastAsia"/>
                <w:sz w:val="18"/>
              </w:rPr>
              <w:t>液</w:t>
            </w:r>
          </w:p>
        </w:tc>
        <w:tc>
          <w:tcPr>
            <w:tcW w:w="1349" w:type="dxa"/>
          </w:tcPr>
          <w:p>
            <w:pPr>
              <w:pStyle w:val="TableParagraph"/>
              <w:spacing w:line="240" w:lineRule="auto" w:before="39"/>
              <w:ind w:left="101" w:right="87"/>
              <w:rPr>
                <w:rFonts w:ascii="宋体" w:hAnsi="宋体" w:eastAsia="宋体" w:hint="eastAsia"/>
                <w:sz w:val="18"/>
              </w:rPr>
            </w:pPr>
            <w:r>
              <w:rPr>
                <w:sz w:val="18"/>
              </w:rPr>
              <w:t>516μl/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spacing w:line="156" w:lineRule="exact"/>
              <w:ind w:left="35"/>
              <w:rPr>
                <w:rFonts w:ascii="宋体" w:eastAsia="宋体" w:hint="eastAsia"/>
                <w:sz w:val="18"/>
              </w:rPr>
            </w:pPr>
            <w:r>
              <w:rPr>
                <w:rFonts w:ascii="宋体" w:eastAsia="宋体" w:hint="eastAsia"/>
                <w:sz w:val="18"/>
              </w:rPr>
              <w:t>引物</w:t>
            </w:r>
            <w:r>
              <w:rPr>
                <w:sz w:val="18"/>
              </w:rPr>
              <w:t>(8~16pmol)</w:t>
            </w:r>
            <w:r>
              <w:rPr>
                <w:rFonts w:ascii="宋体" w:eastAsia="宋体" w:hint="eastAsia"/>
                <w:sz w:val="18"/>
              </w:rPr>
              <w:t>、探针</w:t>
            </w:r>
            <w:r>
              <w:rPr>
                <w:sz w:val="18"/>
              </w:rPr>
              <w:t>(8pmol)</w:t>
            </w:r>
            <w:r>
              <w:rPr>
                <w:rFonts w:ascii="宋体" w:eastAsia="宋体" w:hint="eastAsia"/>
                <w:sz w:val="18"/>
              </w:rPr>
              <w:t>、</w:t>
            </w:r>
            <w:r>
              <w:rPr>
                <w:sz w:val="18"/>
              </w:rPr>
              <w:t>dNTPs(3.3mM)</w:t>
            </w:r>
            <w:r>
              <w:rPr>
                <w:rFonts w:ascii="宋体" w:eastAsia="宋体" w:hint="eastAsia"/>
                <w:sz w:val="18"/>
              </w:rPr>
              <w:t>、</w:t>
            </w:r>
          </w:p>
          <w:p>
            <w:pPr>
              <w:pStyle w:val="TableParagraph"/>
              <w:spacing w:line="184" w:lineRule="exact"/>
              <w:ind w:left="27"/>
              <w:rPr>
                <w:sz w:val="18"/>
              </w:rPr>
            </w:pPr>
            <w:r>
              <w:rPr>
                <w:sz w:val="18"/>
              </w:rPr>
              <w:t>5×PCR buffer(10μl)</w:t>
            </w:r>
            <w:r>
              <w:rPr>
                <w:rFonts w:ascii="宋体" w:hAnsi="宋体" w:eastAsia="宋体" w:hint="eastAsia"/>
                <w:sz w:val="18"/>
              </w:rPr>
              <w:t>、</w:t>
            </w:r>
            <w:r>
              <w:rPr>
                <w:sz w:val="18"/>
              </w:rPr>
              <w:t>Tth(10U)</w:t>
            </w:r>
            <w:r>
              <w:rPr>
                <w:rFonts w:ascii="宋体" w:hAnsi="宋体" w:eastAsia="宋体" w:hint="eastAsia"/>
                <w:sz w:val="18"/>
              </w:rPr>
              <w:t>、</w:t>
            </w:r>
            <w:r>
              <w:rPr>
                <w:sz w:val="18"/>
              </w:rPr>
              <w:t>H-Taq(2.5U)</w:t>
            </w:r>
          </w:p>
        </w:tc>
      </w:tr>
      <w:tr>
        <w:trPr>
          <w:trHeight w:val="180" w:hRule="atLeast"/>
        </w:trPr>
        <w:tc>
          <w:tcPr>
            <w:tcW w:w="1272" w:type="dxa"/>
            <w:vMerge/>
            <w:tcBorders>
              <w:top w:val="nil"/>
            </w:tcBorders>
          </w:tcPr>
          <w:p>
            <w:pPr>
              <w:rPr>
                <w:sz w:val="2"/>
                <w:szCs w:val="2"/>
              </w:rPr>
            </w:pPr>
          </w:p>
        </w:tc>
        <w:tc>
          <w:tcPr>
            <w:tcW w:w="708" w:type="dxa"/>
          </w:tcPr>
          <w:p>
            <w:pPr>
              <w:pStyle w:val="TableParagraph"/>
              <w:rPr>
                <w:sz w:val="18"/>
              </w:rPr>
            </w:pPr>
            <w:r>
              <w:rPr>
                <w:sz w:val="18"/>
              </w:rPr>
              <w:t>5</w:t>
            </w:r>
          </w:p>
        </w:tc>
        <w:tc>
          <w:tcPr>
            <w:tcW w:w="2762" w:type="dxa"/>
          </w:tcPr>
          <w:p>
            <w:pPr>
              <w:pStyle w:val="TableParagraph"/>
              <w:ind w:left="86" w:right="73"/>
              <w:rPr>
                <w:rFonts w:ascii="宋体" w:eastAsia="宋体" w:hint="eastAsia"/>
                <w:sz w:val="18"/>
              </w:rPr>
            </w:pPr>
            <w:r>
              <w:rPr>
                <w:sz w:val="18"/>
              </w:rPr>
              <w:t>RT-PCR</w:t>
            </w:r>
            <w:r>
              <w:rPr>
                <w:rFonts w:ascii="宋体" w:eastAsia="宋体" w:hint="eastAsia"/>
                <w:sz w:val="18"/>
              </w:rPr>
              <w:t>增强剂</w:t>
            </w:r>
          </w:p>
        </w:tc>
        <w:tc>
          <w:tcPr>
            <w:tcW w:w="1349" w:type="dxa"/>
          </w:tcPr>
          <w:p>
            <w:pPr>
              <w:pStyle w:val="TableParagraph"/>
              <w:ind w:left="101" w:right="87"/>
              <w:rPr>
                <w:rFonts w:ascii="宋体" w:hAnsi="宋体" w:eastAsia="宋体" w:hint="eastAsia"/>
                <w:sz w:val="18"/>
              </w:rPr>
            </w:pPr>
            <w:r>
              <w:rPr>
                <w:sz w:val="18"/>
              </w:rPr>
              <w:t>60μl/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ind w:left="15"/>
              <w:rPr>
                <w:sz w:val="18"/>
              </w:rPr>
            </w:pPr>
            <w:r>
              <w:rPr>
                <w:position w:val="1"/>
                <w:sz w:val="18"/>
              </w:rPr>
              <w:t>Mn(Oac)</w:t>
            </w:r>
            <w:r>
              <w:rPr>
                <w:position w:val="1"/>
                <w:sz w:val="18"/>
                <w:vertAlign w:val="subscript"/>
              </w:rPr>
              <w:t>2</w:t>
            </w:r>
            <w:r>
              <w:rPr>
                <w:position w:val="1"/>
                <w:sz w:val="18"/>
                <w:vertAlign w:val="baseline"/>
              </w:rPr>
              <w:t>(150mM)</w:t>
            </w:r>
          </w:p>
        </w:tc>
      </w:tr>
      <w:tr>
        <w:trPr>
          <w:trHeight w:val="180" w:hRule="atLeast"/>
        </w:trPr>
        <w:tc>
          <w:tcPr>
            <w:tcW w:w="1272" w:type="dxa"/>
            <w:vMerge/>
            <w:tcBorders>
              <w:top w:val="nil"/>
            </w:tcBorders>
          </w:tcPr>
          <w:p>
            <w:pPr>
              <w:rPr>
                <w:sz w:val="2"/>
                <w:szCs w:val="2"/>
              </w:rPr>
            </w:pPr>
          </w:p>
        </w:tc>
        <w:tc>
          <w:tcPr>
            <w:tcW w:w="708" w:type="dxa"/>
          </w:tcPr>
          <w:p>
            <w:pPr>
              <w:pStyle w:val="TableParagraph"/>
              <w:rPr>
                <w:sz w:val="18"/>
              </w:rPr>
            </w:pPr>
            <w:r>
              <w:rPr>
                <w:sz w:val="18"/>
              </w:rPr>
              <w:t>6</w:t>
            </w:r>
          </w:p>
        </w:tc>
        <w:tc>
          <w:tcPr>
            <w:tcW w:w="2762" w:type="dxa"/>
          </w:tcPr>
          <w:p>
            <w:pPr>
              <w:pStyle w:val="TableParagraph"/>
              <w:ind w:left="86" w:right="73"/>
              <w:rPr>
                <w:rFonts w:ascii="宋体" w:eastAsia="宋体" w:hint="eastAsia"/>
                <w:sz w:val="18"/>
              </w:rPr>
            </w:pPr>
            <w:r>
              <w:rPr>
                <w:rFonts w:ascii="宋体" w:eastAsia="宋体" w:hint="eastAsia"/>
                <w:sz w:val="18"/>
              </w:rPr>
              <w:t>丙型肝炎病毒分型阴性对照</w:t>
            </w:r>
          </w:p>
        </w:tc>
        <w:tc>
          <w:tcPr>
            <w:tcW w:w="1349" w:type="dxa"/>
          </w:tcPr>
          <w:p>
            <w:pPr>
              <w:pStyle w:val="TableParagraph"/>
              <w:ind w:left="101" w:right="87"/>
              <w:rPr>
                <w:rFonts w:ascii="宋体" w:hAnsi="宋体" w:eastAsia="宋体" w:hint="eastAsia"/>
                <w:sz w:val="18"/>
              </w:rPr>
            </w:pPr>
            <w:r>
              <w:rPr>
                <w:sz w:val="18"/>
              </w:rPr>
              <w:t>0.5ml/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ind w:left="13"/>
              <w:rPr>
                <w:sz w:val="18"/>
              </w:rPr>
            </w:pPr>
            <w:r>
              <w:rPr>
                <w:rFonts w:ascii="宋体" w:eastAsia="宋体" w:hint="eastAsia"/>
                <w:sz w:val="18"/>
              </w:rPr>
              <w:t>灭活的丙型肝炎病毒阴性血清</w:t>
            </w:r>
            <w:r>
              <w:rPr>
                <w:sz w:val="18"/>
              </w:rPr>
              <w:t>(0 IU/ml)</w:t>
            </w:r>
          </w:p>
        </w:tc>
      </w:tr>
      <w:tr>
        <w:trPr>
          <w:trHeight w:val="197" w:hRule="atLeast"/>
        </w:trPr>
        <w:tc>
          <w:tcPr>
            <w:tcW w:w="1272" w:type="dxa"/>
            <w:vMerge/>
            <w:tcBorders>
              <w:top w:val="nil"/>
            </w:tcBorders>
          </w:tcPr>
          <w:p>
            <w:pPr>
              <w:rPr>
                <w:sz w:val="2"/>
                <w:szCs w:val="2"/>
              </w:rPr>
            </w:pPr>
          </w:p>
        </w:tc>
        <w:tc>
          <w:tcPr>
            <w:tcW w:w="708" w:type="dxa"/>
          </w:tcPr>
          <w:p>
            <w:pPr>
              <w:pStyle w:val="TableParagraph"/>
              <w:spacing w:line="176" w:lineRule="exact"/>
              <w:rPr>
                <w:sz w:val="18"/>
              </w:rPr>
            </w:pPr>
            <w:r>
              <w:rPr>
                <w:sz w:val="18"/>
              </w:rPr>
              <w:t>7</w:t>
            </w:r>
          </w:p>
        </w:tc>
        <w:tc>
          <w:tcPr>
            <w:tcW w:w="2762" w:type="dxa"/>
          </w:tcPr>
          <w:p>
            <w:pPr>
              <w:pStyle w:val="TableParagraph"/>
              <w:spacing w:line="177" w:lineRule="exact"/>
              <w:ind w:left="86" w:right="73"/>
              <w:rPr>
                <w:rFonts w:ascii="宋体" w:eastAsia="宋体" w:hint="eastAsia"/>
                <w:sz w:val="18"/>
              </w:rPr>
            </w:pPr>
            <w:r>
              <w:rPr>
                <w:rFonts w:ascii="宋体" w:eastAsia="宋体" w:hint="eastAsia"/>
                <w:sz w:val="18"/>
              </w:rPr>
              <w:t>丙型肝炎病毒分型阳性对照</w:t>
            </w:r>
          </w:p>
        </w:tc>
        <w:tc>
          <w:tcPr>
            <w:tcW w:w="1349" w:type="dxa"/>
          </w:tcPr>
          <w:p>
            <w:pPr>
              <w:pStyle w:val="TableParagraph"/>
              <w:spacing w:line="177" w:lineRule="exact"/>
              <w:ind w:left="101" w:right="87"/>
              <w:rPr>
                <w:rFonts w:ascii="宋体" w:hAnsi="宋体" w:eastAsia="宋体" w:hint="eastAsia"/>
                <w:sz w:val="18"/>
              </w:rPr>
            </w:pPr>
            <w:r>
              <w:rPr>
                <w:sz w:val="18"/>
              </w:rPr>
              <w:t>0.5ml/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spacing w:line="177" w:lineRule="exact"/>
              <w:ind w:left="15"/>
              <w:rPr>
                <w:sz w:val="18"/>
              </w:rPr>
            </w:pPr>
            <w:r>
              <w:rPr>
                <w:rFonts w:ascii="宋体" w:eastAsia="宋体" w:hint="eastAsia"/>
                <w:sz w:val="18"/>
              </w:rPr>
              <w:t>灭活的丙型肝炎病毒阳性血清</w:t>
            </w:r>
            <w:r>
              <w:rPr>
                <w:sz w:val="18"/>
              </w:rPr>
              <w:t>(4.00E+05 IU/ml)</w:t>
            </w:r>
          </w:p>
        </w:tc>
      </w:tr>
      <w:tr>
        <w:trPr>
          <w:trHeight w:val="196" w:hRule="atLeast"/>
        </w:trPr>
        <w:tc>
          <w:tcPr>
            <w:tcW w:w="1272" w:type="dxa"/>
            <w:vMerge/>
            <w:tcBorders>
              <w:top w:val="nil"/>
            </w:tcBorders>
          </w:tcPr>
          <w:p>
            <w:pPr>
              <w:rPr>
                <w:sz w:val="2"/>
                <w:szCs w:val="2"/>
              </w:rPr>
            </w:pPr>
          </w:p>
        </w:tc>
        <w:tc>
          <w:tcPr>
            <w:tcW w:w="708" w:type="dxa"/>
          </w:tcPr>
          <w:p>
            <w:pPr>
              <w:pStyle w:val="TableParagraph"/>
              <w:spacing w:line="175" w:lineRule="exact"/>
              <w:rPr>
                <w:sz w:val="18"/>
              </w:rPr>
            </w:pPr>
            <w:r>
              <w:rPr>
                <w:sz w:val="18"/>
              </w:rPr>
              <w:t>8</w:t>
            </w:r>
          </w:p>
        </w:tc>
        <w:tc>
          <w:tcPr>
            <w:tcW w:w="2762" w:type="dxa"/>
          </w:tcPr>
          <w:p>
            <w:pPr>
              <w:pStyle w:val="TableParagraph"/>
              <w:spacing w:line="176" w:lineRule="exact"/>
              <w:ind w:left="85" w:right="74"/>
              <w:rPr>
                <w:rFonts w:ascii="宋体" w:eastAsia="宋体" w:hint="eastAsia"/>
                <w:sz w:val="18"/>
              </w:rPr>
            </w:pPr>
            <w:r>
              <w:rPr>
                <w:rFonts w:ascii="宋体" w:eastAsia="宋体" w:hint="eastAsia"/>
                <w:sz w:val="18"/>
              </w:rPr>
              <w:t>丙型肝炎病毒分型内标</w:t>
            </w:r>
          </w:p>
        </w:tc>
        <w:tc>
          <w:tcPr>
            <w:tcW w:w="1349" w:type="dxa"/>
          </w:tcPr>
          <w:p>
            <w:pPr>
              <w:pStyle w:val="TableParagraph"/>
              <w:spacing w:line="176" w:lineRule="exact"/>
              <w:ind w:left="101" w:right="87"/>
              <w:rPr>
                <w:rFonts w:ascii="宋体" w:hAnsi="宋体" w:eastAsia="宋体" w:hint="eastAsia"/>
                <w:sz w:val="18"/>
              </w:rPr>
            </w:pPr>
            <w:r>
              <w:rPr>
                <w:sz w:val="18"/>
              </w:rPr>
              <w:t>20μl/</w:t>
            </w:r>
            <w:r>
              <w:rPr>
                <w:rFonts w:ascii="宋体" w:hAnsi="宋体" w:eastAsia="宋体" w:hint="eastAsia"/>
                <w:sz w:val="18"/>
              </w:rPr>
              <w:t>管</w:t>
            </w:r>
            <w:r>
              <w:rPr>
                <w:sz w:val="18"/>
              </w:rPr>
              <w:t>×1</w:t>
            </w:r>
            <w:r>
              <w:rPr>
                <w:rFonts w:ascii="宋体" w:hAnsi="宋体" w:eastAsia="宋体" w:hint="eastAsia"/>
                <w:sz w:val="18"/>
              </w:rPr>
              <w:t>管</w:t>
            </w:r>
          </w:p>
        </w:tc>
        <w:tc>
          <w:tcPr>
            <w:tcW w:w="3958" w:type="dxa"/>
          </w:tcPr>
          <w:p>
            <w:pPr>
              <w:pStyle w:val="TableParagraph"/>
              <w:spacing w:line="176" w:lineRule="exact"/>
              <w:ind w:left="15"/>
              <w:rPr>
                <w:sz w:val="18"/>
              </w:rPr>
            </w:pPr>
            <w:r>
              <w:rPr>
                <w:rFonts w:ascii="宋体" w:eastAsia="宋体" w:hint="eastAsia"/>
                <w:sz w:val="18"/>
              </w:rPr>
              <w:t>质粒稀释液</w:t>
            </w:r>
            <w:r>
              <w:rPr>
                <w:sz w:val="18"/>
              </w:rPr>
              <w:t>(2.0E+05copies/ml)</w:t>
            </w:r>
          </w:p>
        </w:tc>
      </w:tr>
    </w:tbl>
    <w:p>
      <w:pPr>
        <w:spacing w:line="154" w:lineRule="exact" w:before="0"/>
        <w:ind w:left="391" w:right="0" w:firstLine="0"/>
        <w:jc w:val="left"/>
        <w:rPr>
          <w:b/>
          <w:sz w:val="18"/>
        </w:rPr>
      </w:pPr>
      <w:r>
        <w:rPr>
          <w:b/>
          <w:sz w:val="18"/>
        </w:rPr>
        <w:t>备注：</w:t>
      </w:r>
    </w:p>
    <w:p>
      <w:pPr>
        <w:pStyle w:val="BodyText"/>
        <w:ind w:left="484"/>
      </w:pPr>
      <w:r>
        <w:rPr>
          <w:rFonts w:ascii="Times New Roman" w:eastAsia="Times New Roman"/>
          <w:b/>
        </w:rPr>
        <w:t>1</w:t>
      </w:r>
      <w:r>
        <w:rPr>
          <w:b/>
        </w:rPr>
        <w:t>）</w:t>
      </w:r>
      <w:r>
        <w:rPr/>
        <w:t>不同批号产品的成分之间不可以混用或互换。</w:t>
      </w:r>
      <w:r>
        <w:rPr>
          <w:rFonts w:ascii="Times New Roman" w:eastAsia="Times New Roman"/>
          <w:b/>
        </w:rPr>
        <w:t>2</w:t>
      </w:r>
      <w:r>
        <w:rPr>
          <w:b/>
        </w:rPr>
        <w:t>）</w:t>
      </w:r>
      <w:r>
        <w:rPr/>
        <w:t>试剂盒内的生物样本均已经灭活处理。</w:t>
      </w:r>
    </w:p>
    <w:p>
      <w:pPr>
        <w:pStyle w:val="BodyText"/>
        <w:spacing w:line="187" w:lineRule="auto" w:before="14"/>
        <w:ind w:left="484" w:right="192"/>
      </w:pPr>
      <w:r>
        <w:rPr>
          <w:rFonts w:ascii="Times New Roman" w:hAnsi="Times New Roman" w:eastAsia="Times New Roman"/>
          <w:b/>
          <w:spacing w:val="-3"/>
        </w:rPr>
        <w:t>3</w:t>
      </w:r>
      <w:r>
        <w:rPr>
          <w:b/>
          <w:spacing w:val="-3"/>
        </w:rPr>
        <w:t>）</w:t>
      </w:r>
      <w:r>
        <w:rPr/>
        <w:t>自备试验器材：无</w:t>
      </w:r>
      <w:r>
        <w:rPr>
          <w:rFonts w:ascii="Times New Roman" w:hAnsi="Times New Roman" w:eastAsia="Times New Roman"/>
        </w:rPr>
        <w:t>RNase </w:t>
      </w:r>
      <w:r>
        <w:rPr>
          <w:spacing w:val="-26"/>
        </w:rPr>
        <w:t>的 </w:t>
      </w:r>
      <w:r>
        <w:rPr>
          <w:rFonts w:ascii="Times New Roman" w:hAnsi="Times New Roman" w:eastAsia="Times New Roman"/>
        </w:rPr>
        <w:t>1.5 ml </w:t>
      </w:r>
      <w:r>
        <w:rPr>
          <w:spacing w:val="-4"/>
        </w:rPr>
        <w:t>离心管、</w:t>
      </w:r>
      <w:r>
        <w:rPr>
          <w:rFonts w:ascii="Times New Roman" w:hAnsi="Times New Roman" w:eastAsia="Times New Roman"/>
        </w:rPr>
        <w:t>0.2 ml PCR </w:t>
      </w:r>
      <w:r>
        <w:rPr>
          <w:spacing w:val="-5"/>
        </w:rPr>
        <w:t>反应管、各种规格的吸头</w:t>
      </w:r>
      <w:r>
        <w:rPr>
          <w:rFonts w:ascii="Times New Roman" w:hAnsi="Times New Roman" w:eastAsia="Times New Roman"/>
          <w:spacing w:val="-3"/>
        </w:rPr>
        <w:t>(10μl</w:t>
      </w:r>
      <w:r>
        <w:rPr>
          <w:spacing w:val="-3"/>
        </w:rPr>
        <w:t>，</w:t>
      </w:r>
      <w:r>
        <w:rPr>
          <w:rFonts w:ascii="Times New Roman" w:hAnsi="Times New Roman" w:eastAsia="Times New Roman"/>
          <w:spacing w:val="-3"/>
        </w:rPr>
        <w:t>200μl</w:t>
      </w:r>
      <w:r>
        <w:rPr>
          <w:spacing w:val="-3"/>
        </w:rPr>
        <w:t>，</w:t>
      </w:r>
      <w:r>
        <w:rPr>
          <w:rFonts w:ascii="Times New Roman" w:hAnsi="Times New Roman" w:eastAsia="Times New Roman"/>
          <w:spacing w:val="-3"/>
        </w:rPr>
        <w:t>1000μl)</w:t>
      </w:r>
      <w:r>
        <w:rPr>
          <w:spacing w:val="-5"/>
        </w:rPr>
        <w:t>；离心机；震荡混合器；磁珠分离器；各种规格的加样枪。</w:t>
      </w:r>
    </w:p>
    <w:p>
      <w:pPr>
        <w:pStyle w:val="Heading1"/>
        <w:spacing w:line="166" w:lineRule="exact"/>
      </w:pPr>
      <w:r>
        <w:rPr/>
        <w:t>【储存条件及有效期】</w:t>
      </w:r>
    </w:p>
    <w:p>
      <w:pPr>
        <w:pStyle w:val="BodyText"/>
        <w:spacing w:line="187" w:lineRule="auto" w:before="14"/>
        <w:ind w:right="197" w:firstLine="283"/>
      </w:pPr>
      <w:r>
        <w:rPr>
          <w:spacing w:val="-9"/>
        </w:rPr>
        <w:t>提取试剂盒应避光密闭保存于 </w:t>
      </w:r>
      <w:r>
        <w:rPr>
          <w:rFonts w:ascii="Times New Roman" w:hAnsi="Times New Roman" w:eastAsia="Times New Roman"/>
          <w:spacing w:val="-4"/>
        </w:rPr>
        <w:t>2~8</w:t>
      </w:r>
      <w:r>
        <w:rPr>
          <w:spacing w:val="-5"/>
        </w:rPr>
        <w:t>℃；扩增试剂盒应避光密闭储存于</w:t>
      </w:r>
      <w:r>
        <w:rPr>
          <w:rFonts w:ascii="Times New Roman" w:hAnsi="Times New Roman" w:eastAsia="Times New Roman"/>
          <w:spacing w:val="-3"/>
        </w:rPr>
        <w:t>-20±5</w:t>
      </w:r>
      <w:r>
        <w:rPr>
          <w:spacing w:val="-10"/>
        </w:rPr>
        <w:t>℃。试剂盒有效期为 </w:t>
      </w:r>
      <w:r>
        <w:rPr>
          <w:rFonts w:ascii="Times New Roman" w:hAnsi="Times New Roman" w:eastAsia="Times New Roman"/>
        </w:rPr>
        <w:t>12 </w:t>
      </w:r>
      <w:r>
        <w:rPr>
          <w:spacing w:val="-5"/>
        </w:rPr>
        <w:t>个月，扩增试剂盒反复冻融应</w:t>
      </w:r>
      <w:r>
        <w:rPr>
          <w:spacing w:val="-16"/>
        </w:rPr>
        <w:t>不超过 </w:t>
      </w:r>
      <w:r>
        <w:rPr>
          <w:rFonts w:ascii="Times New Roman" w:hAnsi="Times New Roman" w:eastAsia="Times New Roman"/>
        </w:rPr>
        <w:t>5 </w:t>
      </w:r>
      <w:r>
        <w:rPr>
          <w:spacing w:val="-3"/>
        </w:rPr>
        <w:t>次。</w:t>
      </w:r>
    </w:p>
    <w:p>
      <w:pPr>
        <w:pStyle w:val="BodyText"/>
        <w:spacing w:line="166" w:lineRule="exact"/>
        <w:ind w:left="410"/>
      </w:pPr>
      <w:r>
        <w:rPr/>
        <w:t>生产日期、失效日期请见外包装盒。</w:t>
      </w:r>
    </w:p>
    <w:p>
      <w:pPr>
        <w:pStyle w:val="Heading1"/>
      </w:pPr>
      <w:r>
        <w:rPr/>
        <w:t>【适用仪器】</w:t>
      </w:r>
    </w:p>
    <w:p>
      <w:pPr>
        <w:pStyle w:val="BodyText"/>
        <w:ind w:left="480"/>
        <w:jc w:val="both"/>
      </w:pPr>
      <w:r>
        <w:rPr/>
        <w:t>适用于</w:t>
      </w:r>
      <w:r>
        <w:rPr>
          <w:rFonts w:ascii="Times New Roman" w:eastAsia="Times New Roman"/>
        </w:rPr>
        <w:t>Stratagene Mx3000P</w:t>
      </w:r>
      <w:r>
        <w:rPr/>
        <w:t>、宏石</w:t>
      </w:r>
      <w:r>
        <w:rPr>
          <w:rFonts w:ascii="Times New Roman" w:eastAsia="Times New Roman"/>
        </w:rPr>
        <w:t>SLAN96P </w:t>
      </w:r>
      <w:r>
        <w:rPr/>
        <w:t>荧光</w:t>
      </w:r>
      <w:r>
        <w:rPr>
          <w:rFonts w:ascii="Times New Roman" w:eastAsia="Times New Roman"/>
        </w:rPr>
        <w:t>PCR </w:t>
      </w:r>
      <w:r>
        <w:rPr/>
        <w:t>仪。</w:t>
      </w:r>
    </w:p>
    <w:p>
      <w:pPr>
        <w:pStyle w:val="Heading1"/>
      </w:pPr>
      <w:r>
        <w:rPr/>
        <w:t>【样本要求】</w:t>
      </w:r>
    </w:p>
    <w:p>
      <w:pPr>
        <w:pStyle w:val="ListParagraph"/>
        <w:numPr>
          <w:ilvl w:val="0"/>
          <w:numId w:val="1"/>
        </w:numPr>
        <w:tabs>
          <w:tab w:pos="344" w:val="left" w:leader="none"/>
        </w:tabs>
        <w:spacing w:line="180" w:lineRule="exact" w:before="0" w:after="0"/>
        <w:ind w:left="343" w:right="0" w:hanging="217"/>
        <w:jc w:val="left"/>
        <w:rPr>
          <w:rFonts w:ascii="Times New Roman" w:eastAsia="Times New Roman"/>
          <w:sz w:val="18"/>
        </w:rPr>
      </w:pPr>
      <w:r>
        <w:rPr>
          <w:spacing w:val="-5"/>
          <w:sz w:val="18"/>
        </w:rPr>
        <w:t>适用样本类型：血清。</w:t>
      </w:r>
    </w:p>
    <w:p>
      <w:pPr>
        <w:pStyle w:val="ListParagraph"/>
        <w:numPr>
          <w:ilvl w:val="0"/>
          <w:numId w:val="1"/>
        </w:numPr>
        <w:tabs>
          <w:tab w:pos="344" w:val="left" w:leader="none"/>
        </w:tabs>
        <w:spacing w:line="187" w:lineRule="auto" w:before="15" w:after="0"/>
        <w:ind w:left="127" w:right="200" w:firstLine="0"/>
        <w:jc w:val="left"/>
        <w:rPr>
          <w:rFonts w:ascii="Times New Roman" w:eastAsia="Times New Roman"/>
          <w:sz w:val="18"/>
        </w:rPr>
      </w:pPr>
      <w:r>
        <w:rPr>
          <w:spacing w:val="-8"/>
          <w:sz w:val="18"/>
        </w:rPr>
        <w:t>血清样本采集：消毒局部皮肤，用一次性注射器</w:t>
      </w:r>
      <w:r>
        <w:rPr>
          <w:spacing w:val="-5"/>
          <w:sz w:val="18"/>
        </w:rPr>
        <w:t>（或真空采血管</w:t>
      </w:r>
      <w:r>
        <w:rPr>
          <w:spacing w:val="-15"/>
          <w:sz w:val="18"/>
        </w:rPr>
        <w:t>）</w:t>
      </w:r>
      <w:r>
        <w:rPr>
          <w:spacing w:val="-18"/>
          <w:sz w:val="18"/>
        </w:rPr>
        <w:t>抽取 </w:t>
      </w:r>
      <w:r>
        <w:rPr>
          <w:rFonts w:ascii="Times New Roman" w:eastAsia="Times New Roman"/>
          <w:spacing w:val="-3"/>
          <w:sz w:val="18"/>
        </w:rPr>
        <w:t>5-10ml</w:t>
      </w:r>
      <w:r>
        <w:rPr>
          <w:rFonts w:ascii="Times New Roman" w:eastAsia="Times New Roman"/>
          <w:spacing w:val="-2"/>
          <w:sz w:val="18"/>
        </w:rPr>
        <w:t> </w:t>
      </w:r>
      <w:r>
        <w:rPr>
          <w:spacing w:val="-11"/>
          <w:sz w:val="18"/>
        </w:rPr>
        <w:t>静脉血，室温下自然放置 </w:t>
      </w:r>
      <w:r>
        <w:rPr>
          <w:rFonts w:ascii="Times New Roman" w:eastAsia="Times New Roman"/>
          <w:spacing w:val="-6"/>
          <w:sz w:val="18"/>
        </w:rPr>
        <w:t>1-2h</w:t>
      </w:r>
      <w:r>
        <w:rPr>
          <w:spacing w:val="-6"/>
          <w:sz w:val="18"/>
        </w:rPr>
        <w:t>，待血液凝固、血块</w:t>
      </w:r>
      <w:r>
        <w:rPr>
          <w:spacing w:val="-12"/>
          <w:sz w:val="18"/>
        </w:rPr>
        <w:t>收缩后再用 </w:t>
      </w:r>
      <w:r>
        <w:rPr>
          <w:rFonts w:ascii="Times New Roman" w:eastAsia="Times New Roman"/>
          <w:spacing w:val="-3"/>
          <w:sz w:val="18"/>
        </w:rPr>
        <w:t>1500-3000r/min</w:t>
      </w:r>
      <w:r>
        <w:rPr>
          <w:rFonts w:ascii="Times New Roman" w:eastAsia="Times New Roman"/>
          <w:spacing w:val="-6"/>
          <w:sz w:val="18"/>
        </w:rPr>
        <w:t> </w:t>
      </w:r>
      <w:r>
        <w:rPr>
          <w:spacing w:val="-19"/>
          <w:sz w:val="18"/>
        </w:rPr>
        <w:t>离心 </w:t>
      </w:r>
      <w:r>
        <w:rPr>
          <w:rFonts w:ascii="Times New Roman" w:eastAsia="Times New Roman"/>
          <w:spacing w:val="-4"/>
          <w:sz w:val="18"/>
        </w:rPr>
        <w:t>15min</w:t>
      </w:r>
      <w:r>
        <w:rPr>
          <w:spacing w:val="-10"/>
          <w:sz w:val="18"/>
        </w:rPr>
        <w:t>，吸出血清，置于 </w:t>
      </w:r>
      <w:r>
        <w:rPr>
          <w:rFonts w:ascii="Times New Roman" w:eastAsia="Times New Roman"/>
          <w:sz w:val="18"/>
        </w:rPr>
        <w:t>1.5ml</w:t>
      </w:r>
      <w:r>
        <w:rPr>
          <w:rFonts w:ascii="Times New Roman" w:eastAsia="Times New Roman"/>
          <w:spacing w:val="-4"/>
          <w:sz w:val="18"/>
        </w:rPr>
        <w:t> </w:t>
      </w:r>
      <w:r>
        <w:rPr>
          <w:spacing w:val="-5"/>
          <w:sz w:val="18"/>
        </w:rPr>
        <w:t>离心管中备用。</w:t>
      </w:r>
    </w:p>
    <w:p>
      <w:pPr>
        <w:pStyle w:val="ListParagraph"/>
        <w:numPr>
          <w:ilvl w:val="0"/>
          <w:numId w:val="1"/>
        </w:numPr>
        <w:tabs>
          <w:tab w:pos="344" w:val="left" w:leader="none"/>
        </w:tabs>
        <w:spacing w:line="187" w:lineRule="auto" w:before="0" w:after="0"/>
        <w:ind w:left="127" w:right="200" w:firstLine="0"/>
        <w:jc w:val="left"/>
        <w:rPr>
          <w:rFonts w:ascii="Times New Roman" w:hAnsi="Times New Roman" w:eastAsia="Times New Roman"/>
          <w:sz w:val="18"/>
        </w:rPr>
      </w:pPr>
      <w:r>
        <w:rPr>
          <w:spacing w:val="-8"/>
          <w:sz w:val="18"/>
        </w:rPr>
        <w:t>样本保存和运送：经上述处理后的样本可立即用于检测，</w:t>
      </w:r>
      <w:r>
        <w:rPr>
          <w:rFonts w:ascii="Times New Roman" w:hAnsi="Times New Roman" w:eastAsia="Times New Roman"/>
          <w:spacing w:val="-8"/>
          <w:sz w:val="18"/>
        </w:rPr>
        <w:t>3</w:t>
      </w:r>
      <w:r>
        <w:rPr>
          <w:rFonts w:ascii="Times New Roman" w:hAnsi="Times New Roman" w:eastAsia="Times New Roman"/>
          <w:spacing w:val="-3"/>
          <w:sz w:val="18"/>
        </w:rPr>
        <w:t> </w:t>
      </w:r>
      <w:r>
        <w:rPr>
          <w:spacing w:val="-9"/>
          <w:sz w:val="18"/>
        </w:rPr>
        <w:t>天内进行检测的可存放于 </w:t>
      </w:r>
      <w:r>
        <w:rPr>
          <w:rFonts w:ascii="Times New Roman" w:hAnsi="Times New Roman" w:eastAsia="Times New Roman"/>
          <w:spacing w:val="-5"/>
          <w:sz w:val="18"/>
        </w:rPr>
        <w:t>4</w:t>
      </w:r>
      <w:r>
        <w:rPr>
          <w:spacing w:val="-5"/>
          <w:sz w:val="18"/>
        </w:rPr>
        <w:t>℃，</w:t>
      </w:r>
      <w:r>
        <w:rPr>
          <w:rFonts w:ascii="Times New Roman" w:hAnsi="Times New Roman" w:eastAsia="Times New Roman"/>
          <w:spacing w:val="-5"/>
          <w:sz w:val="18"/>
        </w:rPr>
        <w:t>3</w:t>
      </w:r>
      <w:r>
        <w:rPr>
          <w:rFonts w:ascii="Times New Roman" w:hAnsi="Times New Roman" w:eastAsia="Times New Roman"/>
          <w:spacing w:val="-2"/>
          <w:sz w:val="18"/>
        </w:rPr>
        <w:t> </w:t>
      </w:r>
      <w:r>
        <w:rPr>
          <w:spacing w:val="-5"/>
          <w:sz w:val="18"/>
        </w:rPr>
        <w:t>个月以内应存放于</w:t>
      </w:r>
      <w:r>
        <w:rPr>
          <w:rFonts w:ascii="Times New Roman" w:hAnsi="Times New Roman" w:eastAsia="Times New Roman"/>
          <w:spacing w:val="-3"/>
          <w:sz w:val="18"/>
        </w:rPr>
        <w:t>-20</w:t>
      </w:r>
      <w:r>
        <w:rPr>
          <w:spacing w:val="-5"/>
          <w:sz w:val="18"/>
        </w:rPr>
        <w:t>℃以下，</w:t>
      </w:r>
      <w:r>
        <w:rPr>
          <w:rFonts w:ascii="Times New Roman" w:hAnsi="Times New Roman" w:eastAsia="Times New Roman"/>
          <w:spacing w:val="-8"/>
          <w:sz w:val="18"/>
        </w:rPr>
        <w:t>3</w:t>
      </w:r>
      <w:r>
        <w:rPr>
          <w:rFonts w:ascii="Times New Roman" w:hAnsi="Times New Roman" w:eastAsia="Times New Roman"/>
          <w:spacing w:val="-3"/>
          <w:sz w:val="18"/>
        </w:rPr>
        <w:t> </w:t>
      </w:r>
      <w:r>
        <w:rPr>
          <w:spacing w:val="-3"/>
          <w:sz w:val="18"/>
        </w:rPr>
        <w:t>个月</w:t>
      </w:r>
      <w:r>
        <w:rPr>
          <w:spacing w:val="-5"/>
          <w:sz w:val="18"/>
        </w:rPr>
        <w:t>以存放上应置于</w:t>
      </w:r>
      <w:r>
        <w:rPr>
          <w:rFonts w:ascii="Times New Roman" w:hAnsi="Times New Roman" w:eastAsia="Times New Roman"/>
          <w:spacing w:val="-3"/>
          <w:sz w:val="18"/>
        </w:rPr>
        <w:t>-70</w:t>
      </w:r>
      <w:r>
        <w:rPr>
          <w:spacing w:val="-5"/>
          <w:sz w:val="18"/>
        </w:rPr>
        <w:t>℃以下。应避免反复冻融。标本运送采用冰壶加冰或泡沫箱加冰密封进行运输。</w:t>
      </w:r>
    </w:p>
    <w:p>
      <w:pPr>
        <w:pStyle w:val="Heading1"/>
        <w:spacing w:line="166" w:lineRule="exact"/>
      </w:pPr>
      <w:r>
        <w:rPr/>
        <w:t>【检验方法】</w:t>
      </w:r>
    </w:p>
    <w:p>
      <w:pPr>
        <w:pStyle w:val="ListParagraph"/>
        <w:numPr>
          <w:ilvl w:val="0"/>
          <w:numId w:val="2"/>
        </w:numPr>
        <w:tabs>
          <w:tab w:pos="300" w:val="left" w:leader="none"/>
        </w:tabs>
        <w:spacing w:line="180" w:lineRule="exact" w:before="0" w:after="0"/>
        <w:ind w:left="300" w:right="0" w:hanging="173"/>
        <w:jc w:val="left"/>
        <w:rPr>
          <w:b/>
          <w:sz w:val="18"/>
        </w:rPr>
      </w:pPr>
      <w:r>
        <w:rPr>
          <w:b/>
          <w:spacing w:val="-4"/>
          <w:sz w:val="18"/>
        </w:rPr>
        <w:t>试剂准备</w:t>
      </w:r>
      <w:r>
        <w:rPr>
          <w:b/>
          <w:spacing w:val="-5"/>
          <w:sz w:val="18"/>
        </w:rPr>
        <w:t>（在试剂准备区进行</w:t>
      </w:r>
      <w:r>
        <w:rPr>
          <w:b/>
          <w:sz w:val="18"/>
        </w:rPr>
        <w:t>）</w:t>
      </w:r>
    </w:p>
    <w:p>
      <w:pPr>
        <w:pStyle w:val="ListParagraph"/>
        <w:numPr>
          <w:ilvl w:val="1"/>
          <w:numId w:val="2"/>
        </w:numPr>
        <w:tabs>
          <w:tab w:pos="389" w:val="left" w:leader="none"/>
        </w:tabs>
        <w:spacing w:line="180" w:lineRule="exact" w:before="0" w:after="0"/>
        <w:ind w:left="388" w:right="0" w:hanging="262"/>
        <w:jc w:val="left"/>
        <w:rPr>
          <w:sz w:val="18"/>
        </w:rPr>
      </w:pPr>
      <w:r>
        <w:rPr>
          <w:spacing w:val="-5"/>
          <w:sz w:val="18"/>
        </w:rPr>
        <w:t>取出两个包装盒中的各组分，室温放置，待其温度平衡至室温后，混匀后备用。</w:t>
      </w:r>
    </w:p>
    <w:p>
      <w:pPr>
        <w:pStyle w:val="ListParagraph"/>
        <w:numPr>
          <w:ilvl w:val="1"/>
          <w:numId w:val="2"/>
        </w:numPr>
        <w:tabs>
          <w:tab w:pos="389" w:val="left" w:leader="none"/>
        </w:tabs>
        <w:spacing w:line="187" w:lineRule="auto" w:before="14" w:after="0"/>
        <w:ind w:left="395" w:right="197" w:hanging="269"/>
        <w:jc w:val="left"/>
        <w:rPr>
          <w:sz w:val="18"/>
        </w:rPr>
      </w:pPr>
      <w:r>
        <w:rPr>
          <w:spacing w:val="-8"/>
          <w:sz w:val="18"/>
        </w:rPr>
        <w:t>根据待测样本、阴性对照、阳性对照数量，按比例</w:t>
      </w:r>
      <w:r>
        <w:rPr>
          <w:spacing w:val="-5"/>
          <w:sz w:val="18"/>
        </w:rPr>
        <w:t>（</w:t>
      </w:r>
      <w:r>
        <w:rPr>
          <w:spacing w:val="-13"/>
          <w:sz w:val="18"/>
        </w:rPr>
        <w:t>提取试剂 </w:t>
      </w:r>
      <w:r>
        <w:rPr>
          <w:rFonts w:ascii="Times New Roman" w:hAnsi="Times New Roman" w:eastAsia="Times New Roman"/>
          <w:sz w:val="18"/>
        </w:rPr>
        <w:t>1</w:t>
      </w:r>
      <w:r>
        <w:rPr>
          <w:rFonts w:ascii="Times New Roman" w:hAnsi="Times New Roman" w:eastAsia="Times New Roman"/>
          <w:spacing w:val="-2"/>
          <w:sz w:val="18"/>
        </w:rPr>
        <w:t> </w:t>
      </w:r>
      <w:r>
        <w:rPr>
          <w:rFonts w:ascii="Times New Roman" w:hAnsi="Times New Roman" w:eastAsia="Times New Roman"/>
          <w:spacing w:val="-3"/>
          <w:sz w:val="18"/>
        </w:rPr>
        <w:t>600μl/</w:t>
      </w:r>
      <w:r>
        <w:rPr>
          <w:spacing w:val="-4"/>
          <w:sz w:val="18"/>
        </w:rPr>
        <w:t>人份</w:t>
      </w:r>
      <w:r>
        <w:rPr>
          <w:rFonts w:ascii="Times New Roman" w:hAnsi="Times New Roman" w:eastAsia="Times New Roman"/>
          <w:spacing w:val="-4"/>
          <w:sz w:val="18"/>
        </w:rPr>
        <w:t>+</w:t>
      </w:r>
      <w:r>
        <w:rPr>
          <w:spacing w:val="-9"/>
          <w:sz w:val="18"/>
        </w:rPr>
        <w:t>丙型肝炎病毒分型内标 </w:t>
      </w:r>
      <w:r>
        <w:rPr>
          <w:rFonts w:ascii="Times New Roman" w:hAnsi="Times New Roman" w:eastAsia="Times New Roman"/>
          <w:spacing w:val="-3"/>
          <w:sz w:val="18"/>
        </w:rPr>
        <w:t>1μl/</w:t>
      </w:r>
      <w:r>
        <w:rPr>
          <w:spacing w:val="-4"/>
          <w:sz w:val="18"/>
        </w:rPr>
        <w:t>人份</w:t>
      </w:r>
      <w:r>
        <w:rPr>
          <w:spacing w:val="-10"/>
          <w:sz w:val="18"/>
        </w:rPr>
        <w:t>）</w:t>
      </w:r>
      <w:r>
        <w:rPr>
          <w:spacing w:val="-5"/>
          <w:sz w:val="18"/>
        </w:rPr>
        <w:t>取相应量的提取试</w:t>
      </w:r>
      <w:r>
        <w:rPr>
          <w:spacing w:val="-29"/>
          <w:sz w:val="18"/>
        </w:rPr>
        <w:t>剂 </w:t>
      </w:r>
      <w:r>
        <w:rPr>
          <w:rFonts w:ascii="Times New Roman" w:hAnsi="Times New Roman" w:eastAsia="Times New Roman"/>
          <w:sz w:val="18"/>
        </w:rPr>
        <w:t>1</w:t>
      </w:r>
      <w:r>
        <w:rPr>
          <w:rFonts w:ascii="Times New Roman" w:hAnsi="Times New Roman" w:eastAsia="Times New Roman"/>
          <w:spacing w:val="-3"/>
          <w:sz w:val="18"/>
        </w:rPr>
        <w:t> </w:t>
      </w:r>
      <w:r>
        <w:rPr>
          <w:spacing w:val="-9"/>
          <w:sz w:val="18"/>
        </w:rPr>
        <w:t>及内标，充分混匀成提取试剂 </w:t>
      </w:r>
      <w:r>
        <w:rPr>
          <w:rFonts w:ascii="Times New Roman" w:hAnsi="Times New Roman" w:eastAsia="Times New Roman"/>
          <w:sz w:val="18"/>
        </w:rPr>
        <w:t>1</w:t>
      </w:r>
      <w:r>
        <w:rPr>
          <w:rFonts w:ascii="Times New Roman" w:hAnsi="Times New Roman" w:eastAsia="Times New Roman"/>
          <w:spacing w:val="-3"/>
          <w:sz w:val="18"/>
        </w:rPr>
        <w:t> </w:t>
      </w:r>
      <w:r>
        <w:rPr>
          <w:spacing w:val="-5"/>
          <w:sz w:val="18"/>
        </w:rPr>
        <w:t>混合液，瞬时离心后备用。</w:t>
      </w:r>
    </w:p>
    <w:p>
      <w:pPr>
        <w:pStyle w:val="ListParagraph"/>
        <w:numPr>
          <w:ilvl w:val="1"/>
          <w:numId w:val="2"/>
        </w:numPr>
        <w:tabs>
          <w:tab w:pos="389" w:val="left" w:leader="none"/>
        </w:tabs>
        <w:spacing w:line="166" w:lineRule="exact" w:before="0" w:after="0"/>
        <w:ind w:left="388" w:right="0" w:hanging="262"/>
        <w:jc w:val="left"/>
        <w:rPr>
          <w:rFonts w:ascii="Times New Roman" w:hAnsi="Times New Roman" w:eastAsia="Times New Roman"/>
          <w:sz w:val="18"/>
        </w:rPr>
      </w:pPr>
      <w:r>
        <w:rPr>
          <w:spacing w:val="-26"/>
          <w:sz w:val="18"/>
        </w:rPr>
        <w:t>取 </w:t>
      </w:r>
      <w:r>
        <w:rPr>
          <w:rFonts w:ascii="Times New Roman" w:hAnsi="Times New Roman" w:eastAsia="Times New Roman"/>
          <w:sz w:val="18"/>
        </w:rPr>
        <w:t>3</w:t>
      </w:r>
      <w:r>
        <w:rPr>
          <w:rFonts w:ascii="Times New Roman" w:hAnsi="Times New Roman" w:eastAsia="Times New Roman"/>
          <w:spacing w:val="-3"/>
          <w:sz w:val="18"/>
        </w:rPr>
        <w:t> </w:t>
      </w:r>
      <w:r>
        <w:rPr>
          <w:spacing w:val="-21"/>
          <w:sz w:val="18"/>
        </w:rPr>
        <w:t>种反应液，在 </w:t>
      </w:r>
      <w:r>
        <w:rPr>
          <w:rFonts w:ascii="Times New Roman" w:hAnsi="Times New Roman" w:eastAsia="Times New Roman"/>
          <w:sz w:val="18"/>
        </w:rPr>
        <w:t>3</w:t>
      </w:r>
      <w:r>
        <w:rPr>
          <w:rFonts w:ascii="Times New Roman" w:hAnsi="Times New Roman" w:eastAsia="Times New Roman"/>
          <w:spacing w:val="-3"/>
          <w:sz w:val="18"/>
        </w:rPr>
        <w:t> </w:t>
      </w:r>
      <w:r>
        <w:rPr>
          <w:spacing w:val="-20"/>
          <w:sz w:val="18"/>
        </w:rPr>
        <w:t>个离心管中，每种反应液根据待测样本、阴性对照以及阳性对照数量，按比例</w:t>
      </w:r>
      <w:r>
        <w:rPr>
          <w:sz w:val="18"/>
        </w:rPr>
        <w:t>（</w:t>
      </w:r>
      <w:r>
        <w:rPr>
          <w:rFonts w:ascii="Times New Roman" w:hAnsi="Times New Roman" w:eastAsia="Times New Roman"/>
          <w:sz w:val="18"/>
        </w:rPr>
        <w:t>PCR</w:t>
      </w:r>
      <w:r>
        <w:rPr>
          <w:rFonts w:ascii="Times New Roman" w:hAnsi="Times New Roman" w:eastAsia="Times New Roman"/>
          <w:spacing w:val="-5"/>
          <w:sz w:val="18"/>
        </w:rPr>
        <w:t> </w:t>
      </w:r>
      <w:r>
        <w:rPr>
          <w:spacing w:val="-16"/>
          <w:sz w:val="18"/>
        </w:rPr>
        <w:t>反应液 </w:t>
      </w:r>
      <w:r>
        <w:rPr>
          <w:rFonts w:ascii="Times New Roman" w:hAnsi="Times New Roman" w:eastAsia="Times New Roman"/>
          <w:spacing w:val="-3"/>
          <w:sz w:val="18"/>
        </w:rPr>
        <w:t>43μl/</w:t>
      </w:r>
      <w:r>
        <w:rPr>
          <w:spacing w:val="-4"/>
          <w:sz w:val="18"/>
        </w:rPr>
        <w:t>人份</w:t>
      </w:r>
      <w:r>
        <w:rPr>
          <w:rFonts w:ascii="Times New Roman" w:hAnsi="Times New Roman" w:eastAsia="Times New Roman"/>
          <w:spacing w:val="-3"/>
          <w:sz w:val="18"/>
        </w:rPr>
        <w:t>+ </w:t>
      </w:r>
      <w:r>
        <w:rPr>
          <w:rFonts w:ascii="Times New Roman" w:hAnsi="Times New Roman" w:eastAsia="Times New Roman"/>
          <w:spacing w:val="-7"/>
          <w:sz w:val="18"/>
        </w:rPr>
        <w:t>RT-PCR</w:t>
      </w:r>
    </w:p>
    <w:p>
      <w:pPr>
        <w:pStyle w:val="BodyText"/>
        <w:ind w:left="391"/>
      </w:pPr>
      <w:r>
        <w:rPr/>
        <w:t>增强剂 </w:t>
      </w:r>
      <w:r>
        <w:rPr>
          <w:rFonts w:ascii="Times New Roman" w:hAnsi="Times New Roman" w:eastAsia="Times New Roman"/>
        </w:rPr>
        <w:t>1.2μl/</w:t>
      </w:r>
      <w:r>
        <w:rPr/>
        <w:t>人份）取相应量的丙型肝炎病毒 </w:t>
      </w:r>
      <w:r>
        <w:rPr>
          <w:rFonts w:ascii="Times New Roman" w:hAnsi="Times New Roman" w:eastAsia="Times New Roman"/>
        </w:rPr>
        <w:t>PCR </w:t>
      </w:r>
      <w:r>
        <w:rPr/>
        <w:t>反应液及</w:t>
      </w:r>
      <w:r>
        <w:rPr>
          <w:rFonts w:ascii="Times New Roman" w:hAnsi="Times New Roman" w:eastAsia="Times New Roman"/>
        </w:rPr>
        <w:t>RT-PCR </w:t>
      </w:r>
      <w:r>
        <w:rPr/>
        <w:t>增强剂，充分混匀成</w:t>
      </w:r>
      <w:r>
        <w:rPr>
          <w:rFonts w:ascii="Times New Roman" w:hAnsi="Times New Roman" w:eastAsia="Times New Roman"/>
        </w:rPr>
        <w:t>PCR </w:t>
      </w:r>
      <w:r>
        <w:rPr/>
        <w:t>混合液，瞬时离心后备用。</w:t>
      </w:r>
    </w:p>
    <w:p>
      <w:pPr>
        <w:pStyle w:val="ListParagraph"/>
        <w:numPr>
          <w:ilvl w:val="1"/>
          <w:numId w:val="2"/>
        </w:numPr>
        <w:tabs>
          <w:tab w:pos="389" w:val="left" w:leader="none"/>
        </w:tabs>
        <w:spacing w:line="180" w:lineRule="exact" w:before="0" w:after="0"/>
        <w:ind w:left="388" w:right="0" w:hanging="262"/>
        <w:jc w:val="left"/>
        <w:rPr>
          <w:sz w:val="18"/>
        </w:rPr>
      </w:pPr>
      <w:r>
        <w:rPr>
          <w:spacing w:val="-5"/>
          <w:sz w:val="18"/>
        </w:rPr>
        <w:t>将上述准备好的试剂转移至样本处理区，待用。</w:t>
      </w:r>
    </w:p>
    <w:p>
      <w:pPr>
        <w:pStyle w:val="Heading1"/>
        <w:numPr>
          <w:ilvl w:val="0"/>
          <w:numId w:val="2"/>
        </w:numPr>
        <w:tabs>
          <w:tab w:pos="312" w:val="left" w:leader="none"/>
        </w:tabs>
        <w:spacing w:line="180" w:lineRule="exact" w:before="0" w:after="0"/>
        <w:ind w:left="312" w:right="0" w:hanging="185"/>
        <w:jc w:val="left"/>
      </w:pPr>
      <w:r>
        <w:rPr>
          <w:spacing w:val="4"/>
        </w:rPr>
        <w:t>样本处理及加样</w:t>
      </w:r>
      <w:r>
        <w:rPr>
          <w:spacing w:val="-3"/>
        </w:rPr>
        <w:t>（</w:t>
      </w:r>
      <w:r>
        <w:rPr>
          <w:spacing w:val="-5"/>
        </w:rPr>
        <w:t>在样本处理区进行</w:t>
      </w:r>
      <w:r>
        <w:rPr/>
        <w:t>）</w:t>
      </w:r>
    </w:p>
    <w:p>
      <w:pPr>
        <w:pStyle w:val="ListParagraph"/>
        <w:numPr>
          <w:ilvl w:val="1"/>
          <w:numId w:val="2"/>
        </w:numPr>
        <w:tabs>
          <w:tab w:pos="396" w:val="left" w:leader="none"/>
        </w:tabs>
        <w:spacing w:line="180" w:lineRule="exact" w:before="0" w:after="0"/>
        <w:ind w:left="396" w:right="0" w:hanging="269"/>
        <w:jc w:val="left"/>
        <w:rPr>
          <w:sz w:val="18"/>
        </w:rPr>
      </w:pPr>
      <w:r>
        <w:rPr>
          <w:spacing w:val="-4"/>
          <w:sz w:val="18"/>
        </w:rPr>
        <w:t>样本处理</w:t>
      </w:r>
    </w:p>
    <w:p>
      <w:pPr>
        <w:pStyle w:val="ListParagraph"/>
        <w:numPr>
          <w:ilvl w:val="2"/>
          <w:numId w:val="2"/>
        </w:numPr>
        <w:tabs>
          <w:tab w:pos="576" w:val="left" w:leader="none"/>
        </w:tabs>
        <w:spacing w:line="180" w:lineRule="exact" w:before="0" w:after="0"/>
        <w:ind w:left="576" w:right="0" w:hanging="449"/>
        <w:jc w:val="left"/>
        <w:rPr>
          <w:sz w:val="18"/>
        </w:rPr>
      </w:pPr>
      <w:r>
        <w:rPr>
          <w:spacing w:val="-12"/>
          <w:sz w:val="18"/>
        </w:rPr>
        <w:t>取适量 </w:t>
      </w:r>
      <w:r>
        <w:rPr>
          <w:rFonts w:ascii="Times New Roman" w:hAnsi="Times New Roman" w:eastAsia="Times New Roman"/>
          <w:sz w:val="18"/>
        </w:rPr>
        <w:t>1.5</w:t>
      </w:r>
      <w:r>
        <w:rPr>
          <w:rFonts w:ascii="Times New Roman" w:hAnsi="Times New Roman" w:eastAsia="Times New Roman"/>
          <w:spacing w:val="-1"/>
          <w:sz w:val="18"/>
        </w:rPr>
        <w:t> </w:t>
      </w:r>
      <w:r>
        <w:rPr>
          <w:rFonts w:ascii="Times New Roman" w:hAnsi="Times New Roman" w:eastAsia="Times New Roman"/>
          <w:sz w:val="18"/>
        </w:rPr>
        <w:t>ml</w:t>
      </w:r>
      <w:r>
        <w:rPr>
          <w:rFonts w:ascii="Times New Roman" w:hAnsi="Times New Roman" w:eastAsia="Times New Roman"/>
          <w:spacing w:val="44"/>
          <w:sz w:val="18"/>
        </w:rPr>
        <w:t> </w:t>
      </w:r>
      <w:r>
        <w:rPr>
          <w:spacing w:val="-2"/>
          <w:sz w:val="18"/>
        </w:rPr>
        <w:t>灭菌离心管，分别标记阴性对照、阳性对照及待测样本，每管加入 </w:t>
      </w:r>
      <w:r>
        <w:rPr>
          <w:rFonts w:ascii="Times New Roman" w:hAnsi="Times New Roman" w:eastAsia="Times New Roman"/>
          <w:sz w:val="18"/>
        </w:rPr>
        <w:t>600</w:t>
      </w:r>
      <w:r>
        <w:rPr>
          <w:rFonts w:ascii="Times New Roman" w:hAnsi="Times New Roman" w:eastAsia="Times New Roman"/>
          <w:spacing w:val="-2"/>
          <w:sz w:val="18"/>
        </w:rPr>
        <w:t> </w:t>
      </w:r>
      <w:r>
        <w:rPr>
          <w:rFonts w:ascii="Times New Roman" w:hAnsi="Times New Roman" w:eastAsia="Times New Roman"/>
          <w:sz w:val="18"/>
        </w:rPr>
        <w:t>μl</w:t>
      </w:r>
      <w:r>
        <w:rPr>
          <w:rFonts w:ascii="Times New Roman" w:hAnsi="Times New Roman" w:eastAsia="Times New Roman"/>
          <w:spacing w:val="1"/>
          <w:sz w:val="18"/>
        </w:rPr>
        <w:t> </w:t>
      </w:r>
      <w:r>
        <w:rPr>
          <w:rFonts w:ascii="Times New Roman" w:hAnsi="Times New Roman" w:eastAsia="Times New Roman"/>
          <w:sz w:val="18"/>
        </w:rPr>
        <w:t>RNA</w:t>
      </w:r>
      <w:r>
        <w:rPr>
          <w:rFonts w:ascii="Times New Roman" w:hAnsi="Times New Roman" w:eastAsia="Times New Roman"/>
          <w:spacing w:val="-5"/>
          <w:sz w:val="18"/>
        </w:rPr>
        <w:t> </w:t>
      </w:r>
      <w:r>
        <w:rPr>
          <w:spacing w:val="-12"/>
          <w:sz w:val="18"/>
        </w:rPr>
        <w:t>提取溶液 </w:t>
      </w:r>
      <w:r>
        <w:rPr>
          <w:rFonts w:ascii="Times New Roman" w:hAnsi="Times New Roman" w:eastAsia="Times New Roman"/>
          <w:sz w:val="18"/>
        </w:rPr>
        <w:t>1</w:t>
      </w:r>
      <w:r>
        <w:rPr>
          <w:rFonts w:ascii="Times New Roman" w:hAnsi="Times New Roman" w:eastAsia="Times New Roman"/>
          <w:spacing w:val="-1"/>
          <w:sz w:val="18"/>
        </w:rPr>
        <w:t> </w:t>
      </w:r>
      <w:r>
        <w:rPr>
          <w:sz w:val="18"/>
        </w:rPr>
        <w:t>混合液；</w:t>
      </w:r>
    </w:p>
    <w:p>
      <w:pPr>
        <w:pStyle w:val="ListParagraph"/>
        <w:numPr>
          <w:ilvl w:val="2"/>
          <w:numId w:val="2"/>
        </w:numPr>
        <w:tabs>
          <w:tab w:pos="576" w:val="left" w:leader="none"/>
        </w:tabs>
        <w:spacing w:line="180" w:lineRule="exact" w:before="0" w:after="0"/>
        <w:ind w:left="576" w:right="0" w:hanging="449"/>
        <w:jc w:val="left"/>
        <w:rPr>
          <w:sz w:val="18"/>
        </w:rPr>
      </w:pPr>
      <w:r>
        <w:rPr>
          <w:spacing w:val="-9"/>
          <w:sz w:val="18"/>
        </w:rPr>
        <w:t>每管加入 </w:t>
      </w:r>
      <w:r>
        <w:rPr>
          <w:rFonts w:ascii="Times New Roman" w:hAnsi="Times New Roman" w:eastAsia="Times New Roman"/>
          <w:sz w:val="18"/>
        </w:rPr>
        <w:t>300μl</w:t>
      </w:r>
      <w:r>
        <w:rPr>
          <w:rFonts w:ascii="Times New Roman" w:hAnsi="Times New Roman" w:eastAsia="Times New Roman"/>
          <w:spacing w:val="44"/>
          <w:sz w:val="18"/>
        </w:rPr>
        <w:t> </w:t>
      </w:r>
      <w:r>
        <w:rPr>
          <w:spacing w:val="-2"/>
          <w:sz w:val="18"/>
        </w:rPr>
        <w:t>待测样本或阴性对照、阳性对照；盖上管盖，震荡混匀 </w:t>
      </w:r>
      <w:r>
        <w:rPr>
          <w:rFonts w:ascii="Times New Roman" w:hAnsi="Times New Roman" w:eastAsia="Times New Roman"/>
          <w:sz w:val="18"/>
        </w:rPr>
        <w:t>10</w:t>
      </w:r>
      <w:r>
        <w:rPr>
          <w:rFonts w:ascii="Times New Roman" w:hAnsi="Times New Roman" w:eastAsia="Times New Roman"/>
          <w:spacing w:val="-3"/>
          <w:sz w:val="18"/>
        </w:rPr>
        <w:t> </w:t>
      </w:r>
      <w:r>
        <w:rPr>
          <w:sz w:val="18"/>
        </w:rPr>
        <w:t>秒钟，瞬时离心；</w:t>
      </w:r>
    </w:p>
    <w:p>
      <w:pPr>
        <w:pStyle w:val="ListParagraph"/>
        <w:numPr>
          <w:ilvl w:val="2"/>
          <w:numId w:val="2"/>
        </w:numPr>
        <w:tabs>
          <w:tab w:pos="576" w:val="left" w:leader="none"/>
        </w:tabs>
        <w:spacing w:line="180" w:lineRule="exact" w:before="0" w:after="0"/>
        <w:ind w:left="576" w:right="0" w:hanging="449"/>
        <w:jc w:val="left"/>
        <w:rPr>
          <w:sz w:val="18"/>
        </w:rPr>
      </w:pPr>
      <w:r>
        <w:rPr>
          <w:spacing w:val="-9"/>
          <w:sz w:val="18"/>
        </w:rPr>
        <w:t>每管加入 </w:t>
      </w:r>
      <w:r>
        <w:rPr>
          <w:rFonts w:ascii="Times New Roman" w:hAnsi="Times New Roman" w:eastAsia="Times New Roman"/>
          <w:spacing w:val="1"/>
          <w:sz w:val="18"/>
        </w:rPr>
        <w:t>1</w:t>
      </w:r>
      <w:r>
        <w:rPr>
          <w:rFonts w:ascii="Times New Roman" w:hAnsi="Times New Roman" w:eastAsia="Times New Roman"/>
          <w:spacing w:val="-2"/>
          <w:sz w:val="18"/>
        </w:rPr>
        <w:t>0</w:t>
      </w:r>
      <w:r>
        <w:rPr>
          <w:rFonts w:ascii="Times New Roman" w:hAnsi="Times New Roman" w:eastAsia="Times New Roman"/>
          <w:sz w:val="18"/>
        </w:rPr>
        <w:t>0</w:t>
      </w:r>
      <w:r>
        <w:rPr>
          <w:rFonts w:ascii="Times New Roman" w:hAnsi="Times New Roman" w:eastAsia="Times New Roman"/>
          <w:spacing w:val="-1"/>
          <w:sz w:val="18"/>
        </w:rPr>
        <w:t> μ</w:t>
      </w:r>
      <w:r>
        <w:rPr>
          <w:rFonts w:ascii="Times New Roman" w:hAnsi="Times New Roman" w:eastAsia="Times New Roman"/>
          <w:sz w:val="18"/>
        </w:rPr>
        <w:t>l</w:t>
      </w:r>
      <w:r>
        <w:rPr>
          <w:rFonts w:ascii="Times New Roman" w:hAnsi="Times New Roman" w:eastAsia="Times New Roman"/>
          <w:spacing w:val="1"/>
          <w:sz w:val="18"/>
        </w:rPr>
        <w:t> </w:t>
      </w:r>
      <w:r>
        <w:rPr>
          <w:rFonts w:ascii="Times New Roman" w:hAnsi="Times New Roman" w:eastAsia="Times New Roman"/>
          <w:spacing w:val="-1"/>
          <w:sz w:val="18"/>
        </w:rPr>
        <w:t>R</w:t>
      </w:r>
      <w:r>
        <w:rPr>
          <w:rFonts w:ascii="Times New Roman" w:hAnsi="Times New Roman" w:eastAsia="Times New Roman"/>
          <w:spacing w:val="-3"/>
          <w:sz w:val="18"/>
        </w:rPr>
        <w:t>N</w:t>
      </w:r>
      <w:r>
        <w:rPr>
          <w:rFonts w:ascii="Times New Roman" w:hAnsi="Times New Roman" w:eastAsia="Times New Roman"/>
          <w:sz w:val="18"/>
        </w:rPr>
        <w:t>A</w:t>
      </w:r>
      <w:r>
        <w:rPr>
          <w:rFonts w:ascii="Times New Roman" w:hAnsi="Times New Roman" w:eastAsia="Times New Roman"/>
          <w:spacing w:val="-5"/>
          <w:sz w:val="18"/>
        </w:rPr>
        <w:t> </w:t>
      </w:r>
      <w:r>
        <w:rPr>
          <w:spacing w:val="-12"/>
          <w:sz w:val="18"/>
        </w:rPr>
        <w:t>提取溶液 </w:t>
      </w:r>
      <w:r>
        <w:rPr>
          <w:rFonts w:ascii="Times New Roman" w:hAnsi="Times New Roman" w:eastAsia="Times New Roman"/>
          <w:spacing w:val="1"/>
          <w:sz w:val="18"/>
        </w:rPr>
        <w:t>2</w:t>
      </w:r>
      <w:r>
        <w:rPr>
          <w:sz w:val="18"/>
        </w:rPr>
        <w:t>（充分混匀后吸取</w:t>
      </w:r>
      <w:r>
        <w:rPr>
          <w:spacing w:val="-92"/>
          <w:sz w:val="18"/>
        </w:rPr>
        <w:t>）</w:t>
      </w:r>
      <w:r>
        <w:rPr>
          <w:spacing w:val="-8"/>
          <w:sz w:val="18"/>
        </w:rPr>
        <w:t>，震荡混匀 </w:t>
      </w:r>
      <w:r>
        <w:rPr>
          <w:rFonts w:ascii="Times New Roman" w:hAnsi="Times New Roman" w:eastAsia="Times New Roman"/>
          <w:spacing w:val="1"/>
          <w:sz w:val="18"/>
        </w:rPr>
        <w:t>1</w:t>
      </w:r>
      <w:r>
        <w:rPr>
          <w:rFonts w:ascii="Times New Roman" w:hAnsi="Times New Roman" w:eastAsia="Times New Roman"/>
          <w:sz w:val="18"/>
        </w:rPr>
        <w:t>0</w:t>
      </w:r>
      <w:r>
        <w:rPr>
          <w:rFonts w:ascii="Times New Roman" w:hAnsi="Times New Roman" w:eastAsia="Times New Roman"/>
          <w:spacing w:val="-1"/>
          <w:sz w:val="18"/>
        </w:rPr>
        <w:t> </w:t>
      </w:r>
      <w:r>
        <w:rPr>
          <w:spacing w:val="-6"/>
          <w:sz w:val="18"/>
        </w:rPr>
        <w:t>秒钟后室温静置 </w:t>
      </w:r>
      <w:r>
        <w:rPr>
          <w:rFonts w:ascii="Times New Roman" w:hAnsi="Times New Roman" w:eastAsia="Times New Roman"/>
          <w:spacing w:val="1"/>
          <w:sz w:val="18"/>
        </w:rPr>
        <w:t>3</w:t>
      </w:r>
      <w:r>
        <w:rPr>
          <w:rFonts w:ascii="Times New Roman" w:hAnsi="Times New Roman" w:eastAsia="Times New Roman"/>
          <w:sz w:val="18"/>
        </w:rPr>
        <w:t>0  </w:t>
      </w:r>
      <w:r>
        <w:rPr>
          <w:sz w:val="18"/>
        </w:rPr>
        <w:t>分钟；</w:t>
      </w:r>
    </w:p>
    <w:p>
      <w:pPr>
        <w:pStyle w:val="ListParagraph"/>
        <w:numPr>
          <w:ilvl w:val="2"/>
          <w:numId w:val="2"/>
        </w:numPr>
        <w:tabs>
          <w:tab w:pos="576" w:val="left" w:leader="none"/>
        </w:tabs>
        <w:spacing w:line="180" w:lineRule="exact" w:before="0" w:after="0"/>
        <w:ind w:left="576" w:right="0" w:hanging="449"/>
        <w:jc w:val="left"/>
        <w:rPr>
          <w:sz w:val="18"/>
        </w:rPr>
      </w:pPr>
      <w:r>
        <w:rPr>
          <w:sz w:val="18"/>
        </w:rPr>
        <w:t>瞬时离心后将离心管置于分离器上，</w:t>
      </w:r>
      <w:r>
        <w:rPr>
          <w:rFonts w:ascii="Times New Roman" w:eastAsia="Times New Roman"/>
          <w:sz w:val="18"/>
        </w:rPr>
        <w:t>3</w:t>
      </w:r>
      <w:r>
        <w:rPr>
          <w:rFonts w:ascii="Times New Roman" w:eastAsia="Times New Roman"/>
          <w:spacing w:val="1"/>
          <w:sz w:val="18"/>
        </w:rPr>
        <w:t> </w:t>
      </w:r>
      <w:r>
        <w:rPr>
          <w:sz w:val="18"/>
        </w:rPr>
        <w:t>分钟后缓慢将溶液吸出（注意不要碰到吸附于管壁的棕色物</w:t>
      </w:r>
      <w:r>
        <w:rPr>
          <w:spacing w:val="-92"/>
          <w:sz w:val="18"/>
        </w:rPr>
        <w:t>）</w:t>
      </w:r>
      <w:r>
        <w:rPr>
          <w:sz w:val="18"/>
        </w:rPr>
        <w:t>；</w:t>
      </w:r>
    </w:p>
    <w:p>
      <w:pPr>
        <w:pStyle w:val="ListParagraph"/>
        <w:numPr>
          <w:ilvl w:val="2"/>
          <w:numId w:val="2"/>
        </w:numPr>
        <w:tabs>
          <w:tab w:pos="576" w:val="left" w:leader="none"/>
        </w:tabs>
        <w:spacing w:line="180" w:lineRule="exact" w:before="0" w:after="0"/>
        <w:ind w:left="576" w:right="0" w:hanging="449"/>
        <w:jc w:val="left"/>
        <w:rPr>
          <w:sz w:val="18"/>
        </w:rPr>
      </w:pPr>
      <w:r>
        <w:rPr>
          <w:spacing w:val="-10"/>
          <w:sz w:val="18"/>
        </w:rPr>
        <w:t>每管加入 </w:t>
      </w:r>
      <w:r>
        <w:rPr>
          <w:rFonts w:ascii="Times New Roman" w:hAnsi="Times New Roman" w:eastAsia="Times New Roman"/>
          <w:sz w:val="18"/>
        </w:rPr>
        <w:t>600μl</w:t>
      </w:r>
      <w:r>
        <w:rPr>
          <w:rFonts w:ascii="Times New Roman" w:hAnsi="Times New Roman" w:eastAsia="Times New Roman"/>
          <w:spacing w:val="-2"/>
          <w:sz w:val="18"/>
        </w:rPr>
        <w:t> </w:t>
      </w:r>
      <w:r>
        <w:rPr>
          <w:rFonts w:ascii="Times New Roman" w:hAnsi="Times New Roman" w:eastAsia="Times New Roman"/>
          <w:sz w:val="18"/>
        </w:rPr>
        <w:t>RNA </w:t>
      </w:r>
      <w:r>
        <w:rPr>
          <w:spacing w:val="-9"/>
          <w:sz w:val="18"/>
        </w:rPr>
        <w:t>提取溶液 </w:t>
      </w:r>
      <w:r>
        <w:rPr>
          <w:rFonts w:ascii="Times New Roman" w:hAnsi="Times New Roman" w:eastAsia="Times New Roman"/>
          <w:sz w:val="18"/>
        </w:rPr>
        <w:t>3</w:t>
      </w:r>
      <w:r>
        <w:rPr>
          <w:rFonts w:ascii="Times New Roman" w:hAnsi="Times New Roman" w:eastAsia="Times New Roman"/>
          <w:spacing w:val="-2"/>
          <w:sz w:val="18"/>
        </w:rPr>
        <w:t> </w:t>
      </w:r>
      <w:r>
        <w:rPr>
          <w:spacing w:val="-23"/>
          <w:sz w:val="18"/>
        </w:rPr>
        <w:t>和 </w:t>
      </w:r>
      <w:r>
        <w:rPr>
          <w:rFonts w:ascii="Times New Roman" w:hAnsi="Times New Roman" w:eastAsia="Times New Roman"/>
          <w:sz w:val="18"/>
        </w:rPr>
        <w:t>200μl</w:t>
      </w:r>
      <w:r>
        <w:rPr>
          <w:rFonts w:ascii="Times New Roman" w:hAnsi="Times New Roman" w:eastAsia="Times New Roman"/>
          <w:spacing w:val="1"/>
          <w:sz w:val="18"/>
        </w:rPr>
        <w:t> </w:t>
      </w:r>
      <w:r>
        <w:rPr>
          <w:rFonts w:ascii="Times New Roman" w:hAnsi="Times New Roman" w:eastAsia="Times New Roman"/>
          <w:sz w:val="18"/>
        </w:rPr>
        <w:t>RNA </w:t>
      </w:r>
      <w:r>
        <w:rPr>
          <w:spacing w:val="-10"/>
          <w:sz w:val="18"/>
        </w:rPr>
        <w:t>提取溶液 </w:t>
      </w:r>
      <w:r>
        <w:rPr>
          <w:rFonts w:ascii="Times New Roman" w:hAnsi="Times New Roman" w:eastAsia="Times New Roman"/>
          <w:sz w:val="18"/>
        </w:rPr>
        <w:t>4</w:t>
      </w:r>
      <w:r>
        <w:rPr>
          <w:spacing w:val="-8"/>
          <w:sz w:val="18"/>
        </w:rPr>
        <w:t>，震荡混匀 </w:t>
      </w:r>
      <w:r>
        <w:rPr>
          <w:rFonts w:ascii="Times New Roman" w:hAnsi="Times New Roman" w:eastAsia="Times New Roman"/>
          <w:sz w:val="18"/>
        </w:rPr>
        <w:t>5</w:t>
      </w:r>
      <w:r>
        <w:rPr>
          <w:rFonts w:ascii="Times New Roman" w:hAnsi="Times New Roman" w:eastAsia="Times New Roman"/>
          <w:spacing w:val="-1"/>
          <w:sz w:val="18"/>
        </w:rPr>
        <w:t> </w:t>
      </w:r>
      <w:r>
        <w:rPr>
          <w:sz w:val="18"/>
        </w:rPr>
        <w:t>秒钟，瞬时离心后将离心管再次置于分离器上；</w:t>
      </w:r>
    </w:p>
    <w:p>
      <w:pPr>
        <w:pStyle w:val="ListParagraph"/>
        <w:numPr>
          <w:ilvl w:val="2"/>
          <w:numId w:val="2"/>
        </w:numPr>
        <w:tabs>
          <w:tab w:pos="576" w:val="left" w:leader="none"/>
        </w:tabs>
        <w:spacing w:line="180" w:lineRule="exact" w:before="0" w:after="0"/>
        <w:ind w:left="576" w:right="0" w:hanging="449"/>
        <w:jc w:val="left"/>
        <w:rPr>
          <w:sz w:val="18"/>
        </w:rPr>
      </w:pPr>
      <w:r>
        <w:rPr>
          <w:spacing w:val="-23"/>
          <w:sz w:val="18"/>
        </w:rPr>
        <w:t>约 </w:t>
      </w:r>
      <w:r>
        <w:rPr>
          <w:rFonts w:ascii="Times New Roman" w:eastAsia="Times New Roman"/>
          <w:sz w:val="18"/>
        </w:rPr>
        <w:t>3</w:t>
      </w:r>
      <w:r>
        <w:rPr>
          <w:rFonts w:ascii="Times New Roman" w:eastAsia="Times New Roman"/>
          <w:spacing w:val="-1"/>
          <w:sz w:val="18"/>
        </w:rPr>
        <w:t> </w:t>
      </w:r>
      <w:r>
        <w:rPr>
          <w:spacing w:val="-2"/>
          <w:sz w:val="18"/>
        </w:rPr>
        <w:t>分钟后，将吸头插入离心管底部，从底部开始缓慢将液体完全吸出丢弃，静置 </w:t>
      </w:r>
      <w:r>
        <w:rPr>
          <w:rFonts w:ascii="Times New Roman" w:eastAsia="Times New Roman"/>
          <w:sz w:val="18"/>
        </w:rPr>
        <w:t>1</w:t>
      </w:r>
      <w:r>
        <w:rPr>
          <w:rFonts w:ascii="Times New Roman" w:eastAsia="Times New Roman"/>
          <w:spacing w:val="-1"/>
          <w:sz w:val="18"/>
        </w:rPr>
        <w:t> </w:t>
      </w:r>
      <w:r>
        <w:rPr>
          <w:sz w:val="18"/>
        </w:rPr>
        <w:t>分钟后将管底残余液体完全吸出丢弃；</w:t>
      </w:r>
    </w:p>
    <w:p>
      <w:pPr>
        <w:pStyle w:val="ListParagraph"/>
        <w:numPr>
          <w:ilvl w:val="2"/>
          <w:numId w:val="2"/>
        </w:numPr>
        <w:tabs>
          <w:tab w:pos="579" w:val="left" w:leader="none"/>
        </w:tabs>
        <w:spacing w:line="180" w:lineRule="exact" w:before="0" w:after="0"/>
        <w:ind w:left="578" w:right="0" w:hanging="452"/>
        <w:jc w:val="left"/>
        <w:rPr>
          <w:rFonts w:ascii="Times New Roman" w:hAnsi="Times New Roman" w:eastAsia="Times New Roman"/>
          <w:sz w:val="18"/>
        </w:rPr>
      </w:pPr>
      <w:r>
        <w:rPr>
          <w:spacing w:val="-18"/>
          <w:sz w:val="18"/>
        </w:rPr>
        <w:t>加入 </w:t>
      </w:r>
      <w:r>
        <w:rPr>
          <w:rFonts w:ascii="Times New Roman" w:hAnsi="Times New Roman" w:eastAsia="Times New Roman"/>
          <w:sz w:val="18"/>
        </w:rPr>
        <w:t>50μl</w:t>
      </w:r>
      <w:r>
        <w:rPr>
          <w:rFonts w:ascii="Times New Roman" w:hAnsi="Times New Roman" w:eastAsia="Times New Roman"/>
          <w:spacing w:val="-2"/>
          <w:sz w:val="18"/>
        </w:rPr>
        <w:t> </w:t>
      </w:r>
      <w:r>
        <w:rPr>
          <w:rFonts w:ascii="Times New Roman" w:hAnsi="Times New Roman" w:eastAsia="Times New Roman"/>
          <w:sz w:val="18"/>
        </w:rPr>
        <w:t>RNA</w:t>
      </w:r>
      <w:r>
        <w:rPr>
          <w:rFonts w:ascii="Times New Roman" w:hAnsi="Times New Roman" w:eastAsia="Times New Roman"/>
          <w:spacing w:val="-3"/>
          <w:sz w:val="18"/>
        </w:rPr>
        <w:t> </w:t>
      </w:r>
      <w:r>
        <w:rPr>
          <w:spacing w:val="-6"/>
          <w:sz w:val="18"/>
        </w:rPr>
        <w:t>洗脱液，将离心管壁上磁珠洗脱到管底，吸打混匀 </w:t>
      </w:r>
      <w:r>
        <w:rPr>
          <w:rFonts w:ascii="Times New Roman" w:hAnsi="Times New Roman" w:eastAsia="Times New Roman"/>
          <w:sz w:val="18"/>
        </w:rPr>
        <w:t>3~4</w:t>
      </w:r>
      <w:r>
        <w:rPr>
          <w:rFonts w:ascii="Times New Roman" w:hAnsi="Times New Roman" w:eastAsia="Times New Roman"/>
          <w:spacing w:val="-3"/>
          <w:sz w:val="18"/>
        </w:rPr>
        <w:t> </w:t>
      </w:r>
      <w:r>
        <w:rPr>
          <w:spacing w:val="-10"/>
          <w:sz w:val="18"/>
        </w:rPr>
        <w:t>次，室温静置 </w:t>
      </w:r>
      <w:r>
        <w:rPr>
          <w:rFonts w:ascii="Times New Roman" w:hAnsi="Times New Roman" w:eastAsia="Times New Roman"/>
          <w:sz w:val="18"/>
        </w:rPr>
        <w:t>10</w:t>
      </w:r>
      <w:r>
        <w:rPr>
          <w:rFonts w:ascii="Times New Roman" w:hAnsi="Times New Roman" w:eastAsia="Times New Roman"/>
          <w:spacing w:val="-1"/>
          <w:sz w:val="18"/>
        </w:rPr>
        <w:t> </w:t>
      </w:r>
      <w:r>
        <w:rPr>
          <w:spacing w:val="-6"/>
          <w:sz w:val="18"/>
        </w:rPr>
        <w:t>分钟后将离心管再次置于分离器上 </w:t>
      </w:r>
      <w:r>
        <w:rPr>
          <w:rFonts w:ascii="Times New Roman" w:hAnsi="Times New Roman" w:eastAsia="Times New Roman"/>
          <w:sz w:val="18"/>
        </w:rPr>
        <w:t>3</w:t>
      </w:r>
    </w:p>
    <w:p>
      <w:pPr>
        <w:pStyle w:val="BodyText"/>
        <w:ind w:left="487"/>
      </w:pPr>
      <w:r>
        <w:rPr/>
        <w:t>分钟，然后将洗脱下来的</w:t>
      </w:r>
      <w:r>
        <w:rPr>
          <w:rFonts w:ascii="Times New Roman" w:eastAsia="Times New Roman"/>
        </w:rPr>
        <w:t>RNA </w:t>
      </w:r>
      <w:r>
        <w:rPr/>
        <w:t>吸取至新的 </w:t>
      </w:r>
      <w:r>
        <w:rPr>
          <w:rFonts w:ascii="Times New Roman" w:eastAsia="Times New Roman"/>
        </w:rPr>
        <w:t>1.5 ml </w:t>
      </w:r>
      <w:r>
        <w:rPr/>
        <w:t>灭菌离心管中。</w:t>
      </w:r>
    </w:p>
    <w:p>
      <w:pPr>
        <w:pStyle w:val="ListParagraph"/>
        <w:numPr>
          <w:ilvl w:val="1"/>
          <w:numId w:val="2"/>
        </w:numPr>
        <w:tabs>
          <w:tab w:pos="389" w:val="left" w:leader="none"/>
        </w:tabs>
        <w:spacing w:line="180" w:lineRule="exact" w:before="0" w:after="0"/>
        <w:ind w:left="388" w:right="0" w:hanging="262"/>
        <w:jc w:val="left"/>
        <w:rPr>
          <w:sz w:val="18"/>
        </w:rPr>
      </w:pPr>
      <w:r>
        <w:rPr>
          <w:spacing w:val="-3"/>
          <w:sz w:val="18"/>
        </w:rPr>
        <w:t>加样</w:t>
      </w:r>
    </w:p>
    <w:p>
      <w:pPr>
        <w:pStyle w:val="ListParagraph"/>
        <w:numPr>
          <w:ilvl w:val="2"/>
          <w:numId w:val="2"/>
        </w:numPr>
        <w:tabs>
          <w:tab w:pos="564" w:val="left" w:leader="none"/>
        </w:tabs>
        <w:spacing w:line="187" w:lineRule="auto" w:before="14" w:after="0"/>
        <w:ind w:left="127" w:right="201" w:firstLine="0"/>
        <w:jc w:val="left"/>
        <w:rPr>
          <w:sz w:val="18"/>
        </w:rPr>
      </w:pPr>
      <w:r>
        <w:rPr>
          <w:spacing w:val="-12"/>
          <w:sz w:val="18"/>
        </w:rPr>
        <w:t>根据待测样本、阴性对照、阳性对照的数量，每一个样本对应 </w:t>
      </w:r>
      <w:r>
        <w:rPr>
          <w:rFonts w:ascii="Times New Roman" w:hAnsi="Times New Roman" w:eastAsia="Times New Roman"/>
          <w:sz w:val="18"/>
        </w:rPr>
        <w:t>3</w:t>
      </w:r>
      <w:r>
        <w:rPr>
          <w:rFonts w:ascii="Times New Roman" w:hAnsi="Times New Roman" w:eastAsia="Times New Roman"/>
          <w:spacing w:val="-3"/>
          <w:sz w:val="18"/>
        </w:rPr>
        <w:t> </w:t>
      </w:r>
      <w:r>
        <w:rPr>
          <w:spacing w:val="-6"/>
          <w:sz w:val="18"/>
        </w:rPr>
        <w:t>个反应管，</w:t>
      </w:r>
      <w:r>
        <w:rPr>
          <w:rFonts w:ascii="Times New Roman" w:hAnsi="Times New Roman" w:eastAsia="Times New Roman"/>
          <w:spacing w:val="-9"/>
          <w:sz w:val="18"/>
        </w:rPr>
        <w:t>3</w:t>
      </w:r>
      <w:r>
        <w:rPr>
          <w:rFonts w:ascii="Times New Roman" w:hAnsi="Times New Roman" w:eastAsia="Times New Roman"/>
          <w:spacing w:val="-2"/>
          <w:sz w:val="18"/>
        </w:rPr>
        <w:t> </w:t>
      </w:r>
      <w:r>
        <w:rPr>
          <w:spacing w:val="-10"/>
          <w:sz w:val="18"/>
        </w:rPr>
        <w:t>个反应管分别加入 </w:t>
      </w:r>
      <w:r>
        <w:rPr>
          <w:rFonts w:ascii="Times New Roman" w:hAnsi="Times New Roman" w:eastAsia="Times New Roman"/>
          <w:spacing w:val="-3"/>
          <w:sz w:val="18"/>
        </w:rPr>
        <w:t>44.2μl</w:t>
      </w:r>
      <w:r>
        <w:rPr>
          <w:rFonts w:ascii="Times New Roman" w:hAnsi="Times New Roman" w:eastAsia="Times New Roman"/>
          <w:spacing w:val="-4"/>
          <w:sz w:val="18"/>
        </w:rPr>
        <w:t> </w:t>
      </w:r>
      <w:r>
        <w:rPr>
          <w:spacing w:val="-15"/>
          <w:sz w:val="18"/>
        </w:rPr>
        <w:t>不同的 </w:t>
      </w:r>
      <w:r>
        <w:rPr>
          <w:rFonts w:ascii="Times New Roman" w:hAnsi="Times New Roman" w:eastAsia="Times New Roman"/>
          <w:sz w:val="18"/>
        </w:rPr>
        <w:t>3</w:t>
      </w:r>
      <w:r>
        <w:rPr>
          <w:rFonts w:ascii="Times New Roman" w:hAnsi="Times New Roman" w:eastAsia="Times New Roman"/>
          <w:spacing w:val="-3"/>
          <w:sz w:val="18"/>
        </w:rPr>
        <w:t> </w:t>
      </w:r>
      <w:r>
        <w:rPr>
          <w:spacing w:val="10"/>
          <w:sz w:val="18"/>
        </w:rPr>
        <w:t>种分型</w:t>
      </w:r>
      <w:r>
        <w:rPr>
          <w:rFonts w:ascii="Times New Roman" w:hAnsi="Times New Roman" w:eastAsia="Times New Roman"/>
          <w:sz w:val="18"/>
        </w:rPr>
        <w:t>PCR</w:t>
      </w:r>
      <w:r>
        <w:rPr>
          <w:rFonts w:ascii="Times New Roman" w:hAnsi="Times New Roman" w:eastAsia="Times New Roman"/>
          <w:spacing w:val="-5"/>
          <w:sz w:val="18"/>
        </w:rPr>
        <w:t> </w:t>
      </w:r>
      <w:r>
        <w:rPr>
          <w:sz w:val="18"/>
        </w:rPr>
        <w:t>混</w:t>
      </w:r>
      <w:r>
        <w:rPr>
          <w:spacing w:val="-3"/>
          <w:sz w:val="18"/>
        </w:rPr>
        <w:t>合液。</w:t>
      </w:r>
    </w:p>
    <w:p>
      <w:pPr>
        <w:pStyle w:val="ListParagraph"/>
        <w:numPr>
          <w:ilvl w:val="2"/>
          <w:numId w:val="2"/>
        </w:numPr>
        <w:tabs>
          <w:tab w:pos="564" w:val="left" w:leader="none"/>
        </w:tabs>
        <w:spacing w:line="166" w:lineRule="exact" w:before="0" w:after="0"/>
        <w:ind w:left="564" w:right="0" w:hanging="437"/>
        <w:jc w:val="left"/>
        <w:rPr>
          <w:sz w:val="18"/>
        </w:rPr>
      </w:pPr>
      <w:r>
        <w:rPr>
          <w:sz w:val="18"/>
        </w:rPr>
        <w:t>吸取已处理的样本</w:t>
      </w:r>
      <w:r>
        <w:rPr>
          <w:rFonts w:ascii="Times New Roman" w:hAnsi="Times New Roman" w:eastAsia="Times New Roman"/>
          <w:spacing w:val="-4"/>
          <w:sz w:val="18"/>
        </w:rPr>
        <w:t>RNA</w:t>
      </w:r>
      <w:r>
        <w:rPr>
          <w:spacing w:val="-9"/>
          <w:sz w:val="18"/>
        </w:rPr>
        <w:t>、阴性对照、阳性对照各 </w:t>
      </w:r>
      <w:r>
        <w:rPr>
          <w:rFonts w:ascii="Times New Roman" w:hAnsi="Times New Roman" w:eastAsia="Times New Roman"/>
          <w:sz w:val="18"/>
        </w:rPr>
        <w:t>15μl</w:t>
      </w:r>
      <w:r>
        <w:rPr>
          <w:rFonts w:ascii="Times New Roman" w:hAnsi="Times New Roman" w:eastAsia="Times New Roman"/>
          <w:spacing w:val="-4"/>
          <w:sz w:val="18"/>
        </w:rPr>
        <w:t> </w:t>
      </w:r>
      <w:r>
        <w:rPr>
          <w:spacing w:val="17"/>
          <w:sz w:val="18"/>
        </w:rPr>
        <w:t>加入</w:t>
      </w:r>
      <w:r>
        <w:rPr>
          <w:rFonts w:ascii="Times New Roman" w:hAnsi="Times New Roman" w:eastAsia="Times New Roman"/>
          <w:sz w:val="18"/>
        </w:rPr>
        <w:t>PCR</w:t>
      </w:r>
      <w:r>
        <w:rPr>
          <w:rFonts w:ascii="Times New Roman" w:hAnsi="Times New Roman" w:eastAsia="Times New Roman"/>
          <w:spacing w:val="-5"/>
          <w:sz w:val="18"/>
        </w:rPr>
        <w:t> </w:t>
      </w:r>
      <w:r>
        <w:rPr>
          <w:spacing w:val="-5"/>
          <w:sz w:val="18"/>
        </w:rPr>
        <w:t>混合液中，盖好管盖，转移到扩增区。</w:t>
      </w:r>
    </w:p>
    <w:p>
      <w:pPr>
        <w:pStyle w:val="Heading1"/>
        <w:numPr>
          <w:ilvl w:val="0"/>
          <w:numId w:val="2"/>
        </w:numPr>
        <w:tabs>
          <w:tab w:pos="267" w:val="left" w:leader="none"/>
        </w:tabs>
        <w:spacing w:line="180" w:lineRule="exact" w:before="0" w:after="0"/>
        <w:ind w:left="266" w:right="0" w:hanging="140"/>
        <w:jc w:val="left"/>
      </w:pPr>
      <w:r>
        <w:rPr>
          <w:rFonts w:ascii="Times New Roman" w:eastAsia="Times New Roman"/>
        </w:rPr>
        <w:t>PCR</w:t>
      </w:r>
      <w:r>
        <w:rPr>
          <w:rFonts w:ascii="Times New Roman" w:eastAsia="Times New Roman"/>
          <w:spacing w:val="1"/>
        </w:rPr>
        <w:t> </w:t>
      </w:r>
      <w:r>
        <w:rPr>
          <w:spacing w:val="4"/>
        </w:rPr>
        <w:t>扩增</w:t>
      </w:r>
      <w:r>
        <w:rPr>
          <w:spacing w:val="-3"/>
        </w:rPr>
        <w:t>（</w:t>
      </w:r>
      <w:r>
        <w:rPr>
          <w:spacing w:val="-5"/>
        </w:rPr>
        <w:t>在扩增与分析区进行，请参照各仪器使用说明书进行设置</w:t>
      </w:r>
      <w:r>
        <w:rPr/>
        <w:t>）</w:t>
      </w:r>
    </w:p>
    <w:p>
      <w:pPr>
        <w:pStyle w:val="ListParagraph"/>
        <w:numPr>
          <w:ilvl w:val="1"/>
          <w:numId w:val="2"/>
        </w:numPr>
        <w:tabs>
          <w:tab w:pos="432" w:val="left" w:leader="none"/>
        </w:tabs>
        <w:spacing w:line="180" w:lineRule="exact" w:before="0" w:after="0"/>
        <w:ind w:left="432" w:right="0" w:hanging="305"/>
        <w:jc w:val="left"/>
        <w:rPr>
          <w:sz w:val="18"/>
        </w:rPr>
      </w:pPr>
      <w:r>
        <w:rPr>
          <w:spacing w:val="40"/>
          <w:sz w:val="18"/>
        </w:rPr>
        <w:t>将</w:t>
      </w:r>
      <w:r>
        <w:rPr>
          <w:rFonts w:ascii="Times New Roman" w:eastAsia="Times New Roman"/>
          <w:sz w:val="18"/>
        </w:rPr>
        <w:t>PCR</w:t>
      </w:r>
      <w:r>
        <w:rPr>
          <w:rFonts w:ascii="Times New Roman" w:eastAsia="Times New Roman"/>
          <w:spacing w:val="-8"/>
          <w:sz w:val="18"/>
        </w:rPr>
        <w:t> </w:t>
      </w:r>
      <w:r>
        <w:rPr>
          <w:spacing w:val="-5"/>
          <w:sz w:val="18"/>
        </w:rPr>
        <w:t>反应管放入扩增仪样品槽，按对应顺序设置阴性对照、阳性对照以及未知样本，并设置样本名称。</w:t>
      </w:r>
    </w:p>
    <w:p>
      <w:pPr>
        <w:pStyle w:val="ListParagraph"/>
        <w:numPr>
          <w:ilvl w:val="1"/>
          <w:numId w:val="2"/>
        </w:numPr>
        <w:tabs>
          <w:tab w:pos="432" w:val="left" w:leader="none"/>
        </w:tabs>
        <w:spacing w:line="180" w:lineRule="exact" w:before="0" w:after="0"/>
        <w:ind w:left="432" w:right="0" w:hanging="305"/>
        <w:jc w:val="left"/>
        <w:rPr>
          <w:rFonts w:ascii="Times New Roman" w:eastAsia="Times New Roman"/>
          <w:b/>
          <w:sz w:val="18"/>
        </w:rPr>
      </w:pPr>
      <w:r>
        <w:rPr>
          <w:spacing w:val="-5"/>
          <w:sz w:val="18"/>
        </w:rPr>
        <w:t>荧光检测通道选择</w:t>
      </w:r>
      <w:r>
        <w:rPr>
          <w:rFonts w:ascii="Times New Roman" w:eastAsia="Times New Roman"/>
          <w:b/>
          <w:sz w:val="18"/>
        </w:rPr>
        <w:t>:</w:t>
      </w:r>
    </w:p>
    <w:p>
      <w:pPr>
        <w:pStyle w:val="BodyText"/>
        <w:spacing w:line="187" w:lineRule="auto" w:before="15"/>
        <w:ind w:left="391" w:right="180" w:hanging="264"/>
      </w:pPr>
      <w:r>
        <w:rPr>
          <w:rFonts w:ascii="Times New Roman" w:eastAsia="Times New Roman"/>
          <w:spacing w:val="-3"/>
        </w:rPr>
        <w:t>Stratagene</w:t>
      </w:r>
      <w:r>
        <w:rPr>
          <w:spacing w:val="-20"/>
        </w:rPr>
        <w:t>、宏石 </w:t>
      </w:r>
      <w:r>
        <w:rPr>
          <w:rFonts w:ascii="Times New Roman" w:eastAsia="Times New Roman"/>
        </w:rPr>
        <w:t>SLAN </w:t>
      </w:r>
      <w:r>
        <w:rPr>
          <w:spacing w:val="-2"/>
        </w:rPr>
        <w:t>系列仪器：选择</w:t>
      </w:r>
      <w:r>
        <w:rPr>
          <w:rFonts w:ascii="Times New Roman" w:eastAsia="Times New Roman"/>
          <w:spacing w:val="-7"/>
        </w:rPr>
        <w:t>FAM</w:t>
      </w:r>
      <w:r>
        <w:rPr>
          <w:spacing w:val="-22"/>
        </w:rPr>
        <w:t>、</w:t>
      </w:r>
      <w:r>
        <w:rPr>
          <w:rFonts w:ascii="Times New Roman" w:eastAsia="Times New Roman"/>
        </w:rPr>
        <w:t>HEX </w:t>
      </w:r>
      <w:r>
        <w:rPr>
          <w:spacing w:val="38"/>
        </w:rPr>
        <w:t>或</w:t>
      </w:r>
      <w:r>
        <w:rPr>
          <w:rFonts w:ascii="Times New Roman" w:eastAsia="Times New Roman"/>
        </w:rPr>
        <w:t>VIC </w:t>
      </w:r>
      <w:r>
        <w:rPr>
          <w:spacing w:val="-6"/>
        </w:rPr>
        <w:t>通道检测丙型肝炎病毒 </w:t>
      </w:r>
      <w:r>
        <w:rPr>
          <w:rFonts w:ascii="Times New Roman" w:eastAsia="Times New Roman"/>
        </w:rPr>
        <w:t>RNA </w:t>
      </w:r>
      <w:r>
        <w:rPr>
          <w:spacing w:val="-3"/>
        </w:rPr>
        <w:t>基因型和内标，选择</w:t>
      </w:r>
      <w:r>
        <w:rPr>
          <w:rFonts w:ascii="Times New Roman" w:eastAsia="Times New Roman"/>
        </w:rPr>
        <w:t>ROX </w:t>
      </w:r>
      <w:r>
        <w:rPr>
          <w:spacing w:val="-5"/>
        </w:rPr>
        <w:t>通道作为参比荧</w:t>
      </w:r>
      <w:r>
        <w:rPr>
          <w:spacing w:val="-3"/>
        </w:rPr>
        <w:t>光。</w:t>
      </w:r>
    </w:p>
    <w:p>
      <w:pPr>
        <w:pStyle w:val="ListParagraph"/>
        <w:numPr>
          <w:ilvl w:val="1"/>
          <w:numId w:val="2"/>
        </w:numPr>
        <w:tabs>
          <w:tab w:pos="432" w:val="left" w:leader="none"/>
        </w:tabs>
        <w:spacing w:line="191" w:lineRule="exact" w:before="0" w:after="0"/>
        <w:ind w:left="432" w:right="0" w:hanging="305"/>
        <w:jc w:val="left"/>
        <w:rPr>
          <w:sz w:val="18"/>
        </w:rPr>
      </w:pPr>
      <w:r>
        <w:rPr>
          <w:spacing w:val="-5"/>
          <w:sz w:val="18"/>
        </w:rPr>
        <w:t>循环参数设定：</w:t>
      </w:r>
    </w:p>
    <w:tbl>
      <w:tblPr>
        <w:tblW w:w="0" w:type="auto"/>
        <w:jc w:val="left"/>
        <w:tblInd w:w="1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9"/>
        <w:gridCol w:w="2833"/>
        <w:gridCol w:w="898"/>
        <w:gridCol w:w="1116"/>
        <w:gridCol w:w="1440"/>
      </w:tblGrid>
      <w:tr>
        <w:trPr>
          <w:trHeight w:val="197" w:hRule="atLeast"/>
        </w:trPr>
        <w:tc>
          <w:tcPr>
            <w:tcW w:w="3372" w:type="dxa"/>
            <w:gridSpan w:val="2"/>
          </w:tcPr>
          <w:p>
            <w:pPr>
              <w:pStyle w:val="TableParagraph"/>
              <w:spacing w:line="178" w:lineRule="exact"/>
              <w:ind w:left="723"/>
              <w:jc w:val="left"/>
              <w:rPr>
                <w:rFonts w:ascii="宋体" w:eastAsia="宋体" w:hint="eastAsia"/>
                <w:sz w:val="18"/>
              </w:rPr>
            </w:pPr>
            <w:r>
              <w:rPr>
                <w:rFonts w:ascii="宋体" w:eastAsia="宋体" w:hint="eastAsia"/>
                <w:sz w:val="18"/>
              </w:rPr>
              <w:t>步骤</w:t>
            </w:r>
          </w:p>
        </w:tc>
        <w:tc>
          <w:tcPr>
            <w:tcW w:w="898" w:type="dxa"/>
          </w:tcPr>
          <w:p>
            <w:pPr>
              <w:pStyle w:val="TableParagraph"/>
              <w:spacing w:line="178" w:lineRule="exact"/>
              <w:ind w:left="106"/>
              <w:jc w:val="left"/>
              <w:rPr>
                <w:rFonts w:ascii="宋体" w:eastAsia="宋体" w:hint="eastAsia"/>
                <w:sz w:val="18"/>
              </w:rPr>
            </w:pPr>
            <w:r>
              <w:rPr>
                <w:rFonts w:ascii="宋体" w:eastAsia="宋体" w:hint="eastAsia"/>
                <w:sz w:val="18"/>
              </w:rPr>
              <w:t>温度</w:t>
            </w:r>
          </w:p>
        </w:tc>
        <w:tc>
          <w:tcPr>
            <w:tcW w:w="1116" w:type="dxa"/>
          </w:tcPr>
          <w:p>
            <w:pPr>
              <w:pStyle w:val="TableParagraph"/>
              <w:spacing w:line="178" w:lineRule="exact"/>
              <w:ind w:left="106"/>
              <w:jc w:val="left"/>
              <w:rPr>
                <w:rFonts w:ascii="宋体" w:eastAsia="宋体" w:hint="eastAsia"/>
                <w:sz w:val="18"/>
              </w:rPr>
            </w:pPr>
            <w:r>
              <w:rPr>
                <w:rFonts w:ascii="宋体" w:eastAsia="宋体" w:hint="eastAsia"/>
                <w:sz w:val="18"/>
              </w:rPr>
              <w:t>时间</w:t>
            </w:r>
          </w:p>
        </w:tc>
        <w:tc>
          <w:tcPr>
            <w:tcW w:w="1440" w:type="dxa"/>
          </w:tcPr>
          <w:p>
            <w:pPr>
              <w:pStyle w:val="TableParagraph"/>
              <w:spacing w:line="178" w:lineRule="exact"/>
              <w:ind w:left="106"/>
              <w:jc w:val="left"/>
              <w:rPr>
                <w:rFonts w:ascii="宋体" w:eastAsia="宋体" w:hint="eastAsia"/>
                <w:sz w:val="18"/>
              </w:rPr>
            </w:pPr>
            <w:r>
              <w:rPr>
                <w:rFonts w:ascii="宋体" w:eastAsia="宋体" w:hint="eastAsia"/>
                <w:sz w:val="18"/>
              </w:rPr>
              <w:t>循环数</w:t>
            </w:r>
          </w:p>
        </w:tc>
      </w:tr>
      <w:tr>
        <w:trPr>
          <w:trHeight w:val="197" w:hRule="atLeast"/>
        </w:trPr>
        <w:tc>
          <w:tcPr>
            <w:tcW w:w="539" w:type="dxa"/>
          </w:tcPr>
          <w:p>
            <w:pPr>
              <w:pStyle w:val="TableParagraph"/>
              <w:spacing w:line="176" w:lineRule="exact"/>
              <w:ind w:left="106"/>
              <w:jc w:val="left"/>
              <w:rPr>
                <w:sz w:val="18"/>
              </w:rPr>
            </w:pPr>
            <w:r>
              <w:rPr>
                <w:sz w:val="18"/>
              </w:rPr>
              <w:t>1</w:t>
            </w:r>
          </w:p>
        </w:tc>
        <w:tc>
          <w:tcPr>
            <w:tcW w:w="2833" w:type="dxa"/>
          </w:tcPr>
          <w:p>
            <w:pPr>
              <w:pStyle w:val="TableParagraph"/>
              <w:spacing w:line="178" w:lineRule="exact"/>
              <w:ind w:left="107"/>
              <w:jc w:val="left"/>
              <w:rPr>
                <w:rFonts w:ascii="宋体" w:eastAsia="宋体" w:hint="eastAsia"/>
                <w:sz w:val="18"/>
              </w:rPr>
            </w:pPr>
            <w:r>
              <w:rPr>
                <w:rFonts w:ascii="宋体" w:eastAsia="宋体" w:hint="eastAsia"/>
                <w:sz w:val="18"/>
              </w:rPr>
              <w:t>预变性和酶激活</w:t>
            </w:r>
          </w:p>
        </w:tc>
        <w:tc>
          <w:tcPr>
            <w:tcW w:w="898" w:type="dxa"/>
          </w:tcPr>
          <w:p>
            <w:pPr>
              <w:pStyle w:val="TableParagraph"/>
              <w:spacing w:line="178" w:lineRule="exact"/>
              <w:ind w:left="106"/>
              <w:jc w:val="left"/>
              <w:rPr>
                <w:rFonts w:ascii="宋体" w:hAnsi="宋体"/>
                <w:sz w:val="18"/>
              </w:rPr>
            </w:pPr>
            <w:r>
              <w:rPr>
                <w:sz w:val="18"/>
              </w:rPr>
              <w:t>95</w:t>
            </w:r>
            <w:r>
              <w:rPr>
                <w:rFonts w:ascii="宋体" w:hAnsi="宋体"/>
                <w:sz w:val="18"/>
              </w:rPr>
              <w:t>℃</w:t>
            </w:r>
          </w:p>
        </w:tc>
        <w:tc>
          <w:tcPr>
            <w:tcW w:w="1116" w:type="dxa"/>
          </w:tcPr>
          <w:p>
            <w:pPr>
              <w:pStyle w:val="TableParagraph"/>
              <w:spacing w:line="178" w:lineRule="exact"/>
              <w:ind w:left="106"/>
              <w:jc w:val="left"/>
              <w:rPr>
                <w:rFonts w:ascii="宋体" w:eastAsia="宋体" w:hint="eastAsia"/>
                <w:sz w:val="18"/>
              </w:rPr>
            </w:pPr>
            <w:r>
              <w:rPr>
                <w:sz w:val="18"/>
              </w:rPr>
              <w:t>1 </w:t>
            </w:r>
            <w:r>
              <w:rPr>
                <w:rFonts w:ascii="宋体" w:eastAsia="宋体" w:hint="eastAsia"/>
                <w:sz w:val="18"/>
              </w:rPr>
              <w:t>分钟</w:t>
            </w:r>
          </w:p>
        </w:tc>
        <w:tc>
          <w:tcPr>
            <w:tcW w:w="1440" w:type="dxa"/>
          </w:tcPr>
          <w:p>
            <w:pPr>
              <w:pStyle w:val="TableParagraph"/>
              <w:spacing w:line="176" w:lineRule="exact"/>
              <w:ind w:left="106"/>
              <w:jc w:val="left"/>
              <w:rPr>
                <w:sz w:val="18"/>
              </w:rPr>
            </w:pPr>
            <w:r>
              <w:rPr>
                <w:sz w:val="18"/>
              </w:rPr>
              <w:t>1</w:t>
            </w:r>
          </w:p>
        </w:tc>
      </w:tr>
      <w:tr>
        <w:trPr>
          <w:trHeight w:val="196" w:hRule="atLeast"/>
        </w:trPr>
        <w:tc>
          <w:tcPr>
            <w:tcW w:w="539" w:type="dxa"/>
          </w:tcPr>
          <w:p>
            <w:pPr>
              <w:pStyle w:val="TableParagraph"/>
              <w:spacing w:line="176" w:lineRule="exact"/>
              <w:ind w:left="106"/>
              <w:jc w:val="left"/>
              <w:rPr>
                <w:sz w:val="18"/>
              </w:rPr>
            </w:pPr>
            <w:r>
              <w:rPr>
                <w:sz w:val="18"/>
              </w:rPr>
              <w:t>2</w:t>
            </w:r>
          </w:p>
        </w:tc>
        <w:tc>
          <w:tcPr>
            <w:tcW w:w="2833" w:type="dxa"/>
          </w:tcPr>
          <w:p>
            <w:pPr>
              <w:pStyle w:val="TableParagraph"/>
              <w:spacing w:line="176" w:lineRule="exact"/>
              <w:ind w:left="107"/>
              <w:jc w:val="left"/>
              <w:rPr>
                <w:rFonts w:ascii="宋体" w:eastAsia="宋体" w:hint="eastAsia"/>
                <w:sz w:val="18"/>
              </w:rPr>
            </w:pPr>
            <w:r>
              <w:rPr>
                <w:rFonts w:ascii="宋体" w:eastAsia="宋体" w:hint="eastAsia"/>
                <w:sz w:val="18"/>
              </w:rPr>
              <w:t>逆转录</w:t>
            </w:r>
          </w:p>
        </w:tc>
        <w:tc>
          <w:tcPr>
            <w:tcW w:w="898" w:type="dxa"/>
          </w:tcPr>
          <w:p>
            <w:pPr>
              <w:pStyle w:val="TableParagraph"/>
              <w:spacing w:line="176" w:lineRule="exact"/>
              <w:ind w:left="106"/>
              <w:jc w:val="left"/>
              <w:rPr>
                <w:rFonts w:ascii="宋体" w:hAnsi="宋体"/>
                <w:sz w:val="18"/>
              </w:rPr>
            </w:pPr>
            <w:r>
              <w:rPr>
                <w:sz w:val="18"/>
              </w:rPr>
              <w:t>60</w:t>
            </w:r>
            <w:r>
              <w:rPr>
                <w:rFonts w:ascii="宋体" w:hAnsi="宋体"/>
                <w:sz w:val="18"/>
              </w:rPr>
              <w:t>℃</w:t>
            </w:r>
          </w:p>
        </w:tc>
        <w:tc>
          <w:tcPr>
            <w:tcW w:w="1116" w:type="dxa"/>
          </w:tcPr>
          <w:p>
            <w:pPr>
              <w:pStyle w:val="TableParagraph"/>
              <w:spacing w:line="176" w:lineRule="exact"/>
              <w:ind w:left="106"/>
              <w:jc w:val="left"/>
              <w:rPr>
                <w:rFonts w:ascii="宋体" w:eastAsia="宋体" w:hint="eastAsia"/>
                <w:sz w:val="18"/>
              </w:rPr>
            </w:pPr>
            <w:r>
              <w:rPr>
                <w:sz w:val="18"/>
              </w:rPr>
              <w:t>30 </w:t>
            </w:r>
            <w:r>
              <w:rPr>
                <w:rFonts w:ascii="宋体" w:eastAsia="宋体" w:hint="eastAsia"/>
                <w:sz w:val="18"/>
              </w:rPr>
              <w:t>分钟</w:t>
            </w:r>
          </w:p>
        </w:tc>
        <w:tc>
          <w:tcPr>
            <w:tcW w:w="1440" w:type="dxa"/>
          </w:tcPr>
          <w:p>
            <w:pPr>
              <w:pStyle w:val="TableParagraph"/>
              <w:spacing w:line="176" w:lineRule="exact"/>
              <w:ind w:left="106"/>
              <w:jc w:val="left"/>
              <w:rPr>
                <w:sz w:val="18"/>
              </w:rPr>
            </w:pPr>
            <w:r>
              <w:rPr>
                <w:sz w:val="18"/>
              </w:rPr>
              <w:t>1</w:t>
            </w:r>
          </w:p>
        </w:tc>
      </w:tr>
    </w:tbl>
    <w:p>
      <w:pPr>
        <w:spacing w:after="0" w:line="176" w:lineRule="exact"/>
        <w:jc w:val="left"/>
        <w:rPr>
          <w:sz w:val="18"/>
        </w:rPr>
        <w:sectPr>
          <w:type w:val="continuous"/>
          <w:pgSz w:w="11910" w:h="16840"/>
          <w:pgMar w:top="680" w:bottom="620" w:left="780" w:right="700"/>
        </w:sectPr>
      </w:pPr>
    </w:p>
    <w:tbl>
      <w:tblPr>
        <w:tblW w:w="0" w:type="auto"/>
        <w:jc w:val="left"/>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33"/>
        <w:gridCol w:w="539"/>
        <w:gridCol w:w="2833"/>
        <w:gridCol w:w="898"/>
        <w:gridCol w:w="1116"/>
        <w:gridCol w:w="1440"/>
        <w:gridCol w:w="1633"/>
      </w:tblGrid>
      <w:tr>
        <w:trPr>
          <w:trHeight w:val="195" w:hRule="atLeast"/>
        </w:trPr>
        <w:tc>
          <w:tcPr>
            <w:tcW w:w="1633" w:type="dxa"/>
            <w:vMerge w:val="restart"/>
            <w:tcBorders>
              <w:left w:val="nil"/>
              <w:bottom w:val="nil"/>
              <w:right w:val="single" w:sz="4" w:space="0" w:color="000000"/>
            </w:tcBorders>
          </w:tcPr>
          <w:p>
            <w:pPr>
              <w:pStyle w:val="TableParagraph"/>
              <w:spacing w:line="240" w:lineRule="auto"/>
              <w:ind w:left="0"/>
              <w:jc w:val="left"/>
              <w:rPr>
                <w:sz w:val="18"/>
              </w:rPr>
            </w:pPr>
          </w:p>
        </w:tc>
        <w:tc>
          <w:tcPr>
            <w:tcW w:w="539" w:type="dxa"/>
            <w:tcBorders>
              <w:top w:val="single" w:sz="12" w:space="0" w:color="000000"/>
              <w:left w:val="single" w:sz="4" w:space="0" w:color="000000"/>
              <w:bottom w:val="single" w:sz="4" w:space="0" w:color="000000"/>
              <w:right w:val="single" w:sz="4" w:space="0" w:color="000000"/>
            </w:tcBorders>
          </w:tcPr>
          <w:p>
            <w:pPr>
              <w:pStyle w:val="TableParagraph"/>
              <w:spacing w:line="175" w:lineRule="exact"/>
              <w:ind w:left="109"/>
              <w:jc w:val="left"/>
              <w:rPr>
                <w:sz w:val="18"/>
              </w:rPr>
            </w:pPr>
            <w:r>
              <w:rPr>
                <w:sz w:val="18"/>
              </w:rPr>
              <w:t>3</w:t>
            </w:r>
          </w:p>
        </w:tc>
        <w:tc>
          <w:tcPr>
            <w:tcW w:w="2833" w:type="dxa"/>
            <w:tcBorders>
              <w:top w:val="single" w:sz="12" w:space="0" w:color="000000"/>
              <w:left w:val="single" w:sz="4" w:space="0" w:color="000000"/>
              <w:bottom w:val="single" w:sz="4" w:space="0" w:color="000000"/>
              <w:right w:val="single" w:sz="4" w:space="0" w:color="000000"/>
            </w:tcBorders>
          </w:tcPr>
          <w:p>
            <w:pPr>
              <w:pStyle w:val="TableParagraph"/>
              <w:spacing w:line="175" w:lineRule="exact"/>
              <w:ind w:left="110"/>
              <w:jc w:val="left"/>
              <w:rPr>
                <w:rFonts w:ascii="宋体" w:eastAsia="宋体" w:hint="eastAsia"/>
                <w:sz w:val="18"/>
              </w:rPr>
            </w:pPr>
            <w:r>
              <w:rPr>
                <w:sz w:val="18"/>
              </w:rPr>
              <w:t>cDNA </w:t>
            </w:r>
            <w:r>
              <w:rPr>
                <w:rFonts w:ascii="宋体" w:eastAsia="宋体" w:hint="eastAsia"/>
                <w:sz w:val="18"/>
              </w:rPr>
              <w:t>预变性</w:t>
            </w:r>
          </w:p>
        </w:tc>
        <w:tc>
          <w:tcPr>
            <w:tcW w:w="898" w:type="dxa"/>
            <w:tcBorders>
              <w:top w:val="single" w:sz="12" w:space="0" w:color="000000"/>
              <w:left w:val="single" w:sz="4" w:space="0" w:color="000000"/>
              <w:bottom w:val="single" w:sz="4" w:space="0" w:color="000000"/>
              <w:right w:val="single" w:sz="4" w:space="0" w:color="000000"/>
            </w:tcBorders>
          </w:tcPr>
          <w:p>
            <w:pPr>
              <w:pStyle w:val="TableParagraph"/>
              <w:spacing w:line="175" w:lineRule="exact"/>
              <w:ind w:left="109"/>
              <w:jc w:val="left"/>
              <w:rPr>
                <w:rFonts w:ascii="宋体" w:hAnsi="宋体"/>
                <w:sz w:val="18"/>
              </w:rPr>
            </w:pPr>
            <w:r>
              <w:rPr>
                <w:sz w:val="18"/>
              </w:rPr>
              <w:t>95</w:t>
            </w:r>
            <w:r>
              <w:rPr>
                <w:rFonts w:ascii="宋体" w:hAnsi="宋体"/>
                <w:sz w:val="18"/>
              </w:rPr>
              <w:t>℃</w:t>
            </w:r>
          </w:p>
        </w:tc>
        <w:tc>
          <w:tcPr>
            <w:tcW w:w="1116" w:type="dxa"/>
            <w:tcBorders>
              <w:top w:val="single" w:sz="12" w:space="0" w:color="000000"/>
              <w:left w:val="single" w:sz="4" w:space="0" w:color="000000"/>
              <w:bottom w:val="single" w:sz="4" w:space="0" w:color="000000"/>
              <w:right w:val="single" w:sz="4" w:space="0" w:color="000000"/>
            </w:tcBorders>
          </w:tcPr>
          <w:p>
            <w:pPr>
              <w:pStyle w:val="TableParagraph"/>
              <w:spacing w:line="175" w:lineRule="exact"/>
              <w:ind w:left="108"/>
              <w:jc w:val="left"/>
              <w:rPr>
                <w:rFonts w:ascii="宋体" w:eastAsia="宋体" w:hint="eastAsia"/>
                <w:sz w:val="18"/>
              </w:rPr>
            </w:pPr>
            <w:r>
              <w:rPr>
                <w:sz w:val="18"/>
              </w:rPr>
              <w:t>1 </w:t>
            </w:r>
            <w:r>
              <w:rPr>
                <w:rFonts w:ascii="宋体" w:eastAsia="宋体" w:hint="eastAsia"/>
                <w:sz w:val="18"/>
              </w:rPr>
              <w:t>分钟</w:t>
            </w:r>
          </w:p>
        </w:tc>
        <w:tc>
          <w:tcPr>
            <w:tcW w:w="1440" w:type="dxa"/>
            <w:tcBorders>
              <w:top w:val="single" w:sz="12" w:space="0" w:color="000000"/>
              <w:left w:val="single" w:sz="4" w:space="0" w:color="000000"/>
              <w:bottom w:val="single" w:sz="4" w:space="0" w:color="000000"/>
              <w:right w:val="single" w:sz="4" w:space="0" w:color="000000"/>
            </w:tcBorders>
          </w:tcPr>
          <w:p>
            <w:pPr>
              <w:pStyle w:val="TableParagraph"/>
              <w:spacing w:line="175" w:lineRule="exact"/>
              <w:ind w:left="108"/>
              <w:jc w:val="left"/>
              <w:rPr>
                <w:sz w:val="18"/>
              </w:rPr>
            </w:pPr>
            <w:r>
              <w:rPr>
                <w:sz w:val="18"/>
              </w:rPr>
              <w:t>1</w:t>
            </w:r>
          </w:p>
        </w:tc>
        <w:tc>
          <w:tcPr>
            <w:tcW w:w="1633" w:type="dxa"/>
            <w:vMerge w:val="restart"/>
            <w:tcBorders>
              <w:left w:val="single" w:sz="4" w:space="0" w:color="000000"/>
              <w:bottom w:val="nil"/>
              <w:right w:val="nil"/>
            </w:tcBorders>
          </w:tcPr>
          <w:p>
            <w:pPr>
              <w:pStyle w:val="TableParagraph"/>
              <w:spacing w:line="240" w:lineRule="auto"/>
              <w:ind w:left="0"/>
              <w:jc w:val="left"/>
              <w:rPr>
                <w:sz w:val="18"/>
              </w:rPr>
            </w:pPr>
          </w:p>
        </w:tc>
      </w:tr>
      <w:tr>
        <w:trPr>
          <w:trHeight w:val="197" w:hRule="atLeast"/>
        </w:trPr>
        <w:tc>
          <w:tcPr>
            <w:tcW w:w="1633" w:type="dxa"/>
            <w:vMerge/>
            <w:tcBorders>
              <w:top w:val="nil"/>
              <w:left w:val="nil"/>
              <w:bottom w:val="nil"/>
              <w:right w:val="single" w:sz="4" w:space="0" w:color="000000"/>
            </w:tcBorders>
          </w:tcPr>
          <w:p>
            <w:pPr>
              <w:rPr>
                <w:sz w:val="2"/>
                <w:szCs w:val="2"/>
              </w:rPr>
            </w:pPr>
          </w:p>
        </w:tc>
        <w:tc>
          <w:tcPr>
            <w:tcW w:w="539"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40" w:lineRule="auto" w:before="93"/>
              <w:ind w:left="109"/>
              <w:jc w:val="left"/>
              <w:rPr>
                <w:sz w:val="18"/>
              </w:rPr>
            </w:pPr>
            <w:r>
              <w:rPr>
                <w:sz w:val="18"/>
              </w:rPr>
              <w:t>4</w:t>
            </w:r>
          </w:p>
        </w:tc>
        <w:tc>
          <w:tcPr>
            <w:tcW w:w="2833" w:type="dxa"/>
            <w:tcBorders>
              <w:top w:val="single" w:sz="4" w:space="0" w:color="000000"/>
              <w:left w:val="single" w:sz="4" w:space="0" w:color="000000"/>
              <w:bottom w:val="single" w:sz="4" w:space="0" w:color="000000"/>
              <w:right w:val="single" w:sz="4" w:space="0" w:color="000000"/>
            </w:tcBorders>
          </w:tcPr>
          <w:p>
            <w:pPr>
              <w:pStyle w:val="TableParagraph"/>
              <w:spacing w:line="178" w:lineRule="exact"/>
              <w:ind w:left="110"/>
              <w:jc w:val="left"/>
              <w:rPr>
                <w:rFonts w:ascii="宋体" w:eastAsia="宋体" w:hint="eastAsia"/>
                <w:sz w:val="18"/>
              </w:rPr>
            </w:pPr>
            <w:r>
              <w:rPr>
                <w:rFonts w:ascii="宋体" w:eastAsia="宋体" w:hint="eastAsia"/>
                <w:sz w:val="18"/>
              </w:rPr>
              <w:t>变性</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spacing w:line="178" w:lineRule="exact"/>
              <w:ind w:left="109"/>
              <w:jc w:val="left"/>
              <w:rPr>
                <w:rFonts w:ascii="宋体" w:hAnsi="宋体"/>
                <w:sz w:val="18"/>
              </w:rPr>
            </w:pPr>
            <w:r>
              <w:rPr>
                <w:sz w:val="18"/>
              </w:rPr>
              <w:t>95</w:t>
            </w:r>
            <w:r>
              <w:rPr>
                <w:rFonts w:ascii="宋体" w:hAnsi="宋体"/>
                <w:sz w:val="18"/>
              </w:rPr>
              <w:t>℃</w:t>
            </w:r>
          </w:p>
        </w:tc>
        <w:tc>
          <w:tcPr>
            <w:tcW w:w="1116" w:type="dxa"/>
            <w:tcBorders>
              <w:top w:val="single" w:sz="4" w:space="0" w:color="000000"/>
              <w:left w:val="single" w:sz="4" w:space="0" w:color="000000"/>
              <w:bottom w:val="single" w:sz="4" w:space="0" w:color="000000"/>
              <w:right w:val="single" w:sz="4" w:space="0" w:color="000000"/>
            </w:tcBorders>
          </w:tcPr>
          <w:p>
            <w:pPr>
              <w:pStyle w:val="TableParagraph"/>
              <w:spacing w:line="178" w:lineRule="exact"/>
              <w:ind w:left="108"/>
              <w:jc w:val="left"/>
              <w:rPr>
                <w:rFonts w:ascii="宋体" w:eastAsia="宋体" w:hint="eastAsia"/>
                <w:sz w:val="18"/>
              </w:rPr>
            </w:pPr>
            <w:r>
              <w:rPr>
                <w:sz w:val="18"/>
              </w:rPr>
              <w:t>15 </w:t>
            </w:r>
            <w:r>
              <w:rPr>
                <w:rFonts w:ascii="宋体" w:eastAsia="宋体" w:hint="eastAsia"/>
                <w:sz w:val="18"/>
              </w:rPr>
              <w:t>秒</w:t>
            </w:r>
          </w:p>
        </w:tc>
        <w:tc>
          <w:tcPr>
            <w:tcW w:w="1440" w:type="dxa"/>
            <w:vMerge w:val="restart"/>
            <w:tcBorders>
              <w:top w:val="single" w:sz="4" w:space="0" w:color="000000"/>
              <w:left w:val="single" w:sz="4" w:space="0" w:color="000000"/>
              <w:bottom w:val="single" w:sz="4" w:space="0" w:color="000000"/>
              <w:right w:val="single" w:sz="4" w:space="0" w:color="000000"/>
            </w:tcBorders>
          </w:tcPr>
          <w:p>
            <w:pPr>
              <w:pStyle w:val="TableParagraph"/>
              <w:spacing w:line="240" w:lineRule="auto" w:before="93"/>
              <w:ind w:left="108"/>
              <w:jc w:val="left"/>
              <w:rPr>
                <w:sz w:val="18"/>
              </w:rPr>
            </w:pPr>
            <w:r>
              <w:rPr>
                <w:sz w:val="18"/>
              </w:rPr>
              <w:t>45</w:t>
            </w:r>
          </w:p>
        </w:tc>
        <w:tc>
          <w:tcPr>
            <w:tcW w:w="1633" w:type="dxa"/>
            <w:vMerge/>
            <w:tcBorders>
              <w:top w:val="nil"/>
              <w:left w:val="single" w:sz="4" w:space="0" w:color="000000"/>
              <w:bottom w:val="nil"/>
              <w:right w:val="nil"/>
            </w:tcBorders>
          </w:tcPr>
          <w:p>
            <w:pPr>
              <w:rPr>
                <w:sz w:val="2"/>
                <w:szCs w:val="2"/>
              </w:rPr>
            </w:pPr>
          </w:p>
        </w:tc>
      </w:tr>
      <w:tr>
        <w:trPr>
          <w:trHeight w:val="180" w:hRule="atLeast"/>
        </w:trPr>
        <w:tc>
          <w:tcPr>
            <w:tcW w:w="1633" w:type="dxa"/>
            <w:vMerge/>
            <w:tcBorders>
              <w:top w:val="nil"/>
              <w:left w:val="nil"/>
              <w:bottom w:val="nil"/>
              <w:right w:val="single" w:sz="4" w:space="0" w:color="000000"/>
            </w:tcBorders>
          </w:tcPr>
          <w:p>
            <w:pPr>
              <w:rPr>
                <w:sz w:val="2"/>
                <w:szCs w:val="2"/>
              </w:rPr>
            </w:pPr>
          </w:p>
        </w:tc>
        <w:tc>
          <w:tcPr>
            <w:tcW w:w="539" w:type="dxa"/>
            <w:vMerge/>
            <w:tcBorders>
              <w:top w:val="nil"/>
              <w:left w:val="single" w:sz="4" w:space="0" w:color="000000"/>
              <w:bottom w:val="single" w:sz="4" w:space="0" w:color="000000"/>
              <w:right w:val="single" w:sz="4" w:space="0" w:color="000000"/>
            </w:tcBorders>
          </w:tcPr>
          <w:p>
            <w:pPr>
              <w:rPr>
                <w:sz w:val="2"/>
                <w:szCs w:val="2"/>
              </w:rPr>
            </w:pPr>
          </w:p>
        </w:tc>
        <w:tc>
          <w:tcPr>
            <w:tcW w:w="2833" w:type="dxa"/>
            <w:tcBorders>
              <w:top w:val="single" w:sz="4" w:space="0" w:color="000000"/>
              <w:left w:val="single" w:sz="4" w:space="0" w:color="000000"/>
              <w:bottom w:val="single" w:sz="4" w:space="0" w:color="000000"/>
              <w:right w:val="single" w:sz="4" w:space="0" w:color="000000"/>
            </w:tcBorders>
          </w:tcPr>
          <w:p>
            <w:pPr>
              <w:pStyle w:val="TableParagraph"/>
              <w:ind w:left="110"/>
              <w:jc w:val="left"/>
              <w:rPr>
                <w:rFonts w:ascii="宋体" w:eastAsia="宋体" w:hint="eastAsia"/>
                <w:sz w:val="18"/>
              </w:rPr>
            </w:pPr>
            <w:r>
              <w:rPr>
                <w:rFonts w:ascii="宋体" w:eastAsia="宋体" w:hint="eastAsia"/>
                <w:sz w:val="18"/>
              </w:rPr>
              <w:t>退火，延伸及荧光采集</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ind w:left="109"/>
              <w:jc w:val="left"/>
              <w:rPr>
                <w:rFonts w:ascii="宋体" w:hAnsi="宋体"/>
                <w:sz w:val="18"/>
              </w:rPr>
            </w:pPr>
            <w:r>
              <w:rPr>
                <w:sz w:val="18"/>
              </w:rPr>
              <w:t>60</w:t>
            </w:r>
            <w:r>
              <w:rPr>
                <w:rFonts w:ascii="宋体" w:hAnsi="宋体"/>
                <w:sz w:val="18"/>
              </w:rPr>
              <w:t>℃</w:t>
            </w:r>
          </w:p>
        </w:tc>
        <w:tc>
          <w:tcPr>
            <w:tcW w:w="1116" w:type="dxa"/>
            <w:tcBorders>
              <w:top w:val="single" w:sz="4" w:space="0" w:color="000000"/>
              <w:left w:val="single" w:sz="4" w:space="0" w:color="000000"/>
              <w:bottom w:val="single" w:sz="4" w:space="0" w:color="000000"/>
              <w:right w:val="single" w:sz="4" w:space="0" w:color="000000"/>
            </w:tcBorders>
          </w:tcPr>
          <w:p>
            <w:pPr>
              <w:pStyle w:val="TableParagraph"/>
              <w:ind w:left="108"/>
              <w:jc w:val="left"/>
              <w:rPr>
                <w:rFonts w:ascii="宋体" w:eastAsia="宋体" w:hint="eastAsia"/>
                <w:sz w:val="18"/>
              </w:rPr>
            </w:pPr>
            <w:r>
              <w:rPr>
                <w:sz w:val="18"/>
              </w:rPr>
              <w:t>30 </w:t>
            </w:r>
            <w:r>
              <w:rPr>
                <w:rFonts w:ascii="宋体" w:eastAsia="宋体" w:hint="eastAsia"/>
                <w:sz w:val="18"/>
              </w:rPr>
              <w:t>秒</w:t>
            </w:r>
          </w:p>
        </w:tc>
        <w:tc>
          <w:tcPr>
            <w:tcW w:w="1440" w:type="dxa"/>
            <w:vMerge/>
            <w:tcBorders>
              <w:top w:val="nil"/>
              <w:left w:val="single" w:sz="4" w:space="0" w:color="000000"/>
              <w:bottom w:val="single" w:sz="4" w:space="0" w:color="000000"/>
              <w:right w:val="single" w:sz="4" w:space="0" w:color="000000"/>
            </w:tcBorders>
          </w:tcPr>
          <w:p>
            <w:pPr>
              <w:rPr>
                <w:sz w:val="2"/>
                <w:szCs w:val="2"/>
              </w:rPr>
            </w:pPr>
          </w:p>
        </w:tc>
        <w:tc>
          <w:tcPr>
            <w:tcW w:w="1633" w:type="dxa"/>
            <w:vMerge/>
            <w:tcBorders>
              <w:top w:val="nil"/>
              <w:left w:val="single" w:sz="4" w:space="0" w:color="000000"/>
              <w:bottom w:val="nil"/>
              <w:right w:val="nil"/>
            </w:tcBorders>
          </w:tcPr>
          <w:p>
            <w:pPr>
              <w:rPr>
                <w:sz w:val="2"/>
                <w:szCs w:val="2"/>
              </w:rPr>
            </w:pPr>
          </w:p>
        </w:tc>
      </w:tr>
      <w:tr>
        <w:trPr>
          <w:trHeight w:val="197" w:hRule="atLeast"/>
        </w:trPr>
        <w:tc>
          <w:tcPr>
            <w:tcW w:w="1633" w:type="dxa"/>
            <w:vMerge/>
            <w:tcBorders>
              <w:top w:val="nil"/>
              <w:left w:val="nil"/>
              <w:bottom w:val="nil"/>
              <w:right w:val="single" w:sz="4" w:space="0" w:color="000000"/>
            </w:tcBorders>
          </w:tcPr>
          <w:p>
            <w:pPr>
              <w:rPr>
                <w:sz w:val="2"/>
                <w:szCs w:val="2"/>
              </w:rPr>
            </w:pPr>
          </w:p>
        </w:tc>
        <w:tc>
          <w:tcPr>
            <w:tcW w:w="539" w:type="dxa"/>
            <w:tcBorders>
              <w:top w:val="single" w:sz="4" w:space="0" w:color="000000"/>
              <w:left w:val="single" w:sz="4" w:space="0" w:color="000000"/>
              <w:bottom w:val="single" w:sz="4" w:space="0" w:color="000000"/>
              <w:right w:val="single" w:sz="4" w:space="0" w:color="000000"/>
            </w:tcBorders>
          </w:tcPr>
          <w:p>
            <w:pPr>
              <w:pStyle w:val="TableParagraph"/>
              <w:spacing w:line="178" w:lineRule="exact"/>
              <w:ind w:left="109"/>
              <w:jc w:val="left"/>
              <w:rPr>
                <w:sz w:val="18"/>
              </w:rPr>
            </w:pPr>
            <w:r>
              <w:rPr>
                <w:sz w:val="18"/>
              </w:rPr>
              <w:t>5</w:t>
            </w:r>
          </w:p>
        </w:tc>
        <w:tc>
          <w:tcPr>
            <w:tcW w:w="2833" w:type="dxa"/>
            <w:tcBorders>
              <w:top w:val="single" w:sz="4" w:space="0" w:color="000000"/>
              <w:left w:val="single" w:sz="4" w:space="0" w:color="000000"/>
              <w:bottom w:val="single" w:sz="4" w:space="0" w:color="000000"/>
              <w:right w:val="single" w:sz="4" w:space="0" w:color="000000"/>
            </w:tcBorders>
          </w:tcPr>
          <w:p>
            <w:pPr>
              <w:pStyle w:val="TableParagraph"/>
              <w:spacing w:line="178" w:lineRule="exact"/>
              <w:ind w:left="110"/>
              <w:jc w:val="left"/>
              <w:rPr>
                <w:rFonts w:ascii="宋体" w:eastAsia="宋体" w:hint="eastAsia"/>
                <w:sz w:val="18"/>
              </w:rPr>
            </w:pPr>
            <w:r>
              <w:rPr>
                <w:rFonts w:ascii="宋体" w:eastAsia="宋体" w:hint="eastAsia"/>
                <w:sz w:val="18"/>
              </w:rPr>
              <w:t>仪器冷却</w:t>
            </w:r>
          </w:p>
        </w:tc>
        <w:tc>
          <w:tcPr>
            <w:tcW w:w="898" w:type="dxa"/>
            <w:tcBorders>
              <w:top w:val="single" w:sz="4" w:space="0" w:color="000000"/>
              <w:left w:val="single" w:sz="4" w:space="0" w:color="000000"/>
              <w:bottom w:val="single" w:sz="4" w:space="0" w:color="000000"/>
              <w:right w:val="single" w:sz="4" w:space="0" w:color="000000"/>
            </w:tcBorders>
          </w:tcPr>
          <w:p>
            <w:pPr>
              <w:pStyle w:val="TableParagraph"/>
              <w:spacing w:line="178" w:lineRule="exact"/>
              <w:ind w:left="109"/>
              <w:jc w:val="left"/>
              <w:rPr>
                <w:rFonts w:ascii="宋体" w:hAnsi="宋体"/>
                <w:sz w:val="18"/>
              </w:rPr>
            </w:pPr>
            <w:r>
              <w:rPr>
                <w:sz w:val="18"/>
              </w:rPr>
              <w:t>25</w:t>
            </w:r>
            <w:r>
              <w:rPr>
                <w:rFonts w:ascii="宋体" w:hAnsi="宋体"/>
                <w:sz w:val="18"/>
              </w:rPr>
              <w:t>℃</w:t>
            </w:r>
          </w:p>
        </w:tc>
        <w:tc>
          <w:tcPr>
            <w:tcW w:w="1116" w:type="dxa"/>
            <w:tcBorders>
              <w:top w:val="single" w:sz="4" w:space="0" w:color="000000"/>
              <w:left w:val="single" w:sz="4" w:space="0" w:color="000000"/>
              <w:bottom w:val="single" w:sz="4" w:space="0" w:color="000000"/>
              <w:right w:val="single" w:sz="4" w:space="0" w:color="000000"/>
            </w:tcBorders>
          </w:tcPr>
          <w:p>
            <w:pPr>
              <w:pStyle w:val="TableParagraph"/>
              <w:spacing w:line="178" w:lineRule="exact"/>
              <w:ind w:left="108"/>
              <w:jc w:val="left"/>
              <w:rPr>
                <w:rFonts w:ascii="宋体" w:eastAsia="宋体" w:hint="eastAsia"/>
                <w:sz w:val="18"/>
              </w:rPr>
            </w:pPr>
            <w:r>
              <w:rPr>
                <w:sz w:val="18"/>
              </w:rPr>
              <w:t>10 </w:t>
            </w:r>
            <w:r>
              <w:rPr>
                <w:rFonts w:ascii="宋体" w:eastAsia="宋体" w:hint="eastAsia"/>
                <w:sz w:val="18"/>
              </w:rPr>
              <w:t>秒</w:t>
            </w:r>
          </w:p>
        </w:tc>
        <w:tc>
          <w:tcPr>
            <w:tcW w:w="1440" w:type="dxa"/>
            <w:tcBorders>
              <w:top w:val="single" w:sz="4" w:space="0" w:color="000000"/>
              <w:left w:val="single" w:sz="4" w:space="0" w:color="000000"/>
              <w:bottom w:val="single" w:sz="4" w:space="0" w:color="000000"/>
              <w:right w:val="single" w:sz="4" w:space="0" w:color="000000"/>
            </w:tcBorders>
          </w:tcPr>
          <w:p>
            <w:pPr>
              <w:pStyle w:val="TableParagraph"/>
              <w:spacing w:line="178" w:lineRule="exact"/>
              <w:ind w:left="108"/>
              <w:jc w:val="left"/>
              <w:rPr>
                <w:sz w:val="18"/>
              </w:rPr>
            </w:pPr>
            <w:r>
              <w:rPr>
                <w:sz w:val="18"/>
              </w:rPr>
              <w:t>1</w:t>
            </w:r>
          </w:p>
        </w:tc>
        <w:tc>
          <w:tcPr>
            <w:tcW w:w="1633" w:type="dxa"/>
            <w:vMerge/>
            <w:tcBorders>
              <w:top w:val="nil"/>
              <w:left w:val="single" w:sz="4" w:space="0" w:color="000000"/>
              <w:bottom w:val="nil"/>
              <w:right w:val="nil"/>
            </w:tcBorders>
          </w:tcPr>
          <w:p>
            <w:pPr>
              <w:rPr>
                <w:sz w:val="2"/>
                <w:szCs w:val="2"/>
              </w:rPr>
            </w:pPr>
          </w:p>
        </w:tc>
      </w:tr>
    </w:tbl>
    <w:p>
      <w:pPr>
        <w:pStyle w:val="BodyText"/>
        <w:spacing w:line="185" w:lineRule="exact"/>
        <w:ind w:left="823"/>
      </w:pPr>
      <w:r>
        <w:rPr/>
        <w:t>设置完毕，保存文件，运行反应程序。</w:t>
      </w:r>
    </w:p>
    <w:p>
      <w:pPr>
        <w:pStyle w:val="ListParagraph"/>
        <w:numPr>
          <w:ilvl w:val="0"/>
          <w:numId w:val="1"/>
        </w:numPr>
        <w:tabs>
          <w:tab w:pos="344" w:val="left" w:leader="none"/>
        </w:tabs>
        <w:spacing w:line="180" w:lineRule="exact" w:before="0" w:after="0"/>
        <w:ind w:left="343" w:right="0" w:hanging="217"/>
        <w:jc w:val="left"/>
        <w:rPr>
          <w:rFonts w:ascii="Times New Roman" w:eastAsia="Times New Roman"/>
          <w:sz w:val="18"/>
        </w:rPr>
      </w:pPr>
      <w:r>
        <w:rPr>
          <w:b/>
          <w:spacing w:val="-5"/>
          <w:sz w:val="18"/>
        </w:rPr>
        <w:t>结果分析</w:t>
      </w:r>
      <w:r>
        <w:rPr>
          <w:spacing w:val="-5"/>
          <w:sz w:val="18"/>
        </w:rPr>
        <w:t>（</w:t>
      </w:r>
      <w:r>
        <w:rPr>
          <w:spacing w:val="-3"/>
          <w:sz w:val="18"/>
        </w:rPr>
        <w:t>请参照各仪器使用说明书进行设置，以下分析以</w:t>
      </w:r>
      <w:r>
        <w:rPr>
          <w:rFonts w:ascii="Times New Roman" w:eastAsia="Times New Roman"/>
          <w:sz w:val="18"/>
        </w:rPr>
        <w:t>Stratagene</w:t>
      </w:r>
      <w:r>
        <w:rPr>
          <w:rFonts w:ascii="Times New Roman" w:eastAsia="Times New Roman"/>
          <w:spacing w:val="1"/>
          <w:sz w:val="18"/>
        </w:rPr>
        <w:t> </w:t>
      </w:r>
      <w:r>
        <w:rPr>
          <w:rFonts w:ascii="Times New Roman" w:eastAsia="Times New Roman"/>
          <w:sz w:val="18"/>
        </w:rPr>
        <w:t>Mx3000P</w:t>
      </w:r>
      <w:r>
        <w:rPr>
          <w:rFonts w:ascii="Times New Roman" w:eastAsia="Times New Roman"/>
          <w:spacing w:val="-6"/>
          <w:sz w:val="18"/>
        </w:rPr>
        <w:t> </w:t>
      </w:r>
      <w:r>
        <w:rPr>
          <w:sz w:val="18"/>
        </w:rPr>
        <w:t>列仪器为例）</w:t>
      </w:r>
    </w:p>
    <w:p>
      <w:pPr>
        <w:pStyle w:val="BodyText"/>
        <w:ind w:left="480"/>
      </w:pPr>
      <w:r>
        <w:rPr>
          <w:spacing w:val="-10"/>
        </w:rPr>
        <w:t>反应结束后自动保存结果，对丙型肝炎病毒的曲线进行分析。根据分析后图像调节 </w:t>
      </w:r>
      <w:r>
        <w:rPr>
          <w:rFonts w:ascii="Times New Roman" w:eastAsia="Times New Roman"/>
        </w:rPr>
        <w:t>Baseline </w:t>
      </w:r>
      <w:r>
        <w:rPr>
          <w:spacing w:val="40"/>
        </w:rPr>
        <w:t>的</w:t>
      </w:r>
      <w:r>
        <w:rPr>
          <w:rFonts w:ascii="Times New Roman" w:eastAsia="Times New Roman"/>
        </w:rPr>
        <w:t>Start </w:t>
      </w:r>
      <w:r>
        <w:rPr>
          <w:spacing w:val="-15"/>
        </w:rPr>
        <w:t>值、</w:t>
      </w:r>
      <w:r>
        <w:rPr>
          <w:rFonts w:ascii="Times New Roman" w:eastAsia="Times New Roman"/>
        </w:rPr>
        <w:t>End </w:t>
      </w:r>
      <w:r>
        <w:rPr>
          <w:spacing w:val="10"/>
        </w:rPr>
        <w:t>值以及</w:t>
      </w:r>
      <w:r>
        <w:rPr>
          <w:rFonts w:ascii="Times New Roman" w:eastAsia="Times New Roman"/>
        </w:rPr>
        <w:t>Threshold </w:t>
      </w:r>
      <w:r>
        <w:rPr/>
        <w:t>值</w:t>
      </w:r>
    </w:p>
    <w:p>
      <w:pPr>
        <w:pStyle w:val="BodyText"/>
        <w:spacing w:line="187" w:lineRule="auto" w:before="14"/>
        <w:ind w:right="201"/>
      </w:pPr>
      <w:r>
        <w:rPr>
          <w:spacing w:val="-3"/>
        </w:rPr>
        <w:t>（</w:t>
      </w:r>
      <w:r>
        <w:rPr>
          <w:spacing w:val="-5"/>
        </w:rPr>
        <w:t>用户可根据实际情况自行调整，</w:t>
      </w:r>
      <w:r>
        <w:rPr>
          <w:rFonts w:ascii="Times New Roman" w:hAnsi="Times New Roman" w:eastAsia="Times New Roman"/>
          <w:spacing w:val="-2"/>
        </w:rPr>
        <w:t>St</w:t>
      </w:r>
      <w:r>
        <w:rPr>
          <w:rFonts w:ascii="Times New Roman" w:hAnsi="Times New Roman" w:eastAsia="Times New Roman"/>
          <w:spacing w:val="-1"/>
        </w:rPr>
        <w:t>a</w:t>
      </w:r>
      <w:r>
        <w:rPr>
          <w:rFonts w:ascii="Times New Roman" w:hAnsi="Times New Roman" w:eastAsia="Times New Roman"/>
          <w:spacing w:val="-3"/>
        </w:rPr>
        <w:t>r</w:t>
      </w:r>
      <w:r>
        <w:rPr>
          <w:rFonts w:ascii="Times New Roman" w:hAnsi="Times New Roman" w:eastAsia="Times New Roman"/>
        </w:rPr>
        <w:t>t </w:t>
      </w:r>
      <w:r>
        <w:rPr>
          <w:spacing w:val="-12"/>
        </w:rPr>
        <w:t>值可以在 </w:t>
      </w:r>
      <w:r>
        <w:rPr>
          <w:rFonts w:ascii="Times New Roman" w:hAnsi="Times New Roman" w:eastAsia="Times New Roman"/>
          <w:spacing w:val="-2"/>
        </w:rPr>
        <w:t>3</w:t>
      </w:r>
      <w:r>
        <w:rPr>
          <w:spacing w:val="-3"/>
        </w:rPr>
        <w:t>～</w:t>
      </w:r>
      <w:r>
        <w:rPr>
          <w:rFonts w:ascii="Times New Roman" w:hAnsi="Times New Roman" w:eastAsia="Times New Roman"/>
          <w:spacing w:val="-2"/>
        </w:rPr>
        <w:t>15</w:t>
      </w:r>
      <w:r>
        <w:rPr>
          <w:spacing w:val="-3"/>
        </w:rPr>
        <w:t>、</w:t>
      </w:r>
      <w:r>
        <w:rPr>
          <w:rFonts w:ascii="Times New Roman" w:hAnsi="Times New Roman" w:eastAsia="Times New Roman"/>
          <w:spacing w:val="-2"/>
        </w:rPr>
        <w:t>En</w:t>
      </w:r>
      <w:r>
        <w:rPr>
          <w:rFonts w:ascii="Times New Roman" w:hAnsi="Times New Roman" w:eastAsia="Times New Roman"/>
        </w:rPr>
        <w:t>d </w:t>
      </w:r>
      <w:r>
        <w:rPr>
          <w:spacing w:val="-12"/>
        </w:rPr>
        <w:t>值可设在 </w:t>
      </w:r>
      <w:r>
        <w:rPr>
          <w:rFonts w:ascii="Times New Roman" w:hAnsi="Times New Roman" w:eastAsia="Times New Roman"/>
          <w:spacing w:val="-2"/>
        </w:rPr>
        <w:t>5</w:t>
      </w:r>
      <w:r>
        <w:rPr>
          <w:spacing w:val="-5"/>
        </w:rPr>
        <w:t>～</w:t>
      </w:r>
      <w:r>
        <w:rPr>
          <w:rFonts w:ascii="Times New Roman" w:hAnsi="Times New Roman" w:eastAsia="Times New Roman"/>
          <w:spacing w:val="-2"/>
        </w:rPr>
        <w:t>20</w:t>
      </w:r>
      <w:r>
        <w:rPr>
          <w:spacing w:val="-5"/>
        </w:rPr>
        <w:t>，调整阴性对照的扩增曲线使其平直或低于阈值线</w:t>
      </w:r>
      <w:r>
        <w:rPr>
          <w:spacing w:val="-92"/>
        </w:rPr>
        <w:t>）</w:t>
      </w:r>
      <w:r>
        <w:rPr/>
        <w:t>，</w:t>
      </w:r>
      <w:r>
        <w:rPr>
          <w:spacing w:val="-4"/>
        </w:rPr>
        <w:t>点击</w:t>
      </w:r>
      <w:r>
        <w:rPr>
          <w:rFonts w:ascii="Times New Roman" w:hAnsi="Times New Roman" w:eastAsia="Times New Roman"/>
          <w:spacing w:val="-3"/>
        </w:rPr>
        <w:t>”Analysis”</w:t>
      </w:r>
      <w:r>
        <w:rPr>
          <w:spacing w:val="-5"/>
        </w:rPr>
        <w:t>进行分析，使各项参数符合下述</w:t>
      </w:r>
      <w:r>
        <w:rPr>
          <w:rFonts w:ascii="Times New Roman" w:hAnsi="Times New Roman" w:eastAsia="Times New Roman"/>
          <w:spacing w:val="-2"/>
        </w:rPr>
        <w:t>“5</w:t>
      </w:r>
      <w:r>
        <w:rPr>
          <w:rFonts w:ascii="Times New Roman" w:hAnsi="Times New Roman" w:eastAsia="Times New Roman"/>
          <w:spacing w:val="18"/>
        </w:rPr>
        <w:t>. </w:t>
      </w:r>
      <w:r>
        <w:rPr>
          <w:spacing w:val="-5"/>
        </w:rPr>
        <w:t>质量控制</w:t>
      </w:r>
      <w:r>
        <w:rPr>
          <w:rFonts w:ascii="Times New Roman" w:hAnsi="Times New Roman" w:eastAsia="Times New Roman"/>
          <w:spacing w:val="-4"/>
        </w:rPr>
        <w:t>”</w:t>
      </w:r>
      <w:r>
        <w:rPr>
          <w:spacing w:val="-5"/>
        </w:rPr>
        <w:t>中的要求，然后到</w:t>
      </w:r>
      <w:r>
        <w:rPr>
          <w:rFonts w:ascii="Times New Roman" w:hAnsi="Times New Roman" w:eastAsia="Times New Roman"/>
          <w:spacing w:val="-3"/>
        </w:rPr>
        <w:t>“Results”</w:t>
      </w:r>
      <w:r>
        <w:rPr>
          <w:spacing w:val="-5"/>
        </w:rPr>
        <w:t>窗口下记录检测结果。</w:t>
      </w:r>
    </w:p>
    <w:p>
      <w:pPr>
        <w:pStyle w:val="Heading1"/>
        <w:numPr>
          <w:ilvl w:val="0"/>
          <w:numId w:val="1"/>
        </w:numPr>
        <w:tabs>
          <w:tab w:pos="344" w:val="left" w:leader="none"/>
        </w:tabs>
        <w:spacing w:line="166" w:lineRule="exact" w:before="0" w:after="0"/>
        <w:ind w:left="343" w:right="0" w:hanging="217"/>
        <w:jc w:val="left"/>
        <w:rPr>
          <w:rFonts w:ascii="Times New Roman" w:eastAsia="Times New Roman"/>
        </w:rPr>
      </w:pPr>
      <w:r>
        <w:rPr>
          <w:spacing w:val="-3"/>
        </w:rPr>
        <w:t>质量控制</w:t>
      </w:r>
    </w:p>
    <w:p>
      <w:pPr>
        <w:pStyle w:val="ListParagraph"/>
        <w:numPr>
          <w:ilvl w:val="1"/>
          <w:numId w:val="1"/>
        </w:numPr>
        <w:tabs>
          <w:tab w:pos="432" w:val="left" w:leader="none"/>
        </w:tabs>
        <w:spacing w:line="180" w:lineRule="exact" w:before="0" w:after="0"/>
        <w:ind w:left="432" w:right="0" w:hanging="305"/>
        <w:jc w:val="left"/>
        <w:rPr>
          <w:sz w:val="18"/>
        </w:rPr>
      </w:pPr>
      <w:r>
        <w:rPr>
          <w:spacing w:val="-5"/>
          <w:sz w:val="18"/>
        </w:rPr>
        <w:t>阴性对照：各型反应液检测</w:t>
      </w:r>
      <w:r>
        <w:rPr>
          <w:rFonts w:ascii="Times New Roman" w:hAnsi="Times New Roman" w:eastAsia="Times New Roman"/>
          <w:spacing w:val="-3"/>
          <w:sz w:val="18"/>
        </w:rPr>
        <w:t>FAM</w:t>
      </w:r>
      <w:r>
        <w:rPr>
          <w:spacing w:val="-5"/>
          <w:sz w:val="18"/>
        </w:rPr>
        <w:t>、</w:t>
      </w:r>
      <w:r>
        <w:rPr>
          <w:rFonts w:ascii="Times New Roman" w:hAnsi="Times New Roman" w:eastAsia="Times New Roman"/>
          <w:spacing w:val="-2"/>
          <w:sz w:val="18"/>
        </w:rPr>
        <w:t>HEX</w:t>
      </w:r>
      <w:r>
        <w:rPr>
          <w:spacing w:val="-4"/>
          <w:sz w:val="18"/>
        </w:rPr>
        <w:t>均无</w:t>
      </w:r>
      <w:r>
        <w:rPr>
          <w:rFonts w:ascii="Times New Roman" w:hAnsi="Times New Roman" w:eastAsia="Times New Roman"/>
          <w:spacing w:val="-3"/>
          <w:sz w:val="18"/>
        </w:rPr>
        <w:t>Ct</w:t>
      </w:r>
      <w:r>
        <w:rPr>
          <w:spacing w:val="-4"/>
          <w:sz w:val="18"/>
        </w:rPr>
        <w:t>值显示；内标检测</w:t>
      </w:r>
      <w:r>
        <w:rPr>
          <w:rFonts w:ascii="Times New Roman" w:hAnsi="Times New Roman" w:eastAsia="Times New Roman"/>
          <w:sz w:val="18"/>
        </w:rPr>
        <w:t>Ct</w:t>
      </w:r>
      <w:r>
        <w:rPr>
          <w:sz w:val="18"/>
        </w:rPr>
        <w:t>值</w:t>
      </w:r>
      <w:r>
        <w:rPr>
          <w:rFonts w:ascii="Times New Roman" w:hAnsi="Times New Roman" w:eastAsia="Times New Roman"/>
          <w:sz w:val="18"/>
        </w:rPr>
        <w:t>≤36</w:t>
      </w:r>
      <w:r>
        <w:rPr>
          <w:sz w:val="18"/>
        </w:rPr>
        <w:t>。</w:t>
      </w:r>
    </w:p>
    <w:p>
      <w:pPr>
        <w:pStyle w:val="ListParagraph"/>
        <w:numPr>
          <w:ilvl w:val="1"/>
          <w:numId w:val="1"/>
        </w:numPr>
        <w:tabs>
          <w:tab w:pos="432" w:val="left" w:leader="none"/>
        </w:tabs>
        <w:spacing w:line="180" w:lineRule="exact" w:before="0" w:after="0"/>
        <w:ind w:left="432" w:right="0" w:hanging="305"/>
        <w:jc w:val="left"/>
        <w:rPr>
          <w:sz w:val="18"/>
        </w:rPr>
      </w:pPr>
      <w:r>
        <w:rPr>
          <w:spacing w:val="-5"/>
          <w:sz w:val="18"/>
        </w:rPr>
        <w:t>阳性对照：各型反应液检测为阳性，</w:t>
      </w:r>
      <w:r>
        <w:rPr>
          <w:rFonts w:ascii="Times New Roman" w:hAnsi="Times New Roman" w:eastAsia="Times New Roman"/>
          <w:spacing w:val="-4"/>
          <w:sz w:val="18"/>
        </w:rPr>
        <w:t>Ct</w:t>
      </w:r>
      <w:r>
        <w:rPr>
          <w:spacing w:val="-3"/>
          <w:sz w:val="18"/>
        </w:rPr>
        <w:t>值</w:t>
      </w:r>
      <w:r>
        <w:rPr>
          <w:rFonts w:ascii="Times New Roman" w:hAnsi="Times New Roman" w:eastAsia="Times New Roman"/>
          <w:spacing w:val="-3"/>
          <w:sz w:val="18"/>
        </w:rPr>
        <w:t>≤36</w:t>
      </w:r>
      <w:r>
        <w:rPr>
          <w:sz w:val="18"/>
        </w:rPr>
        <w:t>。</w:t>
      </w:r>
    </w:p>
    <w:p>
      <w:pPr>
        <w:pStyle w:val="ListParagraph"/>
        <w:numPr>
          <w:ilvl w:val="1"/>
          <w:numId w:val="1"/>
        </w:numPr>
        <w:tabs>
          <w:tab w:pos="432" w:val="left" w:leader="none"/>
        </w:tabs>
        <w:spacing w:line="180" w:lineRule="exact" w:before="0" w:after="0"/>
        <w:ind w:left="432" w:right="0" w:hanging="305"/>
        <w:jc w:val="left"/>
        <w:rPr>
          <w:sz w:val="18"/>
        </w:rPr>
      </w:pPr>
      <w:r>
        <w:rPr>
          <w:spacing w:val="-5"/>
          <w:sz w:val="18"/>
        </w:rPr>
        <w:t>以上要求需在同一次实验中同时满足，否则，本次实验无效，需重新进行。</w:t>
      </w:r>
    </w:p>
    <w:p>
      <w:pPr>
        <w:pStyle w:val="Heading1"/>
      </w:pPr>
      <w:r>
        <w:rPr/>
        <w:t>【阳性判断值】</w:t>
      </w:r>
    </w:p>
    <w:p>
      <w:pPr>
        <w:pStyle w:val="BodyText"/>
        <w:ind w:left="410"/>
      </w:pPr>
      <w:r>
        <w:rPr/>
        <w:t>通过参考值的研究确定本试剂盒检测目标基因的</w:t>
      </w:r>
      <w:r>
        <w:rPr>
          <w:rFonts w:ascii="Times New Roman" w:eastAsia="Times New Roman"/>
        </w:rPr>
        <w:t>Ct </w:t>
      </w:r>
      <w:r>
        <w:rPr/>
        <w:t>参考值为 </w:t>
      </w:r>
      <w:r>
        <w:rPr>
          <w:rFonts w:ascii="Times New Roman" w:eastAsia="Times New Roman"/>
        </w:rPr>
        <w:t>36</w:t>
      </w:r>
      <w:r>
        <w:rPr/>
        <w:t>。</w:t>
      </w:r>
    </w:p>
    <w:p>
      <w:pPr>
        <w:pStyle w:val="Heading1"/>
      </w:pPr>
      <w:r>
        <w:rPr/>
        <w:t>【检验结果的解释】</w:t>
      </w:r>
    </w:p>
    <w:p>
      <w:pPr>
        <w:pStyle w:val="ListParagraph"/>
        <w:numPr>
          <w:ilvl w:val="0"/>
          <w:numId w:val="3"/>
        </w:numPr>
        <w:tabs>
          <w:tab w:pos="262" w:val="left" w:leader="none"/>
        </w:tabs>
        <w:spacing w:line="180" w:lineRule="exact" w:before="0" w:after="0"/>
        <w:ind w:left="261" w:right="0" w:hanging="135"/>
        <w:jc w:val="left"/>
        <w:rPr>
          <w:sz w:val="18"/>
        </w:rPr>
      </w:pPr>
      <w:r>
        <w:rPr>
          <w:spacing w:val="-2"/>
          <w:sz w:val="18"/>
        </w:rPr>
        <w:t>如果各基因型反应液的检测结果为</w:t>
      </w:r>
      <w:r>
        <w:rPr>
          <w:rFonts w:ascii="Times New Roman" w:eastAsia="Times New Roman"/>
          <w:sz w:val="18"/>
        </w:rPr>
        <w:t>No</w:t>
      </w:r>
      <w:r>
        <w:rPr>
          <w:rFonts w:ascii="Times New Roman" w:eastAsia="Times New Roman"/>
          <w:spacing w:val="3"/>
          <w:sz w:val="18"/>
        </w:rPr>
        <w:t> </w:t>
      </w:r>
      <w:r>
        <w:rPr>
          <w:rFonts w:ascii="Times New Roman" w:eastAsia="Times New Roman"/>
          <w:sz w:val="18"/>
        </w:rPr>
        <w:t>Ct</w:t>
      </w:r>
      <w:r>
        <w:rPr>
          <w:rFonts w:ascii="Times New Roman" w:eastAsia="Times New Roman"/>
          <w:spacing w:val="5"/>
          <w:sz w:val="18"/>
        </w:rPr>
        <w:t> </w:t>
      </w:r>
      <w:r>
        <w:rPr>
          <w:spacing w:val="-20"/>
          <w:sz w:val="18"/>
        </w:rPr>
        <w:t>或 </w:t>
      </w:r>
      <w:r>
        <w:rPr>
          <w:rFonts w:ascii="Times New Roman" w:eastAsia="Times New Roman"/>
          <w:sz w:val="18"/>
        </w:rPr>
        <w:t>Ct</w:t>
      </w:r>
      <w:r>
        <w:rPr>
          <w:rFonts w:ascii="Times New Roman" w:eastAsia="Times New Roman"/>
          <w:spacing w:val="-4"/>
          <w:sz w:val="18"/>
        </w:rPr>
        <w:t> </w:t>
      </w:r>
      <w:r>
        <w:rPr>
          <w:spacing w:val="-5"/>
          <w:sz w:val="18"/>
        </w:rPr>
        <w:t>值＞</w:t>
      </w:r>
      <w:r>
        <w:rPr>
          <w:rFonts w:ascii="Times New Roman" w:eastAsia="Times New Roman"/>
          <w:spacing w:val="-4"/>
          <w:sz w:val="18"/>
        </w:rPr>
        <w:t>36</w:t>
      </w:r>
      <w:r>
        <w:rPr>
          <w:spacing w:val="-9"/>
          <w:sz w:val="18"/>
        </w:rPr>
        <w:t>，则报告为丙型肝炎病毒 </w:t>
      </w:r>
      <w:r>
        <w:rPr>
          <w:rFonts w:ascii="Times New Roman" w:eastAsia="Times New Roman"/>
          <w:spacing w:val="-3"/>
          <w:sz w:val="18"/>
        </w:rPr>
        <w:t>1b</w:t>
      </w:r>
      <w:r>
        <w:rPr>
          <w:spacing w:val="-5"/>
          <w:sz w:val="18"/>
        </w:rPr>
        <w:t>、</w:t>
      </w:r>
      <w:r>
        <w:rPr>
          <w:rFonts w:ascii="Times New Roman" w:eastAsia="Times New Roman"/>
          <w:sz w:val="18"/>
        </w:rPr>
        <w:t>1</w:t>
      </w:r>
      <w:r>
        <w:rPr>
          <w:spacing w:val="-5"/>
          <w:sz w:val="18"/>
        </w:rPr>
        <w:t>、</w:t>
      </w:r>
      <w:r>
        <w:rPr>
          <w:rFonts w:ascii="Times New Roman" w:eastAsia="Times New Roman"/>
          <w:sz w:val="18"/>
        </w:rPr>
        <w:t>2</w:t>
      </w:r>
      <w:r>
        <w:rPr>
          <w:spacing w:val="-5"/>
          <w:sz w:val="18"/>
        </w:rPr>
        <w:t>、</w:t>
      </w:r>
      <w:r>
        <w:rPr>
          <w:rFonts w:ascii="Times New Roman" w:eastAsia="Times New Roman"/>
          <w:sz w:val="18"/>
        </w:rPr>
        <w:t>3</w:t>
      </w:r>
      <w:r>
        <w:rPr>
          <w:rFonts w:ascii="Times New Roman" w:eastAsia="Times New Roman"/>
          <w:spacing w:val="-3"/>
          <w:sz w:val="18"/>
        </w:rPr>
        <w:t> </w:t>
      </w:r>
      <w:r>
        <w:rPr>
          <w:spacing w:val="-25"/>
          <w:sz w:val="18"/>
        </w:rPr>
        <w:t>和 </w:t>
      </w:r>
      <w:r>
        <w:rPr>
          <w:rFonts w:ascii="Times New Roman" w:eastAsia="Times New Roman"/>
          <w:sz w:val="18"/>
        </w:rPr>
        <w:t>6</w:t>
      </w:r>
      <w:r>
        <w:rPr>
          <w:rFonts w:ascii="Times New Roman" w:eastAsia="Times New Roman"/>
          <w:spacing w:val="-3"/>
          <w:sz w:val="18"/>
        </w:rPr>
        <w:t> </w:t>
      </w:r>
      <w:r>
        <w:rPr>
          <w:spacing w:val="-4"/>
          <w:sz w:val="18"/>
        </w:rPr>
        <w:t>型阴性。</w:t>
      </w:r>
    </w:p>
    <w:p>
      <w:pPr>
        <w:pStyle w:val="ListParagraph"/>
        <w:numPr>
          <w:ilvl w:val="0"/>
          <w:numId w:val="3"/>
        </w:numPr>
        <w:tabs>
          <w:tab w:pos="262" w:val="left" w:leader="none"/>
        </w:tabs>
        <w:spacing w:line="180" w:lineRule="exact" w:before="0" w:after="0"/>
        <w:ind w:left="261" w:right="0" w:hanging="135"/>
        <w:jc w:val="left"/>
        <w:rPr>
          <w:rFonts w:ascii="Times New Roman" w:hAnsi="Times New Roman" w:eastAsia="Times New Roman"/>
          <w:sz w:val="18"/>
        </w:rPr>
      </w:pPr>
      <w:r>
        <w:rPr>
          <w:spacing w:val="-11"/>
          <w:sz w:val="18"/>
        </w:rPr>
        <w:t>如果丙型肝炎病毒 </w:t>
      </w:r>
      <w:r>
        <w:rPr>
          <w:rFonts w:ascii="Times New Roman" w:hAnsi="Times New Roman" w:eastAsia="Times New Roman"/>
          <w:sz w:val="18"/>
        </w:rPr>
        <w:t>1/3</w:t>
      </w:r>
      <w:r>
        <w:rPr>
          <w:rFonts w:ascii="Times New Roman" w:hAnsi="Times New Roman" w:eastAsia="Times New Roman"/>
          <w:spacing w:val="-3"/>
          <w:sz w:val="18"/>
        </w:rPr>
        <w:t> </w:t>
      </w:r>
      <w:r>
        <w:rPr>
          <w:spacing w:val="-1"/>
          <w:sz w:val="18"/>
        </w:rPr>
        <w:t>型反应液的检测结果</w:t>
      </w:r>
      <w:r>
        <w:rPr>
          <w:rFonts w:ascii="Times New Roman" w:hAnsi="Times New Roman" w:eastAsia="Times New Roman"/>
          <w:sz w:val="18"/>
        </w:rPr>
        <w:t>FAM</w:t>
      </w:r>
      <w:r>
        <w:rPr>
          <w:rFonts w:ascii="Times New Roman" w:hAnsi="Times New Roman" w:eastAsia="Times New Roman"/>
          <w:spacing w:val="-4"/>
          <w:sz w:val="18"/>
        </w:rPr>
        <w:t> </w:t>
      </w:r>
      <w:r>
        <w:rPr>
          <w:rFonts w:ascii="Times New Roman" w:hAnsi="Times New Roman" w:eastAsia="Times New Roman"/>
          <w:sz w:val="18"/>
        </w:rPr>
        <w:t>Ct</w:t>
      </w:r>
      <w:r>
        <w:rPr>
          <w:rFonts w:ascii="Times New Roman" w:hAnsi="Times New Roman" w:eastAsia="Times New Roman"/>
          <w:spacing w:val="-4"/>
          <w:sz w:val="18"/>
        </w:rPr>
        <w:t> </w:t>
      </w:r>
      <w:r>
        <w:rPr>
          <w:spacing w:val="-5"/>
          <w:sz w:val="18"/>
        </w:rPr>
        <w:t>值</w:t>
      </w:r>
      <w:r>
        <w:rPr>
          <w:rFonts w:ascii="Times New Roman" w:hAnsi="Times New Roman" w:eastAsia="Times New Roman"/>
          <w:spacing w:val="-16"/>
          <w:sz w:val="18"/>
        </w:rPr>
        <w:t>≤36</w:t>
      </w:r>
      <w:r>
        <w:rPr>
          <w:spacing w:val="-8"/>
          <w:sz w:val="18"/>
        </w:rPr>
        <w:t>，报告为丙型肝炎病毒 </w:t>
      </w:r>
      <w:r>
        <w:rPr>
          <w:rFonts w:ascii="Times New Roman" w:hAnsi="Times New Roman" w:eastAsia="Times New Roman"/>
          <w:sz w:val="18"/>
        </w:rPr>
        <w:t>1</w:t>
      </w:r>
      <w:r>
        <w:rPr>
          <w:rFonts w:ascii="Times New Roman" w:hAnsi="Times New Roman" w:eastAsia="Times New Roman"/>
          <w:spacing w:val="-3"/>
          <w:sz w:val="18"/>
        </w:rPr>
        <w:t> </w:t>
      </w:r>
      <w:r>
        <w:rPr>
          <w:spacing w:val="-7"/>
          <w:sz w:val="18"/>
        </w:rPr>
        <w:t>型阳性，</w:t>
      </w:r>
      <w:r>
        <w:rPr>
          <w:rFonts w:ascii="Times New Roman" w:hAnsi="Times New Roman" w:eastAsia="Times New Roman"/>
          <w:spacing w:val="-16"/>
          <w:sz w:val="18"/>
        </w:rPr>
        <w:t>HEX</w:t>
      </w:r>
      <w:r>
        <w:rPr>
          <w:rFonts w:ascii="Times New Roman" w:hAnsi="Times New Roman" w:eastAsia="Times New Roman"/>
          <w:spacing w:val="-5"/>
          <w:sz w:val="18"/>
        </w:rPr>
        <w:t> </w:t>
      </w:r>
      <w:r>
        <w:rPr>
          <w:rFonts w:ascii="Times New Roman" w:hAnsi="Times New Roman" w:eastAsia="Times New Roman"/>
          <w:sz w:val="18"/>
        </w:rPr>
        <w:t>Ct</w:t>
      </w:r>
      <w:r>
        <w:rPr>
          <w:rFonts w:ascii="Times New Roman" w:hAnsi="Times New Roman" w:eastAsia="Times New Roman"/>
          <w:spacing w:val="-5"/>
          <w:sz w:val="18"/>
        </w:rPr>
        <w:t> </w:t>
      </w:r>
      <w:r>
        <w:rPr>
          <w:spacing w:val="-5"/>
          <w:sz w:val="18"/>
        </w:rPr>
        <w:t>值</w:t>
      </w:r>
      <w:r>
        <w:rPr>
          <w:rFonts w:ascii="Times New Roman" w:hAnsi="Times New Roman" w:eastAsia="Times New Roman"/>
          <w:spacing w:val="-17"/>
          <w:sz w:val="18"/>
        </w:rPr>
        <w:t>≤36</w:t>
      </w:r>
      <w:r>
        <w:rPr>
          <w:spacing w:val="-7"/>
          <w:sz w:val="18"/>
        </w:rPr>
        <w:t>，报告为丙型肝炎病毒 </w:t>
      </w:r>
      <w:r>
        <w:rPr>
          <w:rFonts w:ascii="Times New Roman" w:hAnsi="Times New Roman" w:eastAsia="Times New Roman"/>
          <w:sz w:val="18"/>
        </w:rPr>
        <w:t>3</w:t>
      </w:r>
    </w:p>
    <w:p>
      <w:pPr>
        <w:pStyle w:val="BodyText"/>
      </w:pPr>
      <w:r>
        <w:rPr/>
        <w:t>型阳性。</w:t>
      </w:r>
    </w:p>
    <w:p>
      <w:pPr>
        <w:pStyle w:val="ListParagraph"/>
        <w:numPr>
          <w:ilvl w:val="0"/>
          <w:numId w:val="3"/>
        </w:numPr>
        <w:tabs>
          <w:tab w:pos="262" w:val="left" w:leader="none"/>
        </w:tabs>
        <w:spacing w:line="180" w:lineRule="exact" w:before="0" w:after="0"/>
        <w:ind w:left="261" w:right="0" w:hanging="135"/>
        <w:jc w:val="left"/>
        <w:rPr>
          <w:rFonts w:ascii="Times New Roman" w:hAnsi="Times New Roman" w:eastAsia="Times New Roman"/>
          <w:sz w:val="18"/>
        </w:rPr>
      </w:pPr>
      <w:r>
        <w:rPr>
          <w:spacing w:val="-11"/>
          <w:sz w:val="18"/>
        </w:rPr>
        <w:t>如果丙型肝炎病毒 </w:t>
      </w:r>
      <w:r>
        <w:rPr>
          <w:rFonts w:ascii="Times New Roman" w:hAnsi="Times New Roman" w:eastAsia="Times New Roman"/>
          <w:sz w:val="18"/>
        </w:rPr>
        <w:t>2/6</w:t>
      </w:r>
      <w:r>
        <w:rPr>
          <w:rFonts w:ascii="Times New Roman" w:hAnsi="Times New Roman" w:eastAsia="Times New Roman"/>
          <w:spacing w:val="-3"/>
          <w:sz w:val="18"/>
        </w:rPr>
        <w:t> </w:t>
      </w:r>
      <w:r>
        <w:rPr>
          <w:spacing w:val="-1"/>
          <w:sz w:val="18"/>
        </w:rPr>
        <w:t>型反应液的检测结果</w:t>
      </w:r>
      <w:r>
        <w:rPr>
          <w:rFonts w:ascii="Times New Roman" w:hAnsi="Times New Roman" w:eastAsia="Times New Roman"/>
          <w:sz w:val="18"/>
        </w:rPr>
        <w:t>FAM</w:t>
      </w:r>
      <w:r>
        <w:rPr>
          <w:rFonts w:ascii="Times New Roman" w:hAnsi="Times New Roman" w:eastAsia="Times New Roman"/>
          <w:spacing w:val="-4"/>
          <w:sz w:val="18"/>
        </w:rPr>
        <w:t> </w:t>
      </w:r>
      <w:r>
        <w:rPr>
          <w:rFonts w:ascii="Times New Roman" w:hAnsi="Times New Roman" w:eastAsia="Times New Roman"/>
          <w:sz w:val="18"/>
        </w:rPr>
        <w:t>Ct</w:t>
      </w:r>
      <w:r>
        <w:rPr>
          <w:rFonts w:ascii="Times New Roman" w:hAnsi="Times New Roman" w:eastAsia="Times New Roman"/>
          <w:spacing w:val="-4"/>
          <w:sz w:val="18"/>
        </w:rPr>
        <w:t> </w:t>
      </w:r>
      <w:r>
        <w:rPr>
          <w:spacing w:val="-5"/>
          <w:sz w:val="18"/>
        </w:rPr>
        <w:t>值</w:t>
      </w:r>
      <w:r>
        <w:rPr>
          <w:rFonts w:ascii="Times New Roman" w:hAnsi="Times New Roman" w:eastAsia="Times New Roman"/>
          <w:spacing w:val="-16"/>
          <w:sz w:val="18"/>
        </w:rPr>
        <w:t>≤36</w:t>
      </w:r>
      <w:r>
        <w:rPr>
          <w:spacing w:val="-8"/>
          <w:sz w:val="18"/>
        </w:rPr>
        <w:t>，报告为丙型肝炎病毒 </w:t>
      </w:r>
      <w:r>
        <w:rPr>
          <w:rFonts w:ascii="Times New Roman" w:hAnsi="Times New Roman" w:eastAsia="Times New Roman"/>
          <w:sz w:val="18"/>
        </w:rPr>
        <w:t>2</w:t>
      </w:r>
      <w:r>
        <w:rPr>
          <w:rFonts w:ascii="Times New Roman" w:hAnsi="Times New Roman" w:eastAsia="Times New Roman"/>
          <w:spacing w:val="-3"/>
          <w:sz w:val="18"/>
        </w:rPr>
        <w:t> </w:t>
      </w:r>
      <w:r>
        <w:rPr>
          <w:spacing w:val="-7"/>
          <w:sz w:val="18"/>
        </w:rPr>
        <w:t>型阳性，</w:t>
      </w:r>
      <w:r>
        <w:rPr>
          <w:rFonts w:ascii="Times New Roman" w:hAnsi="Times New Roman" w:eastAsia="Times New Roman"/>
          <w:spacing w:val="-16"/>
          <w:sz w:val="18"/>
        </w:rPr>
        <w:t>HEX</w:t>
      </w:r>
      <w:r>
        <w:rPr>
          <w:rFonts w:ascii="Times New Roman" w:hAnsi="Times New Roman" w:eastAsia="Times New Roman"/>
          <w:spacing w:val="-5"/>
          <w:sz w:val="18"/>
        </w:rPr>
        <w:t> </w:t>
      </w:r>
      <w:r>
        <w:rPr>
          <w:rFonts w:ascii="Times New Roman" w:hAnsi="Times New Roman" w:eastAsia="Times New Roman"/>
          <w:sz w:val="18"/>
        </w:rPr>
        <w:t>Ct</w:t>
      </w:r>
      <w:r>
        <w:rPr>
          <w:rFonts w:ascii="Times New Roman" w:hAnsi="Times New Roman" w:eastAsia="Times New Roman"/>
          <w:spacing w:val="-5"/>
          <w:sz w:val="18"/>
        </w:rPr>
        <w:t> </w:t>
      </w:r>
      <w:r>
        <w:rPr>
          <w:spacing w:val="-5"/>
          <w:sz w:val="18"/>
        </w:rPr>
        <w:t>值</w:t>
      </w:r>
      <w:r>
        <w:rPr>
          <w:rFonts w:ascii="Times New Roman" w:hAnsi="Times New Roman" w:eastAsia="Times New Roman"/>
          <w:spacing w:val="-17"/>
          <w:sz w:val="18"/>
        </w:rPr>
        <w:t>≤36</w:t>
      </w:r>
      <w:r>
        <w:rPr>
          <w:spacing w:val="-7"/>
          <w:sz w:val="18"/>
        </w:rPr>
        <w:t>，报告为丙型肝炎病毒 </w:t>
      </w:r>
      <w:r>
        <w:rPr>
          <w:rFonts w:ascii="Times New Roman" w:hAnsi="Times New Roman" w:eastAsia="Times New Roman"/>
          <w:sz w:val="18"/>
        </w:rPr>
        <w:t>6</w:t>
      </w:r>
    </w:p>
    <w:p>
      <w:pPr>
        <w:pStyle w:val="BodyText"/>
      </w:pPr>
      <w:r>
        <w:rPr/>
        <w:t>型阳性。</w:t>
      </w:r>
    </w:p>
    <w:p>
      <w:pPr>
        <w:pStyle w:val="ListParagraph"/>
        <w:numPr>
          <w:ilvl w:val="0"/>
          <w:numId w:val="3"/>
        </w:numPr>
        <w:tabs>
          <w:tab w:pos="262" w:val="left" w:leader="none"/>
        </w:tabs>
        <w:spacing w:line="180" w:lineRule="exact" w:before="0" w:after="0"/>
        <w:ind w:left="261" w:right="0" w:hanging="135"/>
        <w:jc w:val="left"/>
        <w:rPr>
          <w:sz w:val="18"/>
        </w:rPr>
      </w:pPr>
      <w:r>
        <w:rPr>
          <w:spacing w:val="-11"/>
          <w:sz w:val="18"/>
        </w:rPr>
        <w:t>如果丙型肝炎病毒 </w:t>
      </w:r>
      <w:r>
        <w:rPr>
          <w:rFonts w:ascii="Times New Roman" w:hAnsi="Times New Roman" w:eastAsia="Times New Roman"/>
          <w:spacing w:val="-2"/>
          <w:sz w:val="18"/>
        </w:rPr>
        <w:t>1b/</w:t>
      </w:r>
      <w:r>
        <w:rPr>
          <w:spacing w:val="-1"/>
          <w:sz w:val="18"/>
        </w:rPr>
        <w:t>内标型反应液的检测结果</w:t>
      </w:r>
      <w:r>
        <w:rPr>
          <w:rFonts w:ascii="Times New Roman" w:hAnsi="Times New Roman" w:eastAsia="Times New Roman"/>
          <w:sz w:val="18"/>
        </w:rPr>
        <w:t>FAM</w:t>
      </w:r>
      <w:r>
        <w:rPr>
          <w:rFonts w:ascii="Times New Roman" w:hAnsi="Times New Roman" w:eastAsia="Times New Roman"/>
          <w:spacing w:val="-4"/>
          <w:sz w:val="18"/>
        </w:rPr>
        <w:t> </w:t>
      </w:r>
      <w:r>
        <w:rPr>
          <w:rFonts w:ascii="Times New Roman" w:hAnsi="Times New Roman" w:eastAsia="Times New Roman"/>
          <w:sz w:val="18"/>
        </w:rPr>
        <w:t>Ct</w:t>
      </w:r>
      <w:r>
        <w:rPr>
          <w:rFonts w:ascii="Times New Roman" w:hAnsi="Times New Roman" w:eastAsia="Times New Roman"/>
          <w:spacing w:val="-4"/>
          <w:sz w:val="18"/>
        </w:rPr>
        <w:t> </w:t>
      </w:r>
      <w:r>
        <w:rPr>
          <w:spacing w:val="-3"/>
          <w:sz w:val="18"/>
        </w:rPr>
        <w:t>值</w:t>
      </w:r>
      <w:r>
        <w:rPr>
          <w:rFonts w:ascii="Times New Roman" w:hAnsi="Times New Roman" w:eastAsia="Times New Roman"/>
          <w:spacing w:val="-4"/>
          <w:sz w:val="18"/>
        </w:rPr>
        <w:t>≤36</w:t>
      </w:r>
      <w:r>
        <w:rPr>
          <w:spacing w:val="-6"/>
          <w:sz w:val="18"/>
        </w:rPr>
        <w:t>，报告为丙型肝炎病毒 </w:t>
      </w:r>
      <w:r>
        <w:rPr>
          <w:rFonts w:ascii="Times New Roman" w:hAnsi="Times New Roman" w:eastAsia="Times New Roman"/>
          <w:sz w:val="18"/>
        </w:rPr>
        <w:t>1b</w:t>
      </w:r>
      <w:r>
        <w:rPr>
          <w:rFonts w:ascii="Times New Roman" w:hAnsi="Times New Roman" w:eastAsia="Times New Roman"/>
          <w:spacing w:val="-3"/>
          <w:sz w:val="18"/>
        </w:rPr>
        <w:t> </w:t>
      </w:r>
      <w:r>
        <w:rPr>
          <w:spacing w:val="-4"/>
          <w:sz w:val="18"/>
        </w:rPr>
        <w:t>型阳性。</w:t>
      </w:r>
    </w:p>
    <w:p>
      <w:pPr>
        <w:pStyle w:val="Heading1"/>
      </w:pPr>
      <w:r>
        <w:rPr/>
        <w:t>【检测方法的局限性】</w:t>
      </w:r>
    </w:p>
    <w:p>
      <w:pPr>
        <w:pStyle w:val="ListParagraph"/>
        <w:numPr>
          <w:ilvl w:val="0"/>
          <w:numId w:val="4"/>
        </w:numPr>
        <w:tabs>
          <w:tab w:pos="344" w:val="left" w:leader="none"/>
        </w:tabs>
        <w:spacing w:line="180" w:lineRule="exact" w:before="0" w:after="0"/>
        <w:ind w:left="343" w:right="0" w:hanging="217"/>
        <w:jc w:val="left"/>
        <w:rPr>
          <w:sz w:val="18"/>
        </w:rPr>
      </w:pPr>
      <w:r>
        <w:rPr>
          <w:spacing w:val="-5"/>
          <w:sz w:val="18"/>
        </w:rPr>
        <w:t>本试剂盒的检测结果仅供临床参考，对患者的临床诊治应结合其症状</w:t>
      </w:r>
      <w:r>
        <w:rPr>
          <w:rFonts w:ascii="Times New Roman" w:eastAsia="Times New Roman"/>
          <w:sz w:val="18"/>
        </w:rPr>
        <w:t>/</w:t>
      </w:r>
      <w:r>
        <w:rPr>
          <w:spacing w:val="-5"/>
          <w:sz w:val="18"/>
        </w:rPr>
        <w:t>体征、病史、其它实验室检查及治疗反应等情况综合考虑。</w:t>
      </w:r>
    </w:p>
    <w:p>
      <w:pPr>
        <w:pStyle w:val="ListParagraph"/>
        <w:numPr>
          <w:ilvl w:val="0"/>
          <w:numId w:val="4"/>
        </w:numPr>
        <w:tabs>
          <w:tab w:pos="344" w:val="left" w:leader="none"/>
        </w:tabs>
        <w:spacing w:line="180" w:lineRule="exact" w:before="0" w:after="0"/>
        <w:ind w:left="343" w:right="0" w:hanging="217"/>
        <w:jc w:val="left"/>
        <w:rPr>
          <w:sz w:val="18"/>
        </w:rPr>
      </w:pPr>
      <w:r>
        <w:rPr>
          <w:spacing w:val="-5"/>
          <w:sz w:val="18"/>
        </w:rPr>
        <w:t>有关假阴性结果的可能性分析</w:t>
      </w:r>
    </w:p>
    <w:p>
      <w:pPr>
        <w:pStyle w:val="ListParagraph"/>
        <w:numPr>
          <w:ilvl w:val="1"/>
          <w:numId w:val="4"/>
        </w:numPr>
        <w:tabs>
          <w:tab w:pos="389" w:val="left" w:leader="none"/>
        </w:tabs>
        <w:spacing w:line="180" w:lineRule="exact" w:before="0" w:after="0"/>
        <w:ind w:left="388" w:right="0" w:hanging="262"/>
        <w:jc w:val="left"/>
        <w:rPr>
          <w:sz w:val="18"/>
        </w:rPr>
      </w:pPr>
      <w:r>
        <w:rPr>
          <w:spacing w:val="-5"/>
          <w:sz w:val="18"/>
        </w:rPr>
        <w:t>不合理的样本采集、处理、运送、样本中病毒滴度过低均有可能导致假阴性结果。</w:t>
      </w:r>
    </w:p>
    <w:p>
      <w:pPr>
        <w:pStyle w:val="ListParagraph"/>
        <w:numPr>
          <w:ilvl w:val="1"/>
          <w:numId w:val="4"/>
        </w:numPr>
        <w:tabs>
          <w:tab w:pos="389" w:val="left" w:leader="none"/>
        </w:tabs>
        <w:spacing w:line="180" w:lineRule="exact" w:before="0" w:after="0"/>
        <w:ind w:left="388" w:right="0" w:hanging="262"/>
        <w:jc w:val="left"/>
        <w:rPr>
          <w:sz w:val="18"/>
        </w:rPr>
      </w:pPr>
      <w:r>
        <w:rPr>
          <w:spacing w:val="-5"/>
          <w:sz w:val="18"/>
        </w:rPr>
        <w:t>丙型肝炎病毒待测靶序列的变异或其他原因导致的序列改变可能会导致假阴性结果。</w:t>
      </w:r>
    </w:p>
    <w:p>
      <w:pPr>
        <w:pStyle w:val="ListParagraph"/>
        <w:numPr>
          <w:ilvl w:val="1"/>
          <w:numId w:val="4"/>
        </w:numPr>
        <w:tabs>
          <w:tab w:pos="389" w:val="left" w:leader="none"/>
        </w:tabs>
        <w:spacing w:line="180" w:lineRule="exact" w:before="0" w:after="0"/>
        <w:ind w:left="388" w:right="0" w:hanging="262"/>
        <w:jc w:val="left"/>
        <w:rPr>
          <w:sz w:val="18"/>
        </w:rPr>
      </w:pPr>
      <w:r>
        <w:rPr>
          <w:spacing w:val="-5"/>
          <w:sz w:val="18"/>
        </w:rPr>
        <w:t>不合理的试剂保存、运输可能会导致假阴性结果。</w:t>
      </w:r>
    </w:p>
    <w:p>
      <w:pPr>
        <w:pStyle w:val="ListParagraph"/>
        <w:numPr>
          <w:ilvl w:val="1"/>
          <w:numId w:val="4"/>
        </w:numPr>
        <w:tabs>
          <w:tab w:pos="389" w:val="left" w:leader="none"/>
        </w:tabs>
        <w:spacing w:line="180" w:lineRule="exact" w:before="0" w:after="0"/>
        <w:ind w:left="388" w:right="0" w:hanging="262"/>
        <w:jc w:val="left"/>
        <w:rPr>
          <w:sz w:val="18"/>
        </w:rPr>
      </w:pPr>
      <w:r>
        <w:rPr>
          <w:spacing w:val="-1"/>
          <w:sz w:val="18"/>
        </w:rPr>
        <w:t>未经验证的其他干扰或</w:t>
      </w:r>
      <w:r>
        <w:rPr>
          <w:rFonts w:ascii="Times New Roman" w:eastAsia="Times New Roman"/>
          <w:sz w:val="18"/>
        </w:rPr>
        <w:t>PCR</w:t>
      </w:r>
      <w:r>
        <w:rPr>
          <w:rFonts w:ascii="Times New Roman" w:eastAsia="Times New Roman"/>
          <w:spacing w:val="-6"/>
          <w:sz w:val="18"/>
        </w:rPr>
        <w:t> </w:t>
      </w:r>
      <w:r>
        <w:rPr>
          <w:spacing w:val="-5"/>
          <w:sz w:val="18"/>
        </w:rPr>
        <w:t>抑制因子，可能会导致假阴性结果。</w:t>
      </w:r>
    </w:p>
    <w:p>
      <w:pPr>
        <w:pStyle w:val="ListParagraph"/>
        <w:numPr>
          <w:ilvl w:val="1"/>
          <w:numId w:val="4"/>
        </w:numPr>
        <w:tabs>
          <w:tab w:pos="389" w:val="left" w:leader="none"/>
        </w:tabs>
        <w:spacing w:line="180" w:lineRule="exact" w:before="0" w:after="0"/>
        <w:ind w:left="388" w:right="0" w:hanging="262"/>
        <w:jc w:val="left"/>
        <w:rPr>
          <w:sz w:val="18"/>
        </w:rPr>
      </w:pPr>
      <w:r>
        <w:rPr>
          <w:spacing w:val="-11"/>
          <w:sz w:val="18"/>
        </w:rPr>
        <w:t>本试剂盒仅针对 </w:t>
      </w:r>
      <w:r>
        <w:rPr>
          <w:rFonts w:ascii="Times New Roman" w:eastAsia="Times New Roman"/>
          <w:sz w:val="18"/>
        </w:rPr>
        <w:t>1</w:t>
      </w:r>
      <w:r>
        <w:rPr>
          <w:rFonts w:ascii="Times New Roman" w:eastAsia="Times New Roman"/>
          <w:spacing w:val="-3"/>
          <w:sz w:val="18"/>
        </w:rPr>
        <w:t> </w:t>
      </w:r>
      <w:r>
        <w:rPr>
          <w:spacing w:val="-5"/>
          <w:sz w:val="18"/>
        </w:rPr>
        <w:t>型</w:t>
      </w:r>
      <w:r>
        <w:rPr>
          <w:spacing w:val="-3"/>
          <w:sz w:val="18"/>
        </w:rPr>
        <w:t>（</w:t>
      </w:r>
      <w:r>
        <w:rPr>
          <w:rFonts w:ascii="Times New Roman" w:eastAsia="Times New Roman"/>
          <w:spacing w:val="-3"/>
          <w:sz w:val="18"/>
        </w:rPr>
        <w:t>1b</w:t>
      </w:r>
      <w:r>
        <w:rPr>
          <w:spacing w:val="-5"/>
          <w:sz w:val="18"/>
        </w:rPr>
        <w:t>、</w:t>
      </w:r>
      <w:r>
        <w:rPr>
          <w:rFonts w:ascii="Times New Roman" w:eastAsia="Times New Roman"/>
          <w:spacing w:val="-4"/>
          <w:sz w:val="18"/>
        </w:rPr>
        <w:t>1a</w:t>
      </w:r>
      <w:r>
        <w:rPr>
          <w:spacing w:val="-4"/>
          <w:sz w:val="18"/>
        </w:rPr>
        <w:t>）</w:t>
      </w:r>
      <w:r>
        <w:rPr>
          <w:spacing w:val="-3"/>
          <w:sz w:val="18"/>
        </w:rPr>
        <w:t>、</w:t>
      </w:r>
      <w:r>
        <w:rPr>
          <w:rFonts w:ascii="Times New Roman" w:eastAsia="Times New Roman"/>
          <w:sz w:val="18"/>
        </w:rPr>
        <w:t>2</w:t>
      </w:r>
      <w:r>
        <w:rPr>
          <w:rFonts w:ascii="Times New Roman" w:eastAsia="Times New Roman"/>
          <w:spacing w:val="-3"/>
          <w:sz w:val="18"/>
        </w:rPr>
        <w:t> </w:t>
      </w:r>
      <w:r>
        <w:rPr>
          <w:spacing w:val="-5"/>
          <w:sz w:val="18"/>
        </w:rPr>
        <w:t>型</w:t>
      </w:r>
      <w:r>
        <w:rPr>
          <w:spacing w:val="-4"/>
          <w:sz w:val="18"/>
        </w:rPr>
        <w:t>（</w:t>
      </w:r>
      <w:r>
        <w:rPr>
          <w:rFonts w:ascii="Times New Roman" w:eastAsia="Times New Roman"/>
          <w:spacing w:val="-4"/>
          <w:sz w:val="18"/>
        </w:rPr>
        <w:t>2a</w:t>
      </w:r>
      <w:r>
        <w:rPr>
          <w:spacing w:val="-4"/>
          <w:sz w:val="18"/>
        </w:rPr>
        <w:t>）</w:t>
      </w:r>
      <w:r>
        <w:rPr>
          <w:spacing w:val="-5"/>
          <w:sz w:val="18"/>
        </w:rPr>
        <w:t>、</w:t>
      </w:r>
      <w:r>
        <w:rPr>
          <w:rFonts w:ascii="Times New Roman" w:eastAsia="Times New Roman"/>
          <w:sz w:val="18"/>
        </w:rPr>
        <w:t>3</w:t>
      </w:r>
      <w:r>
        <w:rPr>
          <w:rFonts w:ascii="Times New Roman" w:eastAsia="Times New Roman"/>
          <w:spacing w:val="-3"/>
          <w:sz w:val="18"/>
        </w:rPr>
        <w:t> </w:t>
      </w:r>
      <w:r>
        <w:rPr>
          <w:spacing w:val="-5"/>
          <w:sz w:val="18"/>
        </w:rPr>
        <w:t>型</w:t>
      </w:r>
      <w:r>
        <w:rPr>
          <w:spacing w:val="-3"/>
          <w:sz w:val="18"/>
        </w:rPr>
        <w:t>（</w:t>
      </w:r>
      <w:r>
        <w:rPr>
          <w:rFonts w:ascii="Times New Roman" w:eastAsia="Times New Roman"/>
          <w:spacing w:val="-3"/>
          <w:sz w:val="18"/>
        </w:rPr>
        <w:t>3a</w:t>
      </w:r>
      <w:r>
        <w:rPr>
          <w:spacing w:val="-3"/>
          <w:sz w:val="18"/>
        </w:rPr>
        <w:t>、</w:t>
      </w:r>
      <w:r>
        <w:rPr>
          <w:rFonts w:ascii="Times New Roman" w:eastAsia="Times New Roman"/>
          <w:spacing w:val="-4"/>
          <w:sz w:val="18"/>
        </w:rPr>
        <w:t>3b</w:t>
      </w:r>
      <w:r>
        <w:rPr>
          <w:spacing w:val="-4"/>
          <w:sz w:val="18"/>
        </w:rPr>
        <w:t>）</w:t>
      </w:r>
      <w:r>
        <w:rPr>
          <w:spacing w:val="-3"/>
          <w:sz w:val="18"/>
        </w:rPr>
        <w:t>、</w:t>
      </w:r>
      <w:r>
        <w:rPr>
          <w:rFonts w:ascii="Times New Roman" w:eastAsia="Times New Roman"/>
          <w:sz w:val="18"/>
        </w:rPr>
        <w:t>6</w:t>
      </w:r>
      <w:r>
        <w:rPr>
          <w:rFonts w:ascii="Times New Roman" w:eastAsia="Times New Roman"/>
          <w:spacing w:val="-2"/>
          <w:sz w:val="18"/>
        </w:rPr>
        <w:t> </w:t>
      </w:r>
      <w:r>
        <w:rPr>
          <w:spacing w:val="-5"/>
          <w:sz w:val="18"/>
        </w:rPr>
        <w:t>型</w:t>
      </w:r>
      <w:r>
        <w:rPr>
          <w:spacing w:val="-4"/>
          <w:sz w:val="18"/>
        </w:rPr>
        <w:t>（</w:t>
      </w:r>
      <w:r>
        <w:rPr>
          <w:rFonts w:ascii="Times New Roman" w:eastAsia="Times New Roman"/>
          <w:spacing w:val="-4"/>
          <w:sz w:val="18"/>
        </w:rPr>
        <w:t>6a</w:t>
      </w:r>
      <w:r>
        <w:rPr>
          <w:spacing w:val="-4"/>
          <w:sz w:val="18"/>
        </w:rPr>
        <w:t>）</w:t>
      </w:r>
      <w:r>
        <w:rPr>
          <w:spacing w:val="-5"/>
          <w:sz w:val="18"/>
        </w:rPr>
        <w:t>设计，未包含的亚型可能出现假阴性结果。</w:t>
      </w:r>
    </w:p>
    <w:p>
      <w:pPr>
        <w:pStyle w:val="ListParagraph"/>
        <w:numPr>
          <w:ilvl w:val="0"/>
          <w:numId w:val="4"/>
        </w:numPr>
        <w:tabs>
          <w:tab w:pos="344" w:val="left" w:leader="none"/>
        </w:tabs>
        <w:spacing w:line="180" w:lineRule="exact" w:before="0" w:after="0"/>
        <w:ind w:left="343" w:right="0" w:hanging="217"/>
        <w:jc w:val="left"/>
        <w:rPr>
          <w:sz w:val="18"/>
        </w:rPr>
      </w:pPr>
      <w:r>
        <w:rPr>
          <w:spacing w:val="-5"/>
          <w:sz w:val="18"/>
        </w:rPr>
        <w:t>样本处理过程出现交叉污染，会造成假阳性结果。</w:t>
      </w:r>
    </w:p>
    <w:p>
      <w:pPr>
        <w:pStyle w:val="ListParagraph"/>
        <w:numPr>
          <w:ilvl w:val="0"/>
          <w:numId w:val="4"/>
        </w:numPr>
        <w:tabs>
          <w:tab w:pos="344" w:val="left" w:leader="none"/>
        </w:tabs>
        <w:spacing w:line="180" w:lineRule="exact" w:before="0" w:after="0"/>
        <w:ind w:left="343" w:right="0" w:hanging="217"/>
        <w:jc w:val="left"/>
        <w:rPr>
          <w:sz w:val="18"/>
        </w:rPr>
      </w:pPr>
      <w:r>
        <w:rPr>
          <w:spacing w:val="-5"/>
          <w:sz w:val="18"/>
        </w:rPr>
        <w:t>临床实验室应严格按照《临床基因扩增实验室工作规范》中的要求配备设备及操作人员，应严格按照说明书要求进行操作。</w:t>
      </w:r>
    </w:p>
    <w:p>
      <w:pPr>
        <w:pStyle w:val="ListParagraph"/>
        <w:numPr>
          <w:ilvl w:val="0"/>
          <w:numId w:val="4"/>
        </w:numPr>
        <w:tabs>
          <w:tab w:pos="344" w:val="left" w:leader="none"/>
        </w:tabs>
        <w:spacing w:line="180" w:lineRule="exact" w:before="0" w:after="0"/>
        <w:ind w:left="343" w:right="0" w:hanging="217"/>
        <w:jc w:val="left"/>
        <w:rPr>
          <w:sz w:val="18"/>
        </w:rPr>
      </w:pPr>
      <w:r>
        <w:rPr>
          <w:spacing w:val="-2"/>
          <w:sz w:val="18"/>
        </w:rPr>
        <w:t>该检测仅适用于血清类型的样本在</w:t>
      </w:r>
      <w:r>
        <w:rPr>
          <w:rFonts w:ascii="Times New Roman" w:eastAsia="Times New Roman"/>
          <w:spacing w:val="-3"/>
          <w:sz w:val="18"/>
        </w:rPr>
        <w:t>Stratagene</w:t>
      </w:r>
      <w:r>
        <w:rPr>
          <w:rFonts w:ascii="Times New Roman" w:eastAsia="Times New Roman"/>
          <w:spacing w:val="-8"/>
          <w:sz w:val="18"/>
        </w:rPr>
        <w:t> </w:t>
      </w:r>
      <w:r>
        <w:rPr>
          <w:rFonts w:ascii="Times New Roman" w:eastAsia="Times New Roman"/>
          <w:spacing w:val="-3"/>
          <w:sz w:val="18"/>
        </w:rPr>
        <w:t>Mx3000P</w:t>
      </w:r>
      <w:r>
        <w:rPr>
          <w:spacing w:val="10"/>
          <w:sz w:val="18"/>
        </w:rPr>
        <w:t>、宏石</w:t>
      </w:r>
      <w:r>
        <w:rPr>
          <w:rFonts w:ascii="Times New Roman" w:eastAsia="Times New Roman"/>
          <w:sz w:val="18"/>
        </w:rPr>
        <w:t>SLAN</w:t>
      </w:r>
      <w:r>
        <w:rPr>
          <w:rFonts w:ascii="Times New Roman" w:eastAsia="Times New Roman"/>
          <w:spacing w:val="-3"/>
          <w:sz w:val="18"/>
        </w:rPr>
        <w:t> </w:t>
      </w:r>
      <w:r>
        <w:rPr>
          <w:spacing w:val="17"/>
          <w:sz w:val="18"/>
        </w:rPr>
        <w:t>荧光</w:t>
      </w:r>
      <w:r>
        <w:rPr>
          <w:rFonts w:ascii="Times New Roman" w:eastAsia="Times New Roman"/>
          <w:sz w:val="18"/>
        </w:rPr>
        <w:t>PCR</w:t>
      </w:r>
      <w:r>
        <w:rPr>
          <w:rFonts w:ascii="Times New Roman" w:eastAsia="Times New Roman"/>
          <w:spacing w:val="-5"/>
          <w:sz w:val="18"/>
        </w:rPr>
        <w:t> </w:t>
      </w:r>
      <w:r>
        <w:rPr>
          <w:spacing w:val="-5"/>
          <w:sz w:val="18"/>
        </w:rPr>
        <w:t>仪上进行检测。</w:t>
      </w:r>
    </w:p>
    <w:p>
      <w:pPr>
        <w:pStyle w:val="Heading1"/>
        <w:rPr>
          <w:b w:val="0"/>
        </w:rPr>
      </w:pPr>
      <w:r>
        <w:rPr/>
        <w:t>【产品性能指标</w:t>
      </w:r>
      <w:r>
        <w:rPr>
          <w:b w:val="0"/>
        </w:rPr>
        <w:t>】</w:t>
      </w:r>
    </w:p>
    <w:p>
      <w:pPr>
        <w:pStyle w:val="ListParagraph"/>
        <w:numPr>
          <w:ilvl w:val="0"/>
          <w:numId w:val="5"/>
        </w:numPr>
        <w:tabs>
          <w:tab w:pos="265" w:val="left" w:leader="none"/>
        </w:tabs>
        <w:spacing w:line="180" w:lineRule="exact" w:before="0" w:after="0"/>
        <w:ind w:left="264" w:right="0" w:hanging="138"/>
        <w:jc w:val="left"/>
        <w:rPr>
          <w:sz w:val="18"/>
        </w:rPr>
      </w:pPr>
      <w:r>
        <w:rPr>
          <w:spacing w:val="-6"/>
          <w:sz w:val="18"/>
        </w:rPr>
        <w:t>准确性：检测含 </w:t>
      </w:r>
      <w:r>
        <w:rPr>
          <w:rFonts w:ascii="Times New Roman" w:eastAsia="Times New Roman"/>
          <w:sz w:val="18"/>
        </w:rPr>
        <w:t>1a</w:t>
      </w:r>
      <w:r>
        <w:rPr>
          <w:sz w:val="18"/>
        </w:rPr>
        <w:t>、</w:t>
      </w:r>
      <w:r>
        <w:rPr>
          <w:rFonts w:ascii="Times New Roman" w:eastAsia="Times New Roman"/>
          <w:sz w:val="18"/>
        </w:rPr>
        <w:t>1b</w:t>
      </w:r>
      <w:r>
        <w:rPr>
          <w:sz w:val="18"/>
        </w:rPr>
        <w:t>、</w:t>
      </w:r>
      <w:r>
        <w:rPr>
          <w:rFonts w:ascii="Times New Roman" w:eastAsia="Times New Roman"/>
          <w:sz w:val="18"/>
        </w:rPr>
        <w:t>2a</w:t>
      </w:r>
      <w:r>
        <w:rPr>
          <w:sz w:val="18"/>
        </w:rPr>
        <w:t>、</w:t>
      </w:r>
      <w:r>
        <w:rPr>
          <w:rFonts w:ascii="Times New Roman" w:eastAsia="Times New Roman"/>
          <w:sz w:val="18"/>
        </w:rPr>
        <w:t>3a</w:t>
      </w:r>
      <w:r>
        <w:rPr>
          <w:sz w:val="18"/>
        </w:rPr>
        <w:t>、</w:t>
      </w:r>
      <w:r>
        <w:rPr>
          <w:rFonts w:ascii="Times New Roman" w:eastAsia="Times New Roman"/>
          <w:sz w:val="18"/>
        </w:rPr>
        <w:t>3b</w:t>
      </w:r>
      <w:r>
        <w:rPr>
          <w:sz w:val="18"/>
        </w:rPr>
        <w:t>、</w:t>
      </w:r>
      <w:r>
        <w:rPr>
          <w:rFonts w:ascii="Times New Roman" w:eastAsia="Times New Roman"/>
          <w:sz w:val="18"/>
        </w:rPr>
        <w:t>6a</w:t>
      </w:r>
      <w:r>
        <w:rPr>
          <w:rFonts w:ascii="Times New Roman" w:eastAsia="Times New Roman"/>
          <w:spacing w:val="-1"/>
          <w:sz w:val="18"/>
        </w:rPr>
        <w:t> </w:t>
      </w:r>
      <w:r>
        <w:rPr>
          <w:sz w:val="18"/>
        </w:rPr>
        <w:t>各型的企业阳性参考品，对应基因型的结果均为阳性。</w:t>
      </w:r>
    </w:p>
    <w:p>
      <w:pPr>
        <w:pStyle w:val="ListParagraph"/>
        <w:numPr>
          <w:ilvl w:val="0"/>
          <w:numId w:val="5"/>
        </w:numPr>
        <w:tabs>
          <w:tab w:pos="265" w:val="left" w:leader="none"/>
        </w:tabs>
        <w:spacing w:line="187" w:lineRule="auto" w:before="14" w:after="0"/>
        <w:ind w:left="127" w:right="200" w:firstLine="0"/>
        <w:jc w:val="left"/>
        <w:rPr>
          <w:sz w:val="18"/>
        </w:rPr>
      </w:pPr>
      <w:r>
        <w:rPr>
          <w:spacing w:val="-5"/>
          <w:sz w:val="18"/>
        </w:rPr>
        <w:t>特异性：对乙型肝炎病毒、人巨细胞病毒、甲型肝炎病毒、</w:t>
      </w:r>
      <w:r>
        <w:rPr>
          <w:rFonts w:ascii="Times New Roman" w:eastAsia="Times New Roman"/>
          <w:sz w:val="18"/>
        </w:rPr>
        <w:t>EB</w:t>
      </w:r>
      <w:r>
        <w:rPr>
          <w:rFonts w:ascii="Times New Roman" w:eastAsia="Times New Roman"/>
          <w:spacing w:val="-3"/>
          <w:sz w:val="18"/>
        </w:rPr>
        <w:t> </w:t>
      </w:r>
      <w:r>
        <w:rPr>
          <w:spacing w:val="-8"/>
          <w:sz w:val="18"/>
        </w:rPr>
        <w:t>病毒、梅毒螺旋体、单纯疱疹病毒 </w:t>
      </w:r>
      <w:r>
        <w:rPr>
          <w:rFonts w:ascii="Times New Roman" w:eastAsia="Times New Roman"/>
          <w:sz w:val="18"/>
        </w:rPr>
        <w:t>1</w:t>
      </w:r>
      <w:r>
        <w:rPr>
          <w:rFonts w:ascii="Times New Roman" w:eastAsia="Times New Roman"/>
          <w:spacing w:val="-4"/>
          <w:sz w:val="18"/>
        </w:rPr>
        <w:t> </w:t>
      </w:r>
      <w:r>
        <w:rPr>
          <w:spacing w:val="-11"/>
          <w:sz w:val="18"/>
        </w:rPr>
        <w:t>型、单纯疱疹病毒 </w:t>
      </w:r>
      <w:r>
        <w:rPr>
          <w:rFonts w:ascii="Times New Roman" w:eastAsia="Times New Roman"/>
          <w:sz w:val="18"/>
        </w:rPr>
        <w:t>2</w:t>
      </w:r>
      <w:r>
        <w:rPr>
          <w:rFonts w:ascii="Times New Roman" w:eastAsia="Times New Roman"/>
          <w:spacing w:val="-3"/>
          <w:sz w:val="18"/>
        </w:rPr>
        <w:t> </w:t>
      </w:r>
      <w:r>
        <w:rPr>
          <w:spacing w:val="-4"/>
          <w:sz w:val="18"/>
        </w:rPr>
        <w:t>型、金黄</w:t>
      </w:r>
      <w:r>
        <w:rPr>
          <w:spacing w:val="-5"/>
          <w:sz w:val="18"/>
        </w:rPr>
        <w:t>色葡萄球菌、白色念珠菌、人类免疫缺陷病毒、甲型流感病毒阳性样本无交叉反应。</w:t>
      </w:r>
    </w:p>
    <w:p>
      <w:pPr>
        <w:pStyle w:val="ListParagraph"/>
        <w:numPr>
          <w:ilvl w:val="0"/>
          <w:numId w:val="5"/>
        </w:numPr>
        <w:tabs>
          <w:tab w:pos="265" w:val="left" w:leader="none"/>
        </w:tabs>
        <w:spacing w:line="166" w:lineRule="exact" w:before="0" w:after="0"/>
        <w:ind w:left="264" w:right="0" w:hanging="138"/>
        <w:jc w:val="left"/>
        <w:rPr>
          <w:sz w:val="18"/>
        </w:rPr>
      </w:pPr>
      <w:r>
        <w:rPr>
          <w:spacing w:val="-4"/>
          <w:sz w:val="18"/>
        </w:rPr>
        <w:t>重复性：重复检测精密度参考品 </w:t>
      </w:r>
      <w:r>
        <w:rPr>
          <w:rFonts w:ascii="Times New Roman" w:eastAsia="Times New Roman"/>
          <w:sz w:val="18"/>
        </w:rPr>
        <w:t>10</w:t>
      </w:r>
      <w:r>
        <w:rPr>
          <w:rFonts w:ascii="Times New Roman" w:eastAsia="Times New Roman"/>
          <w:spacing w:val="-1"/>
          <w:sz w:val="18"/>
        </w:rPr>
        <w:t> </w:t>
      </w:r>
      <w:r>
        <w:rPr>
          <w:spacing w:val="-1"/>
          <w:sz w:val="18"/>
        </w:rPr>
        <w:t>次，检测结果均为阳性， </w:t>
      </w:r>
      <w:r>
        <w:rPr>
          <w:rFonts w:ascii="Times New Roman" w:eastAsia="Times New Roman"/>
          <w:sz w:val="18"/>
        </w:rPr>
        <w:t>Ct</w:t>
      </w:r>
      <w:r>
        <w:rPr>
          <w:rFonts w:ascii="Times New Roman" w:eastAsia="Times New Roman"/>
          <w:spacing w:val="1"/>
          <w:sz w:val="18"/>
        </w:rPr>
        <w:t> </w:t>
      </w:r>
      <w:r>
        <w:rPr>
          <w:sz w:val="18"/>
        </w:rPr>
        <w:t>值变异系数</w:t>
      </w:r>
      <w:r>
        <w:rPr>
          <w:rFonts w:ascii="Times New Roman" w:eastAsia="Times New Roman"/>
          <w:sz w:val="18"/>
        </w:rPr>
        <w:t>(CV</w:t>
      </w:r>
      <w:r>
        <w:rPr>
          <w:sz w:val="18"/>
        </w:rPr>
        <w:t>）＜</w:t>
      </w:r>
      <w:r>
        <w:rPr>
          <w:rFonts w:ascii="Times New Roman" w:eastAsia="Times New Roman"/>
          <w:sz w:val="18"/>
        </w:rPr>
        <w:t>10.0%</w:t>
      </w:r>
      <w:r>
        <w:rPr>
          <w:sz w:val="18"/>
        </w:rPr>
        <w:t>。</w:t>
      </w:r>
    </w:p>
    <w:p>
      <w:pPr>
        <w:pStyle w:val="ListParagraph"/>
        <w:numPr>
          <w:ilvl w:val="0"/>
          <w:numId w:val="5"/>
        </w:numPr>
        <w:tabs>
          <w:tab w:pos="265" w:val="left" w:leader="none"/>
        </w:tabs>
        <w:spacing w:line="180" w:lineRule="exact" w:before="0" w:after="0"/>
        <w:ind w:left="264" w:right="0" w:hanging="138"/>
        <w:jc w:val="left"/>
        <w:rPr>
          <w:sz w:val="18"/>
        </w:rPr>
      </w:pPr>
      <w:r>
        <w:rPr>
          <w:spacing w:val="-4"/>
          <w:sz w:val="18"/>
        </w:rPr>
        <w:t>最低检出限：检测大于等于 </w:t>
      </w:r>
      <w:r>
        <w:rPr>
          <w:rFonts w:ascii="Times New Roman" w:eastAsia="Times New Roman"/>
          <w:sz w:val="18"/>
        </w:rPr>
        <w:t>1000</w:t>
      </w:r>
      <w:r>
        <w:rPr>
          <w:rFonts w:ascii="Times New Roman" w:eastAsia="Times New Roman"/>
          <w:spacing w:val="-1"/>
          <w:sz w:val="18"/>
        </w:rPr>
        <w:t> </w:t>
      </w:r>
      <w:r>
        <w:rPr>
          <w:rFonts w:ascii="Times New Roman" w:eastAsia="Times New Roman"/>
          <w:sz w:val="18"/>
        </w:rPr>
        <w:t>IU/ml</w:t>
      </w:r>
      <w:r>
        <w:rPr>
          <w:rFonts w:ascii="Times New Roman" w:eastAsia="Times New Roman"/>
          <w:spacing w:val="1"/>
          <w:sz w:val="18"/>
        </w:rPr>
        <w:t> </w:t>
      </w:r>
      <w:r>
        <w:rPr>
          <w:sz w:val="18"/>
        </w:rPr>
        <w:t>的各型检出限参考品均为阳性。</w:t>
      </w:r>
    </w:p>
    <w:p>
      <w:pPr>
        <w:pStyle w:val="ListParagraph"/>
        <w:numPr>
          <w:ilvl w:val="0"/>
          <w:numId w:val="5"/>
        </w:numPr>
        <w:tabs>
          <w:tab w:pos="265" w:val="left" w:leader="none"/>
        </w:tabs>
        <w:spacing w:line="180" w:lineRule="exact" w:before="0" w:after="0"/>
        <w:ind w:left="264" w:right="0" w:hanging="138"/>
        <w:jc w:val="left"/>
        <w:rPr>
          <w:sz w:val="18"/>
        </w:rPr>
      </w:pPr>
      <w:r>
        <w:rPr>
          <w:spacing w:val="-7"/>
          <w:sz w:val="18"/>
        </w:rPr>
        <w:t>抗干扰物检测能力：内源干扰物血红蛋白</w:t>
      </w:r>
      <w:r>
        <w:rPr>
          <w:spacing w:val="-5"/>
          <w:sz w:val="18"/>
        </w:rPr>
        <w:t>（</w:t>
      </w:r>
      <w:r>
        <w:rPr>
          <w:rFonts w:ascii="Times New Roman" w:hAnsi="Times New Roman" w:eastAsia="Times New Roman"/>
          <w:spacing w:val="-3"/>
          <w:sz w:val="18"/>
        </w:rPr>
        <w:t>≤</w:t>
      </w:r>
      <w:r>
        <w:rPr>
          <w:rFonts w:ascii="Times New Roman" w:hAnsi="Times New Roman" w:eastAsia="Times New Roman"/>
          <w:spacing w:val="-2"/>
          <w:sz w:val="18"/>
        </w:rPr>
        <w:t>2g/d</w:t>
      </w:r>
      <w:r>
        <w:rPr>
          <w:rFonts w:ascii="Times New Roman" w:hAnsi="Times New Roman" w:eastAsia="Times New Roman"/>
          <w:spacing w:val="-5"/>
          <w:sz w:val="18"/>
        </w:rPr>
        <w:t>L</w:t>
      </w:r>
      <w:r>
        <w:rPr>
          <w:spacing w:val="-92"/>
          <w:sz w:val="18"/>
        </w:rPr>
        <w:t>）</w:t>
      </w:r>
      <w:r>
        <w:rPr>
          <w:spacing w:val="-8"/>
          <w:sz w:val="18"/>
        </w:rPr>
        <w:t>、胆红素</w:t>
      </w:r>
      <w:r>
        <w:rPr>
          <w:spacing w:val="-5"/>
          <w:sz w:val="18"/>
        </w:rPr>
        <w:t>（</w:t>
      </w:r>
      <w:r>
        <w:rPr>
          <w:rFonts w:ascii="Times New Roman" w:hAnsi="Times New Roman" w:eastAsia="Times New Roman"/>
          <w:spacing w:val="-1"/>
          <w:sz w:val="18"/>
        </w:rPr>
        <w:t>≤</w:t>
      </w:r>
      <w:r>
        <w:rPr>
          <w:rFonts w:ascii="Times New Roman" w:hAnsi="Times New Roman" w:eastAsia="Times New Roman"/>
          <w:spacing w:val="-2"/>
          <w:sz w:val="18"/>
        </w:rPr>
        <w:t>28</w:t>
      </w:r>
      <w:r>
        <w:rPr>
          <w:rFonts w:ascii="Times New Roman" w:hAnsi="Times New Roman" w:eastAsia="Times New Roman"/>
          <w:spacing w:val="-4"/>
          <w:sz w:val="18"/>
        </w:rPr>
        <w:t>m</w:t>
      </w:r>
      <w:r>
        <w:rPr>
          <w:rFonts w:ascii="Times New Roman" w:hAnsi="Times New Roman" w:eastAsia="Times New Roman"/>
          <w:spacing w:val="-2"/>
          <w:sz w:val="18"/>
        </w:rPr>
        <w:t>g/d</w:t>
      </w:r>
      <w:r>
        <w:rPr>
          <w:rFonts w:ascii="Times New Roman" w:hAnsi="Times New Roman" w:eastAsia="Times New Roman"/>
          <w:spacing w:val="-5"/>
          <w:sz w:val="18"/>
        </w:rPr>
        <w:t>L</w:t>
      </w:r>
      <w:r>
        <w:rPr>
          <w:spacing w:val="-92"/>
          <w:sz w:val="18"/>
        </w:rPr>
        <w:t>）</w:t>
      </w:r>
      <w:r>
        <w:rPr>
          <w:spacing w:val="-8"/>
          <w:sz w:val="18"/>
        </w:rPr>
        <w:t>、甘油三酯</w:t>
      </w:r>
      <w:r>
        <w:rPr>
          <w:spacing w:val="-5"/>
          <w:sz w:val="18"/>
        </w:rPr>
        <w:t>（</w:t>
      </w:r>
      <w:r>
        <w:rPr>
          <w:rFonts w:ascii="Times New Roman" w:hAnsi="Times New Roman" w:eastAsia="Times New Roman"/>
          <w:spacing w:val="-1"/>
          <w:sz w:val="18"/>
        </w:rPr>
        <w:t>≤</w:t>
      </w:r>
      <w:r>
        <w:rPr>
          <w:rFonts w:ascii="Times New Roman" w:hAnsi="Times New Roman" w:eastAsia="Times New Roman"/>
          <w:spacing w:val="-2"/>
          <w:sz w:val="18"/>
        </w:rPr>
        <w:t>3</w:t>
      </w:r>
      <w:r>
        <w:rPr>
          <w:rFonts w:ascii="Times New Roman" w:hAnsi="Times New Roman" w:eastAsia="Times New Roman"/>
          <w:spacing w:val="-4"/>
          <w:sz w:val="18"/>
        </w:rPr>
        <w:t>g</w:t>
      </w:r>
      <w:r>
        <w:rPr>
          <w:rFonts w:ascii="Times New Roman" w:hAnsi="Times New Roman" w:eastAsia="Times New Roman"/>
          <w:spacing w:val="-2"/>
          <w:sz w:val="18"/>
        </w:rPr>
        <w:t>/dL</w:t>
      </w:r>
      <w:r>
        <w:rPr>
          <w:spacing w:val="-94"/>
          <w:sz w:val="18"/>
        </w:rPr>
        <w:t>）</w:t>
      </w:r>
      <w:r>
        <w:rPr>
          <w:spacing w:val="-20"/>
          <w:sz w:val="18"/>
        </w:rPr>
        <w:t>、总 </w:t>
      </w:r>
      <w:r>
        <w:rPr>
          <w:rFonts w:ascii="Times New Roman" w:hAnsi="Times New Roman" w:eastAsia="Times New Roman"/>
          <w:sz w:val="18"/>
        </w:rPr>
        <w:t>I</w:t>
      </w:r>
      <w:r>
        <w:rPr>
          <w:rFonts w:ascii="Times New Roman" w:hAnsi="Times New Roman" w:eastAsia="Times New Roman"/>
          <w:spacing w:val="-4"/>
          <w:sz w:val="18"/>
        </w:rPr>
        <w:t>g</w:t>
      </w:r>
      <w:r>
        <w:rPr>
          <w:rFonts w:ascii="Times New Roman" w:hAnsi="Times New Roman" w:eastAsia="Times New Roman"/>
          <w:spacing w:val="-8"/>
          <w:sz w:val="18"/>
        </w:rPr>
        <w:t>G</w:t>
      </w:r>
      <w:r>
        <w:rPr>
          <w:spacing w:val="-3"/>
          <w:sz w:val="18"/>
        </w:rPr>
        <w:t>（</w:t>
      </w:r>
      <w:r>
        <w:rPr>
          <w:rFonts w:ascii="Times New Roman" w:hAnsi="Times New Roman" w:eastAsia="Times New Roman"/>
          <w:spacing w:val="-3"/>
          <w:sz w:val="18"/>
        </w:rPr>
        <w:t>≤</w:t>
      </w:r>
      <w:r>
        <w:rPr>
          <w:rFonts w:ascii="Times New Roman" w:hAnsi="Times New Roman" w:eastAsia="Times New Roman"/>
          <w:spacing w:val="-2"/>
          <w:sz w:val="18"/>
        </w:rPr>
        <w:t>40</w:t>
      </w:r>
      <w:r>
        <w:rPr>
          <w:rFonts w:ascii="Times New Roman" w:hAnsi="Times New Roman" w:eastAsia="Times New Roman"/>
          <w:spacing w:val="-4"/>
          <w:sz w:val="18"/>
        </w:rPr>
        <w:t>g</w:t>
      </w:r>
      <w:r>
        <w:rPr>
          <w:rFonts w:ascii="Times New Roman" w:hAnsi="Times New Roman" w:eastAsia="Times New Roman"/>
          <w:sz w:val="18"/>
        </w:rPr>
        <w:t>/</w:t>
      </w:r>
      <w:r>
        <w:rPr>
          <w:rFonts w:ascii="Times New Roman" w:hAnsi="Times New Roman" w:eastAsia="Times New Roman"/>
          <w:spacing w:val="-5"/>
          <w:sz w:val="18"/>
        </w:rPr>
        <w:t>L</w:t>
      </w:r>
      <w:r>
        <w:rPr>
          <w:spacing w:val="-10"/>
          <w:sz w:val="18"/>
        </w:rPr>
        <w:t>）</w:t>
      </w:r>
      <w:r>
        <w:rPr>
          <w:spacing w:val="-5"/>
          <w:sz w:val="18"/>
        </w:rPr>
        <w:t>对检测无影响。</w:t>
      </w:r>
    </w:p>
    <w:p>
      <w:pPr>
        <w:pStyle w:val="ListParagraph"/>
        <w:numPr>
          <w:ilvl w:val="0"/>
          <w:numId w:val="5"/>
        </w:numPr>
        <w:tabs>
          <w:tab w:pos="262" w:val="left" w:leader="none"/>
        </w:tabs>
        <w:spacing w:line="187" w:lineRule="auto" w:before="15" w:after="0"/>
        <w:ind w:left="127" w:right="144" w:firstLine="0"/>
        <w:jc w:val="both"/>
        <w:rPr>
          <w:sz w:val="18"/>
        </w:rPr>
      </w:pPr>
      <w:r>
        <w:rPr>
          <w:spacing w:val="-4"/>
          <w:sz w:val="18"/>
        </w:rPr>
        <w:t>临床试验研究结果：临床研究中，对比试剂为国内已上市的同类型</w:t>
      </w:r>
      <w:r>
        <w:rPr>
          <w:rFonts w:ascii="Times New Roman" w:eastAsia="Times New Roman"/>
          <w:sz w:val="18"/>
        </w:rPr>
        <w:t>PCR</w:t>
      </w:r>
      <w:r>
        <w:rPr>
          <w:rFonts w:ascii="Times New Roman" w:eastAsia="Times New Roman"/>
          <w:spacing w:val="-5"/>
          <w:sz w:val="18"/>
        </w:rPr>
        <w:t> </w:t>
      </w:r>
      <w:r>
        <w:rPr>
          <w:spacing w:val="-5"/>
          <w:sz w:val="18"/>
        </w:rPr>
        <w:t>荧光检测试剂盒，</w:t>
      </w:r>
      <w:r>
        <w:rPr>
          <w:rFonts w:ascii="Times New Roman" w:eastAsia="Times New Roman"/>
          <w:spacing w:val="-3"/>
          <w:sz w:val="18"/>
        </w:rPr>
        <w:t>HCV1b</w:t>
      </w:r>
      <w:r>
        <w:rPr>
          <w:rFonts w:ascii="Times New Roman" w:eastAsia="Times New Roman"/>
          <w:spacing w:val="-6"/>
          <w:sz w:val="18"/>
        </w:rPr>
        <w:t> </w:t>
      </w:r>
      <w:r>
        <w:rPr>
          <w:spacing w:val="-11"/>
          <w:sz w:val="18"/>
        </w:rPr>
        <w:t>型阳性符合率为 </w:t>
      </w:r>
      <w:r>
        <w:rPr>
          <w:rFonts w:ascii="Times New Roman" w:eastAsia="Times New Roman"/>
          <w:spacing w:val="-2"/>
          <w:sz w:val="18"/>
        </w:rPr>
        <w:t>99.40</w:t>
      </w:r>
      <w:r>
        <w:rPr>
          <w:rFonts w:ascii="Times New Roman" w:eastAsia="Times New Roman"/>
          <w:spacing w:val="17"/>
          <w:sz w:val="18"/>
        </w:rPr>
        <w:t>% </w:t>
      </w:r>
      <w:r>
        <w:rPr>
          <w:spacing w:val="-3"/>
          <w:sz w:val="18"/>
        </w:rPr>
        <w:t>，阴性</w:t>
      </w:r>
      <w:r>
        <w:rPr>
          <w:spacing w:val="-13"/>
          <w:sz w:val="18"/>
        </w:rPr>
        <w:t>符合率为 </w:t>
      </w:r>
      <w:r>
        <w:rPr>
          <w:rFonts w:ascii="Times New Roman" w:eastAsia="Times New Roman"/>
          <w:spacing w:val="-3"/>
          <w:sz w:val="18"/>
        </w:rPr>
        <w:t>93.77%</w:t>
      </w:r>
      <w:r>
        <w:rPr>
          <w:spacing w:val="-9"/>
          <w:sz w:val="18"/>
        </w:rPr>
        <w:t>，阴阳性检测总符合率为 </w:t>
      </w:r>
      <w:r>
        <w:rPr>
          <w:rFonts w:ascii="Times New Roman" w:eastAsia="Times New Roman"/>
          <w:spacing w:val="-2"/>
          <w:sz w:val="18"/>
        </w:rPr>
        <w:t>96.94% </w:t>
      </w:r>
      <w:r>
        <w:rPr>
          <w:spacing w:val="-3"/>
          <w:sz w:val="18"/>
        </w:rPr>
        <w:t>；</w:t>
      </w:r>
      <w:r>
        <w:rPr>
          <w:rFonts w:ascii="Times New Roman" w:eastAsia="Times New Roman"/>
          <w:spacing w:val="-3"/>
          <w:sz w:val="18"/>
        </w:rPr>
        <w:t>HCV1</w:t>
      </w:r>
      <w:r>
        <w:rPr>
          <w:spacing w:val="-3"/>
          <w:sz w:val="18"/>
        </w:rPr>
        <w:t>（</w:t>
      </w:r>
      <w:r>
        <w:rPr>
          <w:rFonts w:ascii="Times New Roman" w:eastAsia="Times New Roman"/>
          <w:spacing w:val="-3"/>
          <w:sz w:val="18"/>
        </w:rPr>
        <w:t>1a</w:t>
      </w:r>
      <w:r>
        <w:rPr>
          <w:spacing w:val="-5"/>
          <w:sz w:val="18"/>
        </w:rPr>
        <w:t>、</w:t>
      </w:r>
      <w:r>
        <w:rPr>
          <w:rFonts w:ascii="Times New Roman" w:eastAsia="Times New Roman"/>
          <w:sz w:val="18"/>
        </w:rPr>
        <w:t>1b</w:t>
      </w:r>
      <w:r>
        <w:rPr>
          <w:rFonts w:ascii="Times New Roman" w:eastAsia="Times New Roman"/>
          <w:spacing w:val="-3"/>
          <w:sz w:val="18"/>
        </w:rPr>
        <w:t> </w:t>
      </w:r>
      <w:r>
        <w:rPr>
          <w:spacing w:val="-4"/>
          <w:sz w:val="18"/>
        </w:rPr>
        <w:t>不区分</w:t>
      </w:r>
      <w:r>
        <w:rPr>
          <w:spacing w:val="-3"/>
          <w:sz w:val="18"/>
        </w:rPr>
        <w:t>）</w:t>
      </w:r>
      <w:r>
        <w:rPr>
          <w:spacing w:val="-10"/>
          <w:sz w:val="18"/>
        </w:rPr>
        <w:t>型阳性符合率为 </w:t>
      </w:r>
      <w:r>
        <w:rPr>
          <w:rFonts w:ascii="Times New Roman" w:eastAsia="Times New Roman"/>
          <w:spacing w:val="-2"/>
          <w:sz w:val="18"/>
        </w:rPr>
        <w:t>99.41</w:t>
      </w:r>
      <w:r>
        <w:rPr>
          <w:rFonts w:ascii="Times New Roman" w:eastAsia="Times New Roman"/>
          <w:spacing w:val="18"/>
          <w:sz w:val="18"/>
        </w:rPr>
        <w:t>% </w:t>
      </w:r>
      <w:r>
        <w:rPr>
          <w:spacing w:val="-11"/>
          <w:sz w:val="18"/>
        </w:rPr>
        <w:t>，阴性符合率为 </w:t>
      </w:r>
      <w:r>
        <w:rPr>
          <w:rFonts w:ascii="Times New Roman" w:eastAsia="Times New Roman"/>
          <w:spacing w:val="-3"/>
          <w:sz w:val="18"/>
        </w:rPr>
        <w:t>93.57%</w:t>
      </w:r>
      <w:r>
        <w:rPr>
          <w:spacing w:val="-2"/>
          <w:sz w:val="18"/>
        </w:rPr>
        <w:t>，阴</w:t>
      </w:r>
      <w:r>
        <w:rPr>
          <w:spacing w:val="-10"/>
          <w:sz w:val="18"/>
        </w:rPr>
        <w:t>阳性检测总符合率为 </w:t>
      </w:r>
      <w:r>
        <w:rPr>
          <w:rFonts w:ascii="Times New Roman" w:eastAsia="Times New Roman"/>
          <w:spacing w:val="-3"/>
          <w:sz w:val="18"/>
        </w:rPr>
        <w:t>96.94</w:t>
      </w:r>
      <w:r>
        <w:rPr>
          <w:rFonts w:ascii="Times New Roman" w:eastAsia="Times New Roman"/>
          <w:spacing w:val="-2"/>
          <w:sz w:val="18"/>
        </w:rPr>
        <w:t>% </w:t>
      </w:r>
      <w:r>
        <w:rPr>
          <w:spacing w:val="-3"/>
          <w:sz w:val="18"/>
        </w:rPr>
        <w:t>；</w:t>
      </w:r>
      <w:r>
        <w:rPr>
          <w:rFonts w:ascii="Times New Roman" w:eastAsia="Times New Roman"/>
          <w:spacing w:val="-3"/>
          <w:sz w:val="18"/>
        </w:rPr>
        <w:t>HCV2</w:t>
      </w:r>
      <w:r>
        <w:rPr>
          <w:spacing w:val="-3"/>
          <w:sz w:val="18"/>
        </w:rPr>
        <w:t>（</w:t>
      </w:r>
      <w:r>
        <w:rPr>
          <w:rFonts w:ascii="Times New Roman" w:eastAsia="Times New Roman"/>
          <w:spacing w:val="-3"/>
          <w:sz w:val="18"/>
        </w:rPr>
        <w:t>2a</w:t>
      </w:r>
      <w:r>
        <w:rPr>
          <w:rFonts w:ascii="Times New Roman" w:eastAsia="Times New Roman"/>
          <w:spacing w:val="-1"/>
          <w:sz w:val="18"/>
        </w:rPr>
        <w:t> </w:t>
      </w:r>
      <w:r>
        <w:rPr>
          <w:spacing w:val="-5"/>
          <w:sz w:val="18"/>
        </w:rPr>
        <w:t>型）</w:t>
      </w:r>
      <w:r>
        <w:rPr>
          <w:spacing w:val="-11"/>
          <w:sz w:val="18"/>
        </w:rPr>
        <w:t>型阳性符合率为 </w:t>
      </w:r>
      <w:r>
        <w:rPr>
          <w:rFonts w:ascii="Times New Roman" w:eastAsia="Times New Roman"/>
          <w:spacing w:val="-3"/>
          <w:sz w:val="18"/>
        </w:rPr>
        <w:t>95.41</w:t>
      </w:r>
      <w:r>
        <w:rPr>
          <w:rFonts w:ascii="Times New Roman" w:eastAsia="Times New Roman"/>
          <w:spacing w:val="-2"/>
          <w:sz w:val="18"/>
        </w:rPr>
        <w:t>% </w:t>
      </w:r>
      <w:r>
        <w:rPr>
          <w:spacing w:val="-11"/>
          <w:sz w:val="18"/>
        </w:rPr>
        <w:t>，阴性符合率为 </w:t>
      </w:r>
      <w:r>
        <w:rPr>
          <w:rFonts w:ascii="Times New Roman" w:eastAsia="Times New Roman"/>
          <w:spacing w:val="-3"/>
          <w:sz w:val="18"/>
        </w:rPr>
        <w:t>98.75%</w:t>
      </w:r>
      <w:r>
        <w:rPr>
          <w:spacing w:val="-9"/>
          <w:sz w:val="18"/>
        </w:rPr>
        <w:t>，阴阳性检测总符合率为 </w:t>
      </w:r>
      <w:r>
        <w:rPr>
          <w:rFonts w:ascii="Times New Roman" w:eastAsia="Times New Roman"/>
          <w:spacing w:val="-3"/>
          <w:sz w:val="18"/>
        </w:rPr>
        <w:t>98.13</w:t>
      </w:r>
      <w:r>
        <w:rPr>
          <w:rFonts w:ascii="Times New Roman" w:eastAsia="Times New Roman"/>
          <w:spacing w:val="-2"/>
          <w:sz w:val="18"/>
        </w:rPr>
        <w:t>% </w:t>
      </w:r>
      <w:r>
        <w:rPr>
          <w:sz w:val="18"/>
        </w:rPr>
        <w:t>；</w:t>
      </w:r>
    </w:p>
    <w:p>
      <w:pPr>
        <w:pStyle w:val="BodyText"/>
        <w:spacing w:line="166" w:lineRule="exact"/>
        <w:jc w:val="both"/>
      </w:pPr>
      <w:r>
        <w:rPr>
          <w:rFonts w:ascii="Times New Roman" w:eastAsia="Times New Roman"/>
          <w:spacing w:val="-4"/>
        </w:rPr>
        <w:t>HCV3</w:t>
      </w:r>
      <w:r>
        <w:rPr>
          <w:spacing w:val="-4"/>
        </w:rPr>
        <w:t>（</w:t>
      </w:r>
      <w:r>
        <w:rPr>
          <w:rFonts w:ascii="Times New Roman" w:eastAsia="Times New Roman"/>
          <w:spacing w:val="-4"/>
        </w:rPr>
        <w:t>3a</w:t>
      </w:r>
      <w:r>
        <w:rPr>
          <w:spacing w:val="-8"/>
        </w:rPr>
        <w:t>、</w:t>
      </w:r>
      <w:r>
        <w:rPr>
          <w:rFonts w:ascii="Times New Roman" w:eastAsia="Times New Roman"/>
        </w:rPr>
        <w:t>3b </w:t>
      </w:r>
      <w:r>
        <w:rPr>
          <w:spacing w:val="-5"/>
        </w:rPr>
        <w:t>型不区分</w:t>
      </w:r>
      <w:r>
        <w:rPr>
          <w:spacing w:val="-10"/>
        </w:rPr>
        <w:t>）</w:t>
      </w:r>
      <w:r>
        <w:rPr>
          <w:spacing w:val="-11"/>
        </w:rPr>
        <w:t>型阳性符合率为 </w:t>
      </w:r>
      <w:r>
        <w:rPr>
          <w:rFonts w:ascii="Times New Roman" w:eastAsia="Times New Roman"/>
        </w:rPr>
        <w:t>100.00</w:t>
      </w:r>
      <w:r>
        <w:rPr>
          <w:rFonts w:ascii="Times New Roman" w:eastAsia="Times New Roman"/>
          <w:spacing w:val="17"/>
        </w:rPr>
        <w:t>% </w:t>
      </w:r>
      <w:r>
        <w:rPr>
          <w:spacing w:val="-12"/>
        </w:rPr>
        <w:t>，阴性符合率为 </w:t>
      </w:r>
      <w:r>
        <w:rPr>
          <w:rFonts w:ascii="Times New Roman" w:eastAsia="Times New Roman"/>
          <w:spacing w:val="-2"/>
        </w:rPr>
        <w:t>99.80</w:t>
      </w:r>
      <w:r>
        <w:rPr>
          <w:rFonts w:ascii="Times New Roman" w:eastAsia="Times New Roman"/>
          <w:spacing w:val="17"/>
        </w:rPr>
        <w:t>% </w:t>
      </w:r>
      <w:r>
        <w:rPr>
          <w:spacing w:val="-11"/>
        </w:rPr>
        <w:t>，阴阳性检测总符合率为 </w:t>
      </w:r>
      <w:r>
        <w:rPr>
          <w:rFonts w:ascii="Times New Roman" w:eastAsia="Times New Roman"/>
          <w:spacing w:val="-2"/>
        </w:rPr>
        <w:t>99.83</w:t>
      </w:r>
      <w:r>
        <w:rPr>
          <w:rFonts w:ascii="Times New Roman" w:eastAsia="Times New Roman"/>
          <w:spacing w:val="16"/>
        </w:rPr>
        <w:t>% </w:t>
      </w:r>
      <w:r>
        <w:rPr>
          <w:spacing w:val="-4"/>
        </w:rPr>
        <w:t>；</w:t>
      </w:r>
      <w:r>
        <w:rPr>
          <w:rFonts w:ascii="Times New Roman" w:eastAsia="Times New Roman"/>
          <w:spacing w:val="-4"/>
        </w:rPr>
        <w:t>HCV6</w:t>
      </w:r>
      <w:r>
        <w:rPr>
          <w:spacing w:val="-4"/>
        </w:rPr>
        <w:t>（</w:t>
      </w:r>
      <w:r>
        <w:rPr>
          <w:rFonts w:ascii="Times New Roman" w:eastAsia="Times New Roman"/>
          <w:spacing w:val="-4"/>
        </w:rPr>
        <w:t>6a </w:t>
      </w:r>
      <w:r>
        <w:rPr>
          <w:spacing w:val="-5"/>
        </w:rPr>
        <w:t>型</w:t>
      </w:r>
      <w:r>
        <w:rPr>
          <w:spacing w:val="-10"/>
        </w:rPr>
        <w:t>）</w:t>
      </w:r>
      <w:r>
        <w:rPr/>
        <w:t>型</w:t>
      </w:r>
    </w:p>
    <w:p>
      <w:pPr>
        <w:pStyle w:val="BodyText"/>
        <w:spacing w:line="187" w:lineRule="auto" w:before="14"/>
        <w:ind w:right="105"/>
        <w:jc w:val="both"/>
      </w:pPr>
      <w:r>
        <w:rPr>
          <w:spacing w:val="-7"/>
        </w:rPr>
        <w:t>阳性符合率为 </w:t>
      </w:r>
      <w:r>
        <w:rPr>
          <w:rFonts w:ascii="Times New Roman" w:eastAsia="Times New Roman"/>
          <w:spacing w:val="-3"/>
        </w:rPr>
        <w:t>97.62</w:t>
      </w:r>
      <w:r>
        <w:rPr>
          <w:rFonts w:ascii="Times New Roman" w:eastAsia="Times New Roman"/>
          <w:spacing w:val="1"/>
        </w:rPr>
        <w:t>% </w:t>
      </w:r>
      <w:r>
        <w:rPr>
          <w:spacing w:val="-6"/>
        </w:rPr>
        <w:t>，阴性符合率为 </w:t>
      </w:r>
      <w:r>
        <w:rPr>
          <w:rFonts w:ascii="Times New Roman" w:eastAsia="Times New Roman"/>
          <w:spacing w:val="-3"/>
        </w:rPr>
        <w:t>99.45</w:t>
      </w:r>
      <w:r>
        <w:rPr>
          <w:rFonts w:ascii="Times New Roman" w:eastAsia="Times New Roman"/>
          <w:spacing w:val="1"/>
        </w:rPr>
        <w:t>% </w:t>
      </w:r>
      <w:r>
        <w:rPr>
          <w:spacing w:val="-4"/>
        </w:rPr>
        <w:t>，阴阳性检测总符合率为 </w:t>
      </w:r>
      <w:r>
        <w:rPr>
          <w:rFonts w:ascii="Times New Roman" w:eastAsia="Times New Roman"/>
          <w:spacing w:val="-2"/>
        </w:rPr>
        <w:t>99.32</w:t>
      </w:r>
      <w:r>
        <w:rPr>
          <w:rFonts w:ascii="Times New Roman" w:eastAsia="Times New Roman"/>
        </w:rPr>
        <w:t>% ;HCV1a </w:t>
      </w:r>
      <w:r>
        <w:rPr>
          <w:spacing w:val="-6"/>
        </w:rPr>
        <w:t>型阳性符合率为 </w:t>
      </w:r>
      <w:r>
        <w:rPr>
          <w:rFonts w:ascii="Times New Roman" w:eastAsia="Times New Roman"/>
        </w:rPr>
        <w:t>100.0%</w:t>
      </w:r>
      <w:r>
        <w:rPr/>
        <w:t>，阴性符合率为</w:t>
      </w:r>
      <w:r>
        <w:rPr>
          <w:rFonts w:ascii="Times New Roman" w:eastAsia="Times New Roman"/>
          <w:spacing w:val="-8"/>
        </w:rPr>
        <w:t>100.0%</w:t>
      </w:r>
      <w:r>
        <w:rPr>
          <w:spacing w:val="-10"/>
        </w:rPr>
        <w:t>，阴阳性检测总符合率为 </w:t>
      </w:r>
      <w:r>
        <w:rPr>
          <w:rFonts w:ascii="Times New Roman" w:eastAsia="Times New Roman"/>
          <w:spacing w:val="-3"/>
        </w:rPr>
        <w:t>100.0%</w:t>
      </w:r>
      <w:r>
        <w:rPr>
          <w:spacing w:val="-10"/>
        </w:rPr>
        <w:t>。对检测结果进行 </w:t>
      </w:r>
      <w:r>
        <w:rPr>
          <w:rFonts w:ascii="Times New Roman" w:eastAsia="Times New Roman"/>
        </w:rPr>
        <w:t>kappa </w:t>
      </w:r>
      <w:r>
        <w:rPr>
          <w:spacing w:val="-8"/>
        </w:rPr>
        <w:t>检验一致性分析，结果 </w:t>
      </w:r>
      <w:r>
        <w:rPr>
          <w:rFonts w:ascii="Times New Roman" w:eastAsia="Times New Roman"/>
        </w:rPr>
        <w:t>1b </w:t>
      </w:r>
      <w:r>
        <w:rPr>
          <w:spacing w:val="-19"/>
        </w:rPr>
        <w:t>型、</w:t>
      </w:r>
      <w:r>
        <w:rPr>
          <w:rFonts w:ascii="Times New Roman" w:eastAsia="Times New Roman"/>
        </w:rPr>
        <w:t>1 </w:t>
      </w:r>
      <w:r>
        <w:rPr>
          <w:spacing w:val="-29"/>
        </w:rPr>
        <w:t>型</w:t>
      </w:r>
      <w:r>
        <w:rPr>
          <w:spacing w:val="-5"/>
        </w:rPr>
        <w:t>（</w:t>
      </w:r>
      <w:r>
        <w:rPr>
          <w:rFonts w:ascii="Times New Roman" w:eastAsia="Times New Roman"/>
          <w:spacing w:val="-5"/>
        </w:rPr>
        <w:t>1a</w:t>
      </w:r>
      <w:r>
        <w:rPr>
          <w:spacing w:val="-32"/>
        </w:rPr>
        <w:t>、</w:t>
      </w:r>
      <w:r>
        <w:rPr>
          <w:rFonts w:ascii="Times New Roman" w:eastAsia="Times New Roman"/>
        </w:rPr>
        <w:t>1b </w:t>
      </w:r>
      <w:r>
        <w:rPr>
          <w:spacing w:val="-4"/>
        </w:rPr>
        <w:t>不区分</w:t>
      </w:r>
      <w:r>
        <w:rPr>
          <w:spacing w:val="-94"/>
        </w:rPr>
        <w:t>）</w:t>
      </w:r>
      <w:r>
        <w:rPr>
          <w:spacing w:val="-32"/>
        </w:rPr>
        <w:t>、</w:t>
      </w:r>
      <w:r>
        <w:rPr>
          <w:rFonts w:ascii="Times New Roman" w:eastAsia="Times New Roman"/>
        </w:rPr>
        <w:t>2 </w:t>
      </w:r>
      <w:r>
        <w:rPr>
          <w:spacing w:val="-29"/>
        </w:rPr>
        <w:t>型</w:t>
      </w:r>
      <w:r>
        <w:rPr>
          <w:spacing w:val="-4"/>
        </w:rPr>
        <w:t>（</w:t>
      </w:r>
      <w:r>
        <w:rPr>
          <w:rFonts w:ascii="Times New Roman" w:eastAsia="Times New Roman"/>
          <w:spacing w:val="-4"/>
        </w:rPr>
        <w:t>2a </w:t>
      </w:r>
      <w:r>
        <w:rPr>
          <w:spacing w:val="-5"/>
        </w:rPr>
        <w:t>型</w:t>
      </w:r>
      <w:r>
        <w:rPr>
          <w:spacing w:val="-89"/>
        </w:rPr>
        <w:t>）</w:t>
      </w:r>
      <w:r>
        <w:rPr/>
        <w:t>、</w:t>
      </w:r>
    </w:p>
    <w:p>
      <w:pPr>
        <w:pStyle w:val="BodyText"/>
        <w:spacing w:line="166" w:lineRule="exact"/>
      </w:pPr>
      <w:r>
        <w:rPr>
          <w:rFonts w:ascii="Times New Roman" w:eastAsia="Times New Roman"/>
        </w:rPr>
        <w:t>3 </w:t>
      </w:r>
      <w:r>
        <w:rPr>
          <w:spacing w:val="-5"/>
        </w:rPr>
        <w:t>型</w:t>
      </w:r>
      <w:r>
        <w:rPr>
          <w:spacing w:val="-4"/>
        </w:rPr>
        <w:t>（</w:t>
      </w:r>
      <w:r>
        <w:rPr>
          <w:rFonts w:ascii="Times New Roman" w:eastAsia="Times New Roman"/>
          <w:spacing w:val="-4"/>
        </w:rPr>
        <w:t>3a</w:t>
      </w:r>
      <w:r>
        <w:rPr>
          <w:spacing w:val="-3"/>
        </w:rPr>
        <w:t>、</w:t>
      </w:r>
      <w:r>
        <w:rPr>
          <w:rFonts w:ascii="Times New Roman" w:eastAsia="Times New Roman"/>
        </w:rPr>
        <w:t>3b </w:t>
      </w:r>
      <w:r>
        <w:rPr>
          <w:spacing w:val="-5"/>
        </w:rPr>
        <w:t>型不区分</w:t>
      </w:r>
      <w:r>
        <w:rPr>
          <w:spacing w:val="-94"/>
        </w:rPr>
        <w:t>）</w:t>
      </w:r>
      <w:r>
        <w:rPr>
          <w:spacing w:val="-3"/>
        </w:rPr>
        <w:t>、</w:t>
      </w:r>
      <w:r>
        <w:rPr>
          <w:rFonts w:ascii="Times New Roman" w:eastAsia="Times New Roman"/>
        </w:rPr>
        <w:t>6 </w:t>
      </w:r>
      <w:r>
        <w:rPr>
          <w:spacing w:val="-5"/>
        </w:rPr>
        <w:t>型</w:t>
      </w:r>
      <w:r>
        <w:rPr>
          <w:spacing w:val="-3"/>
        </w:rPr>
        <w:t>（</w:t>
      </w:r>
      <w:r>
        <w:rPr>
          <w:rFonts w:ascii="Times New Roman" w:eastAsia="Times New Roman"/>
          <w:spacing w:val="-3"/>
        </w:rPr>
        <w:t>6a </w:t>
      </w:r>
      <w:r>
        <w:rPr>
          <w:spacing w:val="-5"/>
        </w:rPr>
        <w:t>型</w:t>
      </w:r>
      <w:r>
        <w:rPr>
          <w:spacing w:val="-3"/>
        </w:rPr>
        <w:t>）</w:t>
      </w:r>
      <w:r>
        <w:rPr>
          <w:rFonts w:ascii="Times New Roman" w:eastAsia="Times New Roman"/>
          <w:spacing w:val="-3"/>
        </w:rPr>
        <w:t>Kappa </w:t>
      </w:r>
      <w:r>
        <w:rPr>
          <w:spacing w:val="-13"/>
        </w:rPr>
        <w:t>值分别为 </w:t>
      </w:r>
      <w:r>
        <w:rPr>
          <w:rFonts w:ascii="Times New Roman" w:eastAsia="Times New Roman"/>
          <w:spacing w:val="-3"/>
        </w:rPr>
        <w:t>0.938</w:t>
      </w:r>
      <w:r>
        <w:rPr>
          <w:spacing w:val="-5"/>
        </w:rPr>
        <w:t>、</w:t>
      </w:r>
      <w:r>
        <w:rPr>
          <w:rFonts w:ascii="Times New Roman" w:eastAsia="Times New Roman"/>
          <w:spacing w:val="-3"/>
        </w:rPr>
        <w:t>0.937</w:t>
      </w:r>
      <w:r>
        <w:rPr>
          <w:spacing w:val="-5"/>
        </w:rPr>
        <w:t>、</w:t>
      </w:r>
      <w:r>
        <w:rPr>
          <w:rFonts w:ascii="Times New Roman" w:eastAsia="Times New Roman"/>
          <w:spacing w:val="-3"/>
        </w:rPr>
        <w:t>0938</w:t>
      </w:r>
      <w:r>
        <w:rPr>
          <w:spacing w:val="-5"/>
        </w:rPr>
        <w:t>、</w:t>
      </w:r>
      <w:r>
        <w:rPr>
          <w:rFonts w:ascii="Times New Roman" w:eastAsia="Times New Roman"/>
          <w:spacing w:val="-3"/>
        </w:rPr>
        <w:t>0.993</w:t>
      </w:r>
      <w:r>
        <w:rPr>
          <w:spacing w:val="-5"/>
        </w:rPr>
        <w:t>、</w:t>
      </w:r>
      <w:r>
        <w:rPr>
          <w:rFonts w:ascii="Times New Roman" w:eastAsia="Times New Roman"/>
          <w:spacing w:val="-3"/>
        </w:rPr>
        <w:t>0.950</w:t>
      </w:r>
      <w:r>
        <w:rPr/>
        <w:t>。</w:t>
      </w:r>
    </w:p>
    <w:p>
      <w:pPr>
        <w:pStyle w:val="BodyText"/>
      </w:pPr>
      <w:r>
        <w:rPr/>
        <w:t>【注意事项】</w:t>
      </w:r>
    </w:p>
    <w:p>
      <w:pPr>
        <w:pStyle w:val="ListParagraph"/>
        <w:numPr>
          <w:ilvl w:val="0"/>
          <w:numId w:val="6"/>
        </w:numPr>
        <w:tabs>
          <w:tab w:pos="346" w:val="left" w:leader="none"/>
        </w:tabs>
        <w:spacing w:line="180" w:lineRule="exact" w:before="0" w:after="0"/>
        <w:ind w:left="345" w:right="0" w:hanging="217"/>
        <w:jc w:val="left"/>
        <w:rPr>
          <w:sz w:val="18"/>
        </w:rPr>
      </w:pPr>
      <w:r>
        <w:rPr>
          <w:spacing w:val="-5"/>
          <w:sz w:val="18"/>
        </w:rPr>
        <w:t>本品仅用于体外检测，使用前请仔细阅读本说明书。</w:t>
      </w:r>
    </w:p>
    <w:p>
      <w:pPr>
        <w:pStyle w:val="ListParagraph"/>
        <w:numPr>
          <w:ilvl w:val="0"/>
          <w:numId w:val="6"/>
        </w:numPr>
        <w:tabs>
          <w:tab w:pos="346" w:val="left" w:leader="none"/>
        </w:tabs>
        <w:spacing w:line="180" w:lineRule="exact" w:before="0" w:after="0"/>
        <w:ind w:left="345" w:right="0" w:hanging="217"/>
        <w:jc w:val="left"/>
        <w:rPr>
          <w:sz w:val="18"/>
        </w:rPr>
      </w:pPr>
      <w:r>
        <w:rPr>
          <w:spacing w:val="-5"/>
          <w:sz w:val="18"/>
        </w:rPr>
        <w:t>实验前请熟悉和掌握需使用的各种仪器的操作方法和注意事项，对每次实验进行质量控制。</w:t>
      </w:r>
    </w:p>
    <w:p>
      <w:pPr>
        <w:pStyle w:val="ListParagraph"/>
        <w:numPr>
          <w:ilvl w:val="0"/>
          <w:numId w:val="6"/>
        </w:numPr>
        <w:tabs>
          <w:tab w:pos="346" w:val="left" w:leader="none"/>
        </w:tabs>
        <w:spacing w:line="187" w:lineRule="auto" w:before="14" w:after="0"/>
        <w:ind w:left="343" w:right="200" w:hanging="214"/>
        <w:jc w:val="left"/>
        <w:rPr>
          <w:sz w:val="18"/>
        </w:rPr>
      </w:pPr>
      <w:r>
        <w:rPr>
          <w:spacing w:val="-1"/>
          <w:sz w:val="18"/>
        </w:rPr>
        <w:t>实验室管理应严格按照</w:t>
      </w:r>
      <w:r>
        <w:rPr>
          <w:rFonts w:ascii="Times New Roman" w:eastAsia="Times New Roman"/>
          <w:sz w:val="18"/>
        </w:rPr>
        <w:t>PCR</w:t>
      </w:r>
      <w:r>
        <w:rPr>
          <w:rFonts w:ascii="Times New Roman" w:eastAsia="Times New Roman"/>
          <w:spacing w:val="-9"/>
          <w:sz w:val="18"/>
        </w:rPr>
        <w:t> </w:t>
      </w:r>
      <w:r>
        <w:rPr>
          <w:spacing w:val="-9"/>
          <w:sz w:val="18"/>
        </w:rPr>
        <w:t>基因扩增实验室的管理规范，实验人员必须进行专业培训，实验过程严格分区进行，所用消耗品应灭</w:t>
      </w:r>
      <w:r>
        <w:rPr>
          <w:spacing w:val="-5"/>
          <w:sz w:val="18"/>
        </w:rPr>
        <w:t>菌后一次性使用，实验操作的每个阶段使用专用的仪器和设备，各区各阶段用品不能交叉使用。</w:t>
      </w:r>
    </w:p>
    <w:p>
      <w:pPr>
        <w:pStyle w:val="ListParagraph"/>
        <w:numPr>
          <w:ilvl w:val="0"/>
          <w:numId w:val="6"/>
        </w:numPr>
        <w:tabs>
          <w:tab w:pos="265" w:val="left" w:leader="none"/>
        </w:tabs>
        <w:spacing w:line="187" w:lineRule="auto" w:before="0" w:after="0"/>
        <w:ind w:left="343" w:right="129" w:hanging="214"/>
        <w:jc w:val="left"/>
        <w:rPr>
          <w:sz w:val="18"/>
        </w:rPr>
      </w:pPr>
      <w:r>
        <w:rPr>
          <w:spacing w:val="-5"/>
          <w:sz w:val="18"/>
        </w:rPr>
        <w:t>所有检测样品应视为具有传染性物质，实验过程中穿工作服，戴一次性手套并经常替换手套以避免样品间的交叉污染；样本操作、</w:t>
      </w:r>
      <w:r>
        <w:rPr>
          <w:spacing w:val="-7"/>
          <w:sz w:val="18"/>
        </w:rPr>
        <w:t>废弃物处理均需符合相关法规要求：卫生部《微生物生物医学实验室生物安全通用准则》和《医疗废物管理条例》。</w:t>
      </w:r>
    </w:p>
    <w:p>
      <w:pPr>
        <w:pStyle w:val="ListParagraph"/>
        <w:numPr>
          <w:ilvl w:val="0"/>
          <w:numId w:val="6"/>
        </w:numPr>
        <w:tabs>
          <w:tab w:pos="346" w:val="left" w:leader="none"/>
        </w:tabs>
        <w:spacing w:line="187" w:lineRule="auto" w:before="1" w:after="0"/>
        <w:ind w:left="343" w:right="111" w:hanging="214"/>
        <w:jc w:val="left"/>
        <w:rPr>
          <w:sz w:val="18"/>
        </w:rPr>
      </w:pPr>
      <w:r>
        <w:rPr>
          <w:spacing w:val="-11"/>
          <w:sz w:val="18"/>
        </w:rPr>
        <w:t>所有的试剂在使用前，均需在室温下充分融化、混匀后使用。提取样本核酸前，请确保提取试剂 </w:t>
      </w:r>
      <w:r>
        <w:rPr>
          <w:rFonts w:ascii="Times New Roman" w:hAnsi="Times New Roman" w:eastAsia="Times New Roman"/>
          <w:sz w:val="18"/>
        </w:rPr>
        <w:t>1</w:t>
      </w:r>
      <w:r>
        <w:rPr>
          <w:spacing w:val="-15"/>
          <w:sz w:val="18"/>
        </w:rPr>
        <w:t>、</w:t>
      </w:r>
      <w:r>
        <w:rPr>
          <w:rFonts w:ascii="Times New Roman" w:hAnsi="Times New Roman" w:eastAsia="Times New Roman"/>
          <w:sz w:val="18"/>
        </w:rPr>
        <w:t>2</w:t>
      </w:r>
      <w:r>
        <w:rPr>
          <w:spacing w:val="-15"/>
          <w:sz w:val="18"/>
        </w:rPr>
        <w:t>、</w:t>
      </w:r>
      <w:r>
        <w:rPr>
          <w:rFonts w:ascii="Times New Roman" w:hAnsi="Times New Roman" w:eastAsia="Times New Roman"/>
          <w:sz w:val="18"/>
        </w:rPr>
        <w:t>3</w:t>
      </w:r>
      <w:r>
        <w:rPr>
          <w:spacing w:val="-15"/>
          <w:sz w:val="18"/>
        </w:rPr>
        <w:t>、</w:t>
      </w:r>
      <w:r>
        <w:rPr>
          <w:rFonts w:ascii="Times New Roman" w:hAnsi="Times New Roman" w:eastAsia="Times New Roman"/>
          <w:sz w:val="18"/>
        </w:rPr>
        <w:t>4</w:t>
      </w:r>
      <w:r>
        <w:rPr>
          <w:rFonts w:ascii="Times New Roman" w:hAnsi="Times New Roman" w:eastAsia="Times New Roman"/>
          <w:spacing w:val="-4"/>
          <w:sz w:val="18"/>
        </w:rPr>
        <w:t> </w:t>
      </w:r>
      <w:r>
        <w:rPr>
          <w:spacing w:val="-5"/>
          <w:sz w:val="18"/>
        </w:rPr>
        <w:t>的温度平衡至室温或</w:t>
      </w:r>
      <w:r>
        <w:rPr>
          <w:spacing w:val="-14"/>
          <w:sz w:val="18"/>
        </w:rPr>
        <w:t>以上，建议室温放置 </w:t>
      </w:r>
      <w:r>
        <w:rPr>
          <w:rFonts w:ascii="Times New Roman" w:hAnsi="Times New Roman" w:eastAsia="Times New Roman"/>
          <w:sz w:val="18"/>
        </w:rPr>
        <w:t>1</w:t>
      </w:r>
      <w:r>
        <w:rPr>
          <w:rFonts w:ascii="Times New Roman" w:hAnsi="Times New Roman" w:eastAsia="Times New Roman"/>
          <w:spacing w:val="-3"/>
          <w:sz w:val="18"/>
        </w:rPr>
        <w:t> </w:t>
      </w:r>
      <w:r>
        <w:rPr>
          <w:spacing w:val="-11"/>
          <w:sz w:val="18"/>
        </w:rPr>
        <w:t>小时以上或置于 </w:t>
      </w:r>
      <w:r>
        <w:rPr>
          <w:rFonts w:ascii="Times New Roman" w:hAnsi="Times New Roman" w:eastAsia="Times New Roman"/>
          <w:spacing w:val="-2"/>
          <w:sz w:val="18"/>
        </w:rPr>
        <w:t>30</w:t>
      </w:r>
      <w:r>
        <w:rPr>
          <w:spacing w:val="-14"/>
          <w:sz w:val="18"/>
        </w:rPr>
        <w:t>℃ 水浴 </w:t>
      </w:r>
      <w:r>
        <w:rPr>
          <w:rFonts w:ascii="Times New Roman" w:hAnsi="Times New Roman" w:eastAsia="Times New Roman"/>
          <w:sz w:val="18"/>
        </w:rPr>
        <w:t>30</w:t>
      </w:r>
      <w:r>
        <w:rPr>
          <w:rFonts w:ascii="Times New Roman" w:hAnsi="Times New Roman" w:eastAsia="Times New Roman"/>
          <w:spacing w:val="-3"/>
          <w:sz w:val="18"/>
        </w:rPr>
        <w:t> </w:t>
      </w:r>
      <w:r>
        <w:rPr>
          <w:spacing w:val="-13"/>
          <w:sz w:val="18"/>
        </w:rPr>
        <w:t>分钟以上。静置的提取试剂 </w:t>
      </w:r>
      <w:r>
        <w:rPr>
          <w:rFonts w:ascii="Times New Roman" w:hAnsi="Times New Roman" w:eastAsia="Times New Roman"/>
          <w:sz w:val="18"/>
        </w:rPr>
        <w:t>1</w:t>
      </w:r>
      <w:r>
        <w:rPr>
          <w:rFonts w:ascii="Times New Roman" w:hAnsi="Times New Roman" w:eastAsia="Times New Roman"/>
          <w:spacing w:val="-3"/>
          <w:sz w:val="18"/>
        </w:rPr>
        <w:t> </w:t>
      </w:r>
      <w:r>
        <w:rPr>
          <w:spacing w:val="-11"/>
          <w:sz w:val="18"/>
        </w:rPr>
        <w:t>会形成棕色沉淀，使用前须充分混匀。反应液、</w:t>
      </w:r>
      <w:r>
        <w:rPr>
          <w:spacing w:val="-5"/>
          <w:sz w:val="18"/>
        </w:rPr>
        <w:t>增强剂、洗脱液、内标易粘着于管壁，使用前请瞬时离心数秒。</w:t>
      </w:r>
    </w:p>
    <w:p>
      <w:pPr>
        <w:pStyle w:val="ListParagraph"/>
        <w:numPr>
          <w:ilvl w:val="0"/>
          <w:numId w:val="6"/>
        </w:numPr>
        <w:tabs>
          <w:tab w:pos="346" w:val="left" w:leader="none"/>
        </w:tabs>
        <w:spacing w:line="166" w:lineRule="exact" w:before="0" w:after="0"/>
        <w:ind w:left="345" w:right="0" w:hanging="217"/>
        <w:jc w:val="left"/>
        <w:rPr>
          <w:sz w:val="18"/>
        </w:rPr>
      </w:pPr>
      <w:r>
        <w:rPr>
          <w:spacing w:val="4"/>
          <w:sz w:val="18"/>
        </w:rPr>
        <w:t>若实时荧光</w:t>
      </w:r>
      <w:r>
        <w:rPr>
          <w:rFonts w:ascii="Times New Roman" w:eastAsia="Times New Roman"/>
          <w:sz w:val="18"/>
        </w:rPr>
        <w:t>PCR</w:t>
      </w:r>
      <w:r>
        <w:rPr>
          <w:rFonts w:ascii="Times New Roman" w:eastAsia="Times New Roman"/>
          <w:spacing w:val="-6"/>
          <w:sz w:val="18"/>
        </w:rPr>
        <w:t> </w:t>
      </w:r>
      <w:r>
        <w:rPr>
          <w:spacing w:val="-6"/>
          <w:sz w:val="18"/>
        </w:rPr>
        <w:t>仪仅有双通道 </w:t>
      </w:r>
      <w:r>
        <w:rPr>
          <w:rFonts w:ascii="Times New Roman" w:eastAsia="Times New Roman"/>
          <w:sz w:val="18"/>
        </w:rPr>
        <w:t>(</w:t>
      </w:r>
      <w:r>
        <w:rPr>
          <w:spacing w:val="38"/>
          <w:sz w:val="18"/>
        </w:rPr>
        <w:t>如</w:t>
      </w:r>
      <w:r>
        <w:rPr>
          <w:rFonts w:ascii="Times New Roman" w:eastAsia="Times New Roman"/>
          <w:spacing w:val="-6"/>
          <w:sz w:val="18"/>
        </w:rPr>
        <w:t>FAM</w:t>
      </w:r>
      <w:r>
        <w:rPr>
          <w:rFonts w:ascii="Times New Roman" w:eastAsia="Times New Roman"/>
          <w:spacing w:val="-2"/>
          <w:sz w:val="18"/>
        </w:rPr>
        <w:t> </w:t>
      </w:r>
      <w:r>
        <w:rPr>
          <w:spacing w:val="-5"/>
          <w:sz w:val="18"/>
        </w:rPr>
        <w:t>和 </w:t>
      </w:r>
      <w:r>
        <w:rPr>
          <w:rFonts w:ascii="Times New Roman" w:eastAsia="Times New Roman"/>
          <w:spacing w:val="-3"/>
          <w:sz w:val="18"/>
        </w:rPr>
        <w:t>HEX)</w:t>
      </w:r>
      <w:r>
        <w:rPr>
          <w:spacing w:val="-5"/>
          <w:sz w:val="18"/>
        </w:rPr>
        <w:t>，可忽略参比监测。</w:t>
      </w:r>
    </w:p>
    <w:p>
      <w:pPr>
        <w:pStyle w:val="ListParagraph"/>
        <w:numPr>
          <w:ilvl w:val="0"/>
          <w:numId w:val="6"/>
        </w:numPr>
        <w:tabs>
          <w:tab w:pos="346" w:val="left" w:leader="none"/>
        </w:tabs>
        <w:spacing w:line="187" w:lineRule="auto" w:before="14" w:after="0"/>
        <w:ind w:left="343" w:right="202" w:hanging="214"/>
        <w:jc w:val="left"/>
        <w:rPr>
          <w:sz w:val="18"/>
        </w:rPr>
      </w:pPr>
      <w:r>
        <w:rPr>
          <w:spacing w:val="-5"/>
          <w:sz w:val="18"/>
        </w:rPr>
        <w:t>对于检测为阴性的样本，应查看内标的扩增信号是否正常，内标不正常则为假阴性结果，可能由于实验操作、检测试剂、抑制性样本等因素导致。对于假阴性样本，建议复检或稀释后复检；对于阳性检测样本，内标的扩增信号可不予考虑。</w:t>
      </w:r>
    </w:p>
    <w:p>
      <w:pPr>
        <w:pStyle w:val="ListParagraph"/>
        <w:numPr>
          <w:ilvl w:val="0"/>
          <w:numId w:val="6"/>
        </w:numPr>
        <w:tabs>
          <w:tab w:pos="346" w:val="left" w:leader="none"/>
        </w:tabs>
        <w:spacing w:line="166" w:lineRule="exact" w:before="0" w:after="0"/>
        <w:ind w:left="345" w:right="0" w:hanging="217"/>
        <w:jc w:val="left"/>
        <w:rPr>
          <w:sz w:val="18"/>
        </w:rPr>
      </w:pPr>
      <w:r>
        <w:rPr>
          <w:spacing w:val="-1"/>
          <w:sz w:val="18"/>
        </w:rPr>
        <w:t>由于丙型肝炎病毒为</w:t>
      </w:r>
      <w:r>
        <w:rPr>
          <w:rFonts w:ascii="Times New Roman" w:eastAsia="Times New Roman"/>
          <w:sz w:val="18"/>
        </w:rPr>
        <w:t>RNA</w:t>
      </w:r>
      <w:r>
        <w:rPr>
          <w:rFonts w:ascii="Times New Roman" w:eastAsia="Times New Roman"/>
          <w:spacing w:val="-4"/>
          <w:sz w:val="18"/>
        </w:rPr>
        <w:t> </w:t>
      </w:r>
      <w:r>
        <w:rPr>
          <w:spacing w:val="-2"/>
          <w:sz w:val="18"/>
        </w:rPr>
        <w:t>病毒，操作过程中应注意防止</w:t>
      </w:r>
      <w:r>
        <w:rPr>
          <w:rFonts w:ascii="Times New Roman" w:eastAsia="Times New Roman"/>
          <w:sz w:val="18"/>
        </w:rPr>
        <w:t>RNase</w:t>
      </w:r>
      <w:r>
        <w:rPr>
          <w:rFonts w:ascii="Times New Roman" w:eastAsia="Times New Roman"/>
          <w:spacing w:val="-5"/>
          <w:sz w:val="18"/>
        </w:rPr>
        <w:t> </w:t>
      </w:r>
      <w:r>
        <w:rPr>
          <w:spacing w:val="40"/>
          <w:sz w:val="18"/>
        </w:rPr>
        <w:t>对</w:t>
      </w:r>
      <w:r>
        <w:rPr>
          <w:rFonts w:ascii="Times New Roman" w:eastAsia="Times New Roman"/>
          <w:sz w:val="18"/>
        </w:rPr>
        <w:t>RNA</w:t>
      </w:r>
      <w:r>
        <w:rPr>
          <w:rFonts w:ascii="Times New Roman" w:eastAsia="Times New Roman"/>
          <w:spacing w:val="-5"/>
          <w:sz w:val="18"/>
        </w:rPr>
        <w:t> </w:t>
      </w:r>
      <w:r>
        <w:rPr>
          <w:spacing w:val="1"/>
          <w:sz w:val="18"/>
        </w:rPr>
        <w:t>的降解，选择无</w:t>
      </w:r>
      <w:r>
        <w:rPr>
          <w:rFonts w:ascii="Times New Roman" w:eastAsia="Times New Roman"/>
          <w:spacing w:val="-3"/>
          <w:sz w:val="18"/>
        </w:rPr>
        <w:t>RNase</w:t>
      </w:r>
      <w:r>
        <w:rPr>
          <w:rFonts w:ascii="Times New Roman" w:eastAsia="Times New Roman"/>
          <w:spacing w:val="-4"/>
          <w:sz w:val="18"/>
        </w:rPr>
        <w:t> </w:t>
      </w:r>
      <w:r>
        <w:rPr>
          <w:spacing w:val="-5"/>
          <w:sz w:val="18"/>
        </w:rPr>
        <w:t>的的实验耗材。</w:t>
      </w:r>
    </w:p>
    <w:p>
      <w:pPr>
        <w:pStyle w:val="ListParagraph"/>
        <w:numPr>
          <w:ilvl w:val="0"/>
          <w:numId w:val="6"/>
        </w:numPr>
        <w:tabs>
          <w:tab w:pos="346" w:val="left" w:leader="none"/>
        </w:tabs>
        <w:spacing w:line="180" w:lineRule="exact" w:before="0" w:after="0"/>
        <w:ind w:left="345" w:right="0" w:hanging="217"/>
        <w:jc w:val="left"/>
        <w:rPr>
          <w:sz w:val="18"/>
        </w:rPr>
      </w:pPr>
      <w:r>
        <w:rPr>
          <w:spacing w:val="-10"/>
          <w:sz w:val="18"/>
        </w:rPr>
        <w:t>采用泡沫加冰运输 </w:t>
      </w:r>
      <w:r>
        <w:rPr>
          <w:rFonts w:ascii="Times New Roman" w:eastAsia="Times New Roman"/>
          <w:sz w:val="18"/>
        </w:rPr>
        <w:t>5</w:t>
      </w:r>
      <w:r>
        <w:rPr>
          <w:rFonts w:ascii="Times New Roman" w:eastAsia="Times New Roman"/>
          <w:spacing w:val="-3"/>
          <w:sz w:val="18"/>
        </w:rPr>
        <w:t> </w:t>
      </w:r>
      <w:r>
        <w:rPr>
          <w:spacing w:val="-5"/>
          <w:sz w:val="18"/>
        </w:rPr>
        <w:t>天不会影响产品效期。</w:t>
      </w:r>
    </w:p>
    <w:p>
      <w:pPr>
        <w:pStyle w:val="Heading1"/>
        <w:spacing w:line="186" w:lineRule="exact"/>
        <w:ind w:left="129"/>
      </w:pPr>
      <w:r>
        <w:rPr/>
        <w:t>【参考文献】</w:t>
      </w:r>
    </w:p>
    <w:p>
      <w:pPr>
        <w:pStyle w:val="BodyText"/>
        <w:spacing w:line="208" w:lineRule="auto" w:before="2"/>
        <w:ind w:right="521"/>
        <w:rPr>
          <w:rFonts w:ascii="Times New Roman"/>
        </w:rPr>
      </w:pPr>
      <w:r>
        <w:rPr>
          <w:rFonts w:ascii="Times New Roman"/>
        </w:rPr>
        <w:t>1.Lindh M, Hannoun C, et al. Genotyping of hepatitis C virus by </w:t>
      </w:r>
      <w:r>
        <w:rPr>
          <w:rFonts w:ascii="Times New Roman"/>
          <w:spacing w:val="-3"/>
        </w:rPr>
        <w:t>Taqman </w:t>
      </w:r>
      <w:r>
        <w:rPr>
          <w:rFonts w:ascii="Times New Roman"/>
        </w:rPr>
        <w:t>real-time PCR. J Clin Virol. 2005 </w:t>
      </w:r>
      <w:r>
        <w:rPr>
          <w:rFonts w:ascii="Times New Roman"/>
          <w:spacing w:val="-3"/>
        </w:rPr>
        <w:t>Oct;34(2):108-14. 2.Nakatani</w:t>
      </w:r>
      <w:r>
        <w:rPr>
          <w:rFonts w:ascii="Times New Roman"/>
          <w:spacing w:val="-10"/>
        </w:rPr>
        <w:t> </w:t>
      </w:r>
      <w:r>
        <w:rPr>
          <w:rFonts w:ascii="Times New Roman"/>
        </w:rPr>
        <w:t>SM,</w:t>
      </w:r>
      <w:r>
        <w:rPr>
          <w:rFonts w:ascii="Times New Roman"/>
          <w:spacing w:val="-7"/>
        </w:rPr>
        <w:t> </w:t>
      </w:r>
      <w:r>
        <w:rPr>
          <w:rFonts w:ascii="Times New Roman"/>
        </w:rPr>
        <w:t>Santos</w:t>
      </w:r>
      <w:r>
        <w:rPr>
          <w:rFonts w:ascii="Times New Roman"/>
          <w:spacing w:val="-8"/>
        </w:rPr>
        <w:t> </w:t>
      </w:r>
      <w:r>
        <w:rPr>
          <w:rFonts w:ascii="Times New Roman"/>
        </w:rPr>
        <w:t>CA,</w:t>
      </w:r>
      <w:r>
        <w:rPr>
          <w:rFonts w:ascii="Times New Roman"/>
          <w:spacing w:val="-7"/>
        </w:rPr>
        <w:t> </w:t>
      </w:r>
      <w:r>
        <w:rPr>
          <w:rFonts w:ascii="Times New Roman"/>
        </w:rPr>
        <w:t>et</w:t>
      </w:r>
      <w:r>
        <w:rPr>
          <w:rFonts w:ascii="Times New Roman"/>
          <w:spacing w:val="-10"/>
        </w:rPr>
        <w:t> </w:t>
      </w:r>
      <w:r>
        <w:rPr>
          <w:rFonts w:ascii="Times New Roman"/>
          <w:spacing w:val="-3"/>
        </w:rPr>
        <w:t>al.Development</w:t>
      </w:r>
      <w:r>
        <w:rPr>
          <w:rFonts w:ascii="Times New Roman"/>
          <w:spacing w:val="-6"/>
        </w:rPr>
        <w:t> </w:t>
      </w:r>
      <w:r>
        <w:rPr>
          <w:rFonts w:ascii="Times New Roman"/>
        </w:rPr>
        <w:t>of</w:t>
      </w:r>
      <w:r>
        <w:rPr>
          <w:rFonts w:ascii="Times New Roman"/>
          <w:spacing w:val="-10"/>
        </w:rPr>
        <w:t> </w:t>
      </w:r>
      <w:r>
        <w:rPr>
          <w:rFonts w:ascii="Times New Roman"/>
          <w:spacing w:val="-3"/>
        </w:rPr>
        <w:t>Hepatitis</w:t>
      </w:r>
      <w:r>
        <w:rPr>
          <w:rFonts w:ascii="Times New Roman"/>
          <w:spacing w:val="-6"/>
        </w:rPr>
        <w:t> </w:t>
      </w:r>
      <w:r>
        <w:rPr>
          <w:rFonts w:ascii="Times New Roman"/>
        </w:rPr>
        <w:t>C</w:t>
      </w:r>
      <w:r>
        <w:rPr>
          <w:rFonts w:ascii="Times New Roman"/>
          <w:spacing w:val="-8"/>
        </w:rPr>
        <w:t> </w:t>
      </w:r>
      <w:r>
        <w:rPr>
          <w:rFonts w:ascii="Times New Roman"/>
        </w:rPr>
        <w:t>Virus</w:t>
      </w:r>
      <w:r>
        <w:rPr>
          <w:rFonts w:ascii="Times New Roman"/>
          <w:spacing w:val="-11"/>
        </w:rPr>
        <w:t> </w:t>
      </w:r>
      <w:r>
        <w:rPr>
          <w:rFonts w:ascii="Times New Roman"/>
        </w:rPr>
        <w:t>Genotyping</w:t>
      </w:r>
      <w:r>
        <w:rPr>
          <w:rFonts w:ascii="Times New Roman"/>
          <w:spacing w:val="-8"/>
        </w:rPr>
        <w:t> </w:t>
      </w:r>
      <w:r>
        <w:rPr>
          <w:rFonts w:ascii="Times New Roman"/>
        </w:rPr>
        <w:t>by</w:t>
      </w:r>
      <w:r>
        <w:rPr>
          <w:rFonts w:ascii="Times New Roman"/>
          <w:spacing w:val="-9"/>
        </w:rPr>
        <w:t> </w:t>
      </w:r>
      <w:r>
        <w:rPr>
          <w:rFonts w:ascii="Times New Roman"/>
          <w:spacing w:val="-3"/>
        </w:rPr>
        <w:t>Real-Time</w:t>
      </w:r>
      <w:r>
        <w:rPr>
          <w:rFonts w:ascii="Times New Roman"/>
          <w:spacing w:val="-8"/>
        </w:rPr>
        <w:t> </w:t>
      </w:r>
      <w:r>
        <w:rPr>
          <w:rFonts w:ascii="Times New Roman"/>
        </w:rPr>
        <w:t>PCR</w:t>
      </w:r>
      <w:r>
        <w:rPr>
          <w:rFonts w:ascii="Times New Roman"/>
          <w:spacing w:val="-10"/>
        </w:rPr>
        <w:t> </w:t>
      </w:r>
      <w:r>
        <w:rPr>
          <w:rFonts w:ascii="Times New Roman"/>
        </w:rPr>
        <w:t>Based</w:t>
      </w:r>
      <w:r>
        <w:rPr>
          <w:rFonts w:ascii="Times New Roman"/>
          <w:spacing w:val="-8"/>
        </w:rPr>
        <w:t> </w:t>
      </w:r>
      <w:r>
        <w:rPr>
          <w:rFonts w:ascii="Times New Roman"/>
        </w:rPr>
        <w:t>on</w:t>
      </w:r>
      <w:r>
        <w:rPr>
          <w:rFonts w:ascii="Times New Roman"/>
          <w:spacing w:val="-9"/>
        </w:rPr>
        <w:t> </w:t>
      </w:r>
      <w:r>
        <w:rPr>
          <w:rFonts w:ascii="Times New Roman"/>
        </w:rPr>
        <w:t>the</w:t>
      </w:r>
      <w:r>
        <w:rPr>
          <w:rFonts w:ascii="Times New Roman"/>
          <w:spacing w:val="-11"/>
        </w:rPr>
        <w:t> </w:t>
      </w:r>
      <w:r>
        <w:rPr>
          <w:rFonts w:ascii="Times New Roman"/>
        </w:rPr>
        <w:t>NS5B</w:t>
      </w:r>
      <w:r>
        <w:rPr>
          <w:rFonts w:ascii="Times New Roman"/>
          <w:spacing w:val="-8"/>
        </w:rPr>
        <w:t> </w:t>
      </w:r>
      <w:r>
        <w:rPr>
          <w:rFonts w:ascii="Times New Roman"/>
        </w:rPr>
        <w:t>Region</w:t>
      </w:r>
      <w:r>
        <w:rPr>
          <w:rFonts w:ascii="Times New Roman"/>
          <w:spacing w:val="-10"/>
        </w:rPr>
        <w:t> </w:t>
      </w:r>
      <w:r>
        <w:rPr>
          <w:rFonts w:ascii="Times New Roman"/>
        </w:rPr>
        <w:t>PLoS One.2010 Apr</w:t>
      </w:r>
      <w:r>
        <w:rPr>
          <w:rFonts w:ascii="Times New Roman"/>
          <w:spacing w:val="-14"/>
        </w:rPr>
        <w:t> </w:t>
      </w:r>
      <w:r>
        <w:rPr>
          <w:rFonts w:ascii="Times New Roman"/>
          <w:spacing w:val="-3"/>
        </w:rPr>
        <w:t>13;5(4):e10150.</w:t>
      </w:r>
    </w:p>
    <w:p>
      <w:pPr>
        <w:pStyle w:val="BodyText"/>
        <w:spacing w:line="208" w:lineRule="auto"/>
        <w:ind w:left="163" w:hanging="36"/>
        <w:rPr>
          <w:rFonts w:ascii="Times New Roman"/>
        </w:rPr>
      </w:pPr>
      <w:r>
        <w:rPr>
          <w:rFonts w:ascii="Times New Roman"/>
        </w:rPr>
        <w:t>3.</w:t>
      </w:r>
      <w:r>
        <w:rPr>
          <w:rFonts w:ascii="Times New Roman"/>
          <w:spacing w:val="15"/>
        </w:rPr>
        <w:t> </w:t>
      </w:r>
      <w:r>
        <w:rPr>
          <w:rFonts w:ascii="Times New Roman"/>
        </w:rPr>
        <w:t>Rolfe</w:t>
      </w:r>
      <w:r>
        <w:rPr>
          <w:rFonts w:ascii="Times New Roman"/>
          <w:spacing w:val="-12"/>
        </w:rPr>
        <w:t> </w:t>
      </w:r>
      <w:r>
        <w:rPr>
          <w:rFonts w:ascii="Times New Roman"/>
        </w:rPr>
        <w:t>KJ,</w:t>
      </w:r>
      <w:r>
        <w:rPr>
          <w:rFonts w:ascii="Times New Roman"/>
          <w:spacing w:val="-12"/>
        </w:rPr>
        <w:t> </w:t>
      </w:r>
      <w:r>
        <w:rPr>
          <w:rFonts w:ascii="Times New Roman"/>
        </w:rPr>
        <w:t>Wreghitt</w:t>
      </w:r>
      <w:r>
        <w:rPr>
          <w:rFonts w:ascii="Times New Roman"/>
          <w:spacing w:val="-13"/>
        </w:rPr>
        <w:t> </w:t>
      </w:r>
      <w:r>
        <w:rPr>
          <w:rFonts w:ascii="Times New Roman"/>
        </w:rPr>
        <w:t>TG,</w:t>
      </w:r>
      <w:r>
        <w:rPr>
          <w:rFonts w:ascii="Times New Roman"/>
          <w:spacing w:val="-10"/>
        </w:rPr>
        <w:t> </w:t>
      </w:r>
      <w:r>
        <w:rPr>
          <w:rFonts w:ascii="Times New Roman"/>
        </w:rPr>
        <w:t>et</w:t>
      </w:r>
      <w:r>
        <w:rPr>
          <w:rFonts w:ascii="Times New Roman"/>
          <w:spacing w:val="-10"/>
        </w:rPr>
        <w:t> </w:t>
      </w:r>
      <w:r>
        <w:rPr>
          <w:rFonts w:ascii="Times New Roman"/>
        </w:rPr>
        <w:t>al.</w:t>
      </w:r>
      <w:r>
        <w:rPr>
          <w:rFonts w:ascii="Times New Roman"/>
          <w:spacing w:val="-12"/>
        </w:rPr>
        <w:t> </w:t>
      </w:r>
      <w:r>
        <w:rPr>
          <w:rFonts w:ascii="Times New Roman"/>
        </w:rPr>
        <w:t>A</w:t>
      </w:r>
      <w:r>
        <w:rPr>
          <w:rFonts w:ascii="Times New Roman"/>
          <w:spacing w:val="-12"/>
        </w:rPr>
        <w:t> </w:t>
      </w:r>
      <w:r>
        <w:rPr>
          <w:rFonts w:ascii="Times New Roman"/>
        </w:rPr>
        <w:t>real-time</w:t>
      </w:r>
      <w:r>
        <w:rPr>
          <w:rFonts w:ascii="Times New Roman"/>
          <w:spacing w:val="-9"/>
        </w:rPr>
        <w:t> </w:t>
      </w:r>
      <w:r>
        <w:rPr>
          <w:rFonts w:ascii="Times New Roman"/>
          <w:spacing w:val="-3"/>
        </w:rPr>
        <w:t>Taqman</w:t>
      </w:r>
      <w:r>
        <w:rPr>
          <w:rFonts w:ascii="Times New Roman"/>
          <w:spacing w:val="-12"/>
        </w:rPr>
        <w:t> </w:t>
      </w:r>
      <w:r>
        <w:rPr>
          <w:rFonts w:ascii="Times New Roman"/>
        </w:rPr>
        <w:t>method</w:t>
      </w:r>
      <w:r>
        <w:rPr>
          <w:rFonts w:ascii="Times New Roman"/>
          <w:spacing w:val="-12"/>
        </w:rPr>
        <w:t> </w:t>
      </w:r>
      <w:r>
        <w:rPr>
          <w:rFonts w:ascii="Times New Roman"/>
        </w:rPr>
        <w:t>for</w:t>
      </w:r>
      <w:r>
        <w:rPr>
          <w:rFonts w:ascii="Times New Roman"/>
          <w:spacing w:val="-12"/>
        </w:rPr>
        <w:t> </w:t>
      </w:r>
      <w:r>
        <w:rPr>
          <w:rFonts w:ascii="Times New Roman"/>
        </w:rPr>
        <w:t>hepatitis</w:t>
      </w:r>
      <w:r>
        <w:rPr>
          <w:rFonts w:ascii="Times New Roman"/>
          <w:spacing w:val="-13"/>
        </w:rPr>
        <w:t> </w:t>
      </w:r>
      <w:r>
        <w:rPr>
          <w:rFonts w:ascii="Times New Roman"/>
        </w:rPr>
        <w:t>C</w:t>
      </w:r>
      <w:r>
        <w:rPr>
          <w:rFonts w:ascii="Times New Roman"/>
          <w:spacing w:val="-8"/>
        </w:rPr>
        <w:t> </w:t>
      </w:r>
      <w:r>
        <w:rPr>
          <w:rFonts w:ascii="Times New Roman"/>
        </w:rPr>
        <w:t>virus</w:t>
      </w:r>
      <w:r>
        <w:rPr>
          <w:rFonts w:ascii="Times New Roman"/>
          <w:spacing w:val="-14"/>
        </w:rPr>
        <w:t> </w:t>
      </w:r>
      <w:r>
        <w:rPr>
          <w:rFonts w:ascii="Times New Roman"/>
        </w:rPr>
        <w:t>genotyping</w:t>
      </w:r>
      <w:r>
        <w:rPr>
          <w:rFonts w:ascii="Times New Roman"/>
          <w:spacing w:val="-14"/>
        </w:rPr>
        <w:t> </w:t>
      </w:r>
      <w:r>
        <w:rPr>
          <w:rFonts w:ascii="Times New Roman"/>
        </w:rPr>
        <w:t>and</w:t>
      </w:r>
      <w:r>
        <w:rPr>
          <w:rFonts w:ascii="Times New Roman"/>
          <w:spacing w:val="-12"/>
        </w:rPr>
        <w:t> </w:t>
      </w:r>
      <w:r>
        <w:rPr>
          <w:rFonts w:ascii="Times New Roman"/>
        </w:rPr>
        <w:t>methods</w:t>
      </w:r>
      <w:r>
        <w:rPr>
          <w:rFonts w:ascii="Times New Roman"/>
          <w:spacing w:val="-14"/>
        </w:rPr>
        <w:t> </w:t>
      </w:r>
      <w:r>
        <w:rPr>
          <w:rFonts w:ascii="Times New Roman"/>
        </w:rPr>
        <w:t>for</w:t>
      </w:r>
      <w:r>
        <w:rPr>
          <w:rFonts w:ascii="Times New Roman"/>
          <w:spacing w:val="-11"/>
        </w:rPr>
        <w:t> </w:t>
      </w:r>
      <w:r>
        <w:rPr>
          <w:rFonts w:ascii="Times New Roman"/>
        </w:rPr>
        <w:t>further</w:t>
      </w:r>
      <w:r>
        <w:rPr>
          <w:rFonts w:ascii="Times New Roman"/>
          <w:spacing w:val="-13"/>
        </w:rPr>
        <w:t> </w:t>
      </w:r>
      <w:r>
        <w:rPr>
          <w:rFonts w:ascii="Times New Roman"/>
        </w:rPr>
        <w:t>subtyping</w:t>
      </w:r>
      <w:r>
        <w:rPr>
          <w:rFonts w:ascii="Times New Roman"/>
          <w:spacing w:val="-14"/>
        </w:rPr>
        <w:t> </w:t>
      </w:r>
      <w:r>
        <w:rPr>
          <w:rFonts w:ascii="Times New Roman"/>
        </w:rPr>
        <w:t>of</w:t>
      </w:r>
      <w:r>
        <w:rPr>
          <w:rFonts w:ascii="Times New Roman"/>
          <w:spacing w:val="-11"/>
        </w:rPr>
        <w:t> </w:t>
      </w:r>
      <w:r>
        <w:rPr>
          <w:rFonts w:ascii="Times New Roman"/>
          <w:spacing w:val="-2"/>
        </w:rPr>
        <w:t>isolates. </w:t>
      </w:r>
      <w:r>
        <w:rPr>
          <w:rFonts w:ascii="Times New Roman"/>
        </w:rPr>
        <w:t>Methods Mol Biol.</w:t>
      </w:r>
      <w:r>
        <w:rPr>
          <w:rFonts w:ascii="Times New Roman"/>
          <w:spacing w:val="-22"/>
        </w:rPr>
        <w:t> </w:t>
      </w:r>
      <w:r>
        <w:rPr>
          <w:rFonts w:ascii="Times New Roman"/>
          <w:spacing w:val="-3"/>
        </w:rPr>
        <w:t>2009;510:55-71.</w:t>
      </w:r>
    </w:p>
    <w:p>
      <w:pPr>
        <w:pStyle w:val="Heading1"/>
        <w:spacing w:line="171" w:lineRule="exact"/>
      </w:pPr>
      <w:r>
        <w:rPr/>
        <w:t>【基本信息】</w:t>
      </w:r>
    </w:p>
    <w:p>
      <w:pPr>
        <w:pStyle w:val="BodyText"/>
        <w:spacing w:line="187" w:lineRule="auto" w:before="14"/>
        <w:ind w:left="129" w:right="6290"/>
      </w:pPr>
      <w:r>
        <w:rPr/>
        <w:t>注册人</w:t>
      </w:r>
      <w:r>
        <w:rPr>
          <w:rFonts w:ascii="Times New Roman" w:eastAsia="Times New Roman"/>
        </w:rPr>
        <w:t>/</w:t>
      </w:r>
      <w:r>
        <w:rPr/>
        <w:t>生产企业名称：圣湘生物科技股份有限公司住所：长沙高新技术产业开发区麓松路 </w:t>
      </w:r>
      <w:r>
        <w:rPr>
          <w:rFonts w:ascii="Times New Roman" w:eastAsia="Times New Roman"/>
        </w:rPr>
        <w:t>680 </w:t>
      </w:r>
      <w:r>
        <w:rPr/>
        <w:t>号</w:t>
      </w:r>
    </w:p>
    <w:p>
      <w:pPr>
        <w:pStyle w:val="BodyText"/>
        <w:tabs>
          <w:tab w:pos="2464" w:val="left" w:leader="none"/>
        </w:tabs>
        <w:spacing w:line="166" w:lineRule="exact"/>
        <w:ind w:left="129"/>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ind w:left="129"/>
      </w:pPr>
      <w:r>
        <w:rPr/>
        <w:t>售后服务单位名称：圣湘生物科技股份有限公司</w:t>
      </w:r>
    </w:p>
    <w:p>
      <w:pPr>
        <w:pStyle w:val="BodyText"/>
        <w:tabs>
          <w:tab w:pos="2464" w:val="left" w:leader="none"/>
        </w:tabs>
        <w:ind w:left="129"/>
        <w:rPr>
          <w:rFonts w:ascii="Times New Roman" w:eastAsia="Times New Roman"/>
        </w:rPr>
      </w:pPr>
      <w:r>
        <w:rPr>
          <w:spacing w:val="-5"/>
        </w:rPr>
        <w:t>联</w:t>
      </w:r>
      <w:r>
        <w:rPr>
          <w:spacing w:val="-3"/>
        </w:rPr>
        <w:t>系</w:t>
      </w:r>
      <w:r>
        <w:rPr>
          <w:spacing w:val="-5"/>
        </w:rPr>
        <w:t>方式</w:t>
      </w:r>
      <w:r>
        <w:rPr>
          <w:spacing w:val="-3"/>
        </w:rPr>
        <w:t>：</w:t>
      </w:r>
      <w:r>
        <w:rPr>
          <w:rFonts w:ascii="Times New Roman" w:eastAsia="Times New Roman"/>
          <w:spacing w:val="-3"/>
        </w:rPr>
        <w:t>0731-88883176</w:t>
        <w:tab/>
      </w:r>
      <w:r>
        <w:rPr>
          <w:spacing w:val="-5"/>
        </w:rPr>
        <w:t>传</w:t>
      </w:r>
      <w:r>
        <w:rPr>
          <w:spacing w:val="-3"/>
        </w:rPr>
        <w:t>真</w:t>
      </w:r>
      <w:r>
        <w:rPr>
          <w:spacing w:val="-5"/>
        </w:rPr>
        <w:t>号码</w:t>
      </w:r>
      <w:r>
        <w:rPr>
          <w:spacing w:val="-3"/>
        </w:rPr>
        <w:t>：</w:t>
      </w:r>
      <w:r>
        <w:rPr>
          <w:rFonts w:ascii="Times New Roman" w:eastAsia="Times New Roman"/>
          <w:spacing w:val="-3"/>
        </w:rPr>
        <w:t>0731-88884876</w:t>
      </w:r>
    </w:p>
    <w:p>
      <w:pPr>
        <w:pStyle w:val="BodyText"/>
        <w:ind w:left="129"/>
      </w:pPr>
      <w:r>
        <w:rPr/>
        <w:t>生产地址：长沙高新技术产业开发区麓松路 </w:t>
      </w:r>
      <w:r>
        <w:rPr>
          <w:rFonts w:ascii="Times New Roman" w:eastAsia="Times New Roman"/>
        </w:rPr>
        <w:t>680 </w:t>
      </w:r>
      <w:r>
        <w:rPr/>
        <w:t>号</w:t>
      </w:r>
    </w:p>
    <w:p>
      <w:pPr>
        <w:pStyle w:val="BodyText"/>
        <w:ind w:left="129"/>
      </w:pPr>
      <w:r>
        <w:rPr/>
        <w:t>生产许可证编号：湘食药监械生产许 </w:t>
      </w:r>
      <w:r>
        <w:rPr>
          <w:rFonts w:ascii="Times New Roman" w:eastAsia="Times New Roman"/>
        </w:rPr>
        <w:t>20150036 </w:t>
      </w:r>
      <w:r>
        <w:rPr/>
        <w:t>号</w:t>
      </w:r>
    </w:p>
    <w:p>
      <w:pPr>
        <w:pStyle w:val="Heading1"/>
        <w:rPr>
          <w:rFonts w:ascii="Times New Roman" w:eastAsia="Times New Roman"/>
        </w:rPr>
      </w:pPr>
      <w:r>
        <w:rPr/>
        <w:t>【医疗器械注册证编号</w:t>
      </w:r>
      <w:r>
        <w:rPr>
          <w:rFonts w:ascii="Times New Roman" w:eastAsia="Times New Roman"/>
        </w:rPr>
        <w:t>/</w:t>
      </w:r>
      <w:r>
        <w:rPr/>
        <w:t>产品技术要求编号】国械注准 </w:t>
      </w:r>
      <w:r>
        <w:rPr>
          <w:rFonts w:ascii="Times New Roman" w:eastAsia="Times New Roman"/>
        </w:rPr>
        <w:t>20193400697</w:t>
      </w:r>
    </w:p>
    <w:p>
      <w:pPr>
        <w:spacing w:line="205" w:lineRule="exact" w:before="0"/>
        <w:ind w:left="127" w:right="0" w:firstLine="0"/>
        <w:jc w:val="left"/>
        <w:rPr>
          <w:b/>
          <w:sz w:val="18"/>
        </w:rPr>
      </w:pPr>
      <w:r>
        <w:rPr>
          <w:b/>
          <w:sz w:val="18"/>
        </w:rPr>
        <w:t>【说明书核准日期及修改日期】</w:t>
      </w:r>
      <w:r>
        <w:rPr>
          <w:rFonts w:ascii="Times New Roman" w:eastAsia="Times New Roman"/>
          <w:b/>
          <w:sz w:val="18"/>
        </w:rPr>
        <w:t>2019 </w:t>
      </w:r>
      <w:r>
        <w:rPr>
          <w:b/>
          <w:sz w:val="18"/>
        </w:rPr>
        <w:t>年 </w:t>
      </w:r>
      <w:r>
        <w:rPr>
          <w:rFonts w:ascii="Times New Roman" w:eastAsia="Times New Roman"/>
          <w:b/>
          <w:sz w:val="18"/>
        </w:rPr>
        <w:t>10 </w:t>
      </w:r>
      <w:r>
        <w:rPr>
          <w:b/>
          <w:sz w:val="18"/>
        </w:rPr>
        <w:t>月 </w:t>
      </w:r>
      <w:r>
        <w:rPr>
          <w:rFonts w:ascii="Times New Roman" w:eastAsia="Times New Roman"/>
          <w:b/>
          <w:sz w:val="18"/>
        </w:rPr>
        <w:t>31 </w:t>
      </w:r>
      <w:r>
        <w:rPr>
          <w:b/>
          <w:sz w:val="18"/>
        </w:rPr>
        <w:t>日</w:t>
      </w:r>
    </w:p>
    <w:sectPr>
      <w:pgSz w:w="11910" w:h="16840"/>
      <w:pgMar w:header="462" w:footer="436" w:top="680" w:bottom="640" w:left="78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20.158997pt;margin-top:807.915649pt;width:137pt;height:11pt;mso-position-horizontal-relative:page;mso-position-vertical-relative:page;z-index:-252156928" type="#_x0000_t202" filled="false" stroked="false">
          <v:textbox inset="0,0,0,0">
            <w:txbxContent>
              <w:p>
                <w:pPr>
                  <w:pStyle w:val="BodyText"/>
                  <w:spacing w:line="220" w:lineRule="exact"/>
                  <w:ind w:left="20"/>
                </w:pPr>
                <w:r>
                  <w:rPr/>
                  <w:t>丙型肝炎病毒基因分型产品说明书</w:t>
                </w:r>
              </w:p>
            </w:txbxContent>
          </v:textbox>
          <w10:wrap type="none"/>
        </v:shape>
      </w:pict>
    </w:r>
    <w:r>
      <w:rPr/>
      <w:pict>
        <v:shape style="position:absolute;margin-left:543.400024pt;margin-top:807.915649pt;width:8.5pt;height:11pt;mso-position-horizontal-relative:page;mso-position-vertical-relative:page;z-index:-252155904" type="#_x0000_t202" filled="false" stroked="false">
          <v:textbox inset="0,0,0,0">
            <w:txbxContent>
              <w:p>
                <w:pPr>
                  <w:pStyle w:val="BodyText"/>
                  <w:spacing w:line="220" w:lineRule="exact"/>
                  <w:ind w:left="40"/>
                </w:pPr>
                <w:r>
                  <w:rPr/>
                  <w:fldChar w:fldCharType="begin"/>
                </w:r>
                <w:r>
                  <w:rPr/>
                  <w:instrText> PAGE </w:instrText>
                </w:r>
                <w:r>
                  <w:rPr/>
                  <w:fldChar w:fldCharType="separate"/>
                </w:r>
                <w:r>
                  <w:rPr/>
                  <w:t>1</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440.959015pt;margin-top:23.11565pt;width:110pt;height:11pt;mso-position-horizontal-relative:page;mso-position-vertical-relative:page;z-index:-252157952" type="#_x0000_t202" filled="false" stroked="false">
          <v:textbox inset="0,0,0,0">
            <w:txbxContent>
              <w:p>
                <w:pPr>
                  <w:pStyle w:val="BodyText"/>
                  <w:spacing w:line="220" w:lineRule="exact"/>
                  <w:ind w:left="20"/>
                </w:pPr>
                <w:r>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345" w:hanging="216"/>
        <w:jc w:val="left"/>
      </w:pPr>
      <w:rPr>
        <w:rFonts w:hint="default" w:ascii="Times New Roman" w:hAnsi="Times New Roman" w:eastAsia="Times New Roman" w:cs="Times New Roman"/>
        <w:spacing w:val="-8"/>
        <w:w w:val="100"/>
        <w:sz w:val="18"/>
        <w:szCs w:val="18"/>
        <w:lang w:val="zh-CN" w:eastAsia="zh-CN" w:bidi="zh-CN"/>
      </w:rPr>
    </w:lvl>
    <w:lvl w:ilvl="1">
      <w:start w:val="0"/>
      <w:numFmt w:val="bullet"/>
      <w:lvlText w:val="•"/>
      <w:lvlJc w:val="left"/>
      <w:pPr>
        <w:ind w:left="1348" w:hanging="216"/>
      </w:pPr>
      <w:rPr>
        <w:rFonts w:hint="default"/>
        <w:lang w:val="zh-CN" w:eastAsia="zh-CN" w:bidi="zh-CN"/>
      </w:rPr>
    </w:lvl>
    <w:lvl w:ilvl="2">
      <w:start w:val="0"/>
      <w:numFmt w:val="bullet"/>
      <w:lvlText w:val="•"/>
      <w:lvlJc w:val="left"/>
      <w:pPr>
        <w:ind w:left="2357" w:hanging="216"/>
      </w:pPr>
      <w:rPr>
        <w:rFonts w:hint="default"/>
        <w:lang w:val="zh-CN" w:eastAsia="zh-CN" w:bidi="zh-CN"/>
      </w:rPr>
    </w:lvl>
    <w:lvl w:ilvl="3">
      <w:start w:val="0"/>
      <w:numFmt w:val="bullet"/>
      <w:lvlText w:val="•"/>
      <w:lvlJc w:val="left"/>
      <w:pPr>
        <w:ind w:left="3365" w:hanging="216"/>
      </w:pPr>
      <w:rPr>
        <w:rFonts w:hint="default"/>
        <w:lang w:val="zh-CN" w:eastAsia="zh-CN" w:bidi="zh-CN"/>
      </w:rPr>
    </w:lvl>
    <w:lvl w:ilvl="4">
      <w:start w:val="0"/>
      <w:numFmt w:val="bullet"/>
      <w:lvlText w:val="•"/>
      <w:lvlJc w:val="left"/>
      <w:pPr>
        <w:ind w:left="4374" w:hanging="216"/>
      </w:pPr>
      <w:rPr>
        <w:rFonts w:hint="default"/>
        <w:lang w:val="zh-CN" w:eastAsia="zh-CN" w:bidi="zh-CN"/>
      </w:rPr>
    </w:lvl>
    <w:lvl w:ilvl="5">
      <w:start w:val="0"/>
      <w:numFmt w:val="bullet"/>
      <w:lvlText w:val="•"/>
      <w:lvlJc w:val="left"/>
      <w:pPr>
        <w:ind w:left="5383" w:hanging="216"/>
      </w:pPr>
      <w:rPr>
        <w:rFonts w:hint="default"/>
        <w:lang w:val="zh-CN" w:eastAsia="zh-CN" w:bidi="zh-CN"/>
      </w:rPr>
    </w:lvl>
    <w:lvl w:ilvl="6">
      <w:start w:val="0"/>
      <w:numFmt w:val="bullet"/>
      <w:lvlText w:val="•"/>
      <w:lvlJc w:val="left"/>
      <w:pPr>
        <w:ind w:left="6391" w:hanging="216"/>
      </w:pPr>
      <w:rPr>
        <w:rFonts w:hint="default"/>
        <w:lang w:val="zh-CN" w:eastAsia="zh-CN" w:bidi="zh-CN"/>
      </w:rPr>
    </w:lvl>
    <w:lvl w:ilvl="7">
      <w:start w:val="0"/>
      <w:numFmt w:val="bullet"/>
      <w:lvlText w:val="•"/>
      <w:lvlJc w:val="left"/>
      <w:pPr>
        <w:ind w:left="7400" w:hanging="216"/>
      </w:pPr>
      <w:rPr>
        <w:rFonts w:hint="default"/>
        <w:lang w:val="zh-CN" w:eastAsia="zh-CN" w:bidi="zh-CN"/>
      </w:rPr>
    </w:lvl>
    <w:lvl w:ilvl="8">
      <w:start w:val="0"/>
      <w:numFmt w:val="bullet"/>
      <w:lvlText w:val="•"/>
      <w:lvlJc w:val="left"/>
      <w:pPr>
        <w:ind w:left="8408" w:hanging="216"/>
      </w:pPr>
      <w:rPr>
        <w:rFonts w:hint="default"/>
        <w:lang w:val="zh-CN" w:eastAsia="zh-CN" w:bidi="zh-CN"/>
      </w:rPr>
    </w:lvl>
  </w:abstractNum>
  <w:abstractNum w:abstractNumId="4">
    <w:multiLevelType w:val="hybridMultilevel"/>
    <w:lvl w:ilvl="0">
      <w:start w:val="1"/>
      <w:numFmt w:val="decimal"/>
      <w:lvlText w:val="%1."/>
      <w:lvlJc w:val="left"/>
      <w:pPr>
        <w:ind w:left="264" w:hanging="138"/>
        <w:jc w:val="left"/>
      </w:pPr>
      <w:rPr>
        <w:rFonts w:hint="default" w:ascii="Times New Roman" w:hAnsi="Times New Roman" w:eastAsia="Times New Roman" w:cs="Times New Roman"/>
        <w:spacing w:val="-2"/>
        <w:w w:val="100"/>
        <w:sz w:val="16"/>
        <w:szCs w:val="16"/>
        <w:lang w:val="zh-CN" w:eastAsia="zh-CN" w:bidi="zh-CN"/>
      </w:rPr>
    </w:lvl>
    <w:lvl w:ilvl="1">
      <w:start w:val="0"/>
      <w:numFmt w:val="bullet"/>
      <w:lvlText w:val="•"/>
      <w:lvlJc w:val="left"/>
      <w:pPr>
        <w:ind w:left="1276" w:hanging="138"/>
      </w:pPr>
      <w:rPr>
        <w:rFonts w:hint="default"/>
        <w:lang w:val="zh-CN" w:eastAsia="zh-CN" w:bidi="zh-CN"/>
      </w:rPr>
    </w:lvl>
    <w:lvl w:ilvl="2">
      <w:start w:val="0"/>
      <w:numFmt w:val="bullet"/>
      <w:lvlText w:val="•"/>
      <w:lvlJc w:val="left"/>
      <w:pPr>
        <w:ind w:left="2293" w:hanging="138"/>
      </w:pPr>
      <w:rPr>
        <w:rFonts w:hint="default"/>
        <w:lang w:val="zh-CN" w:eastAsia="zh-CN" w:bidi="zh-CN"/>
      </w:rPr>
    </w:lvl>
    <w:lvl w:ilvl="3">
      <w:start w:val="0"/>
      <w:numFmt w:val="bullet"/>
      <w:lvlText w:val="•"/>
      <w:lvlJc w:val="left"/>
      <w:pPr>
        <w:ind w:left="3309" w:hanging="138"/>
      </w:pPr>
      <w:rPr>
        <w:rFonts w:hint="default"/>
        <w:lang w:val="zh-CN" w:eastAsia="zh-CN" w:bidi="zh-CN"/>
      </w:rPr>
    </w:lvl>
    <w:lvl w:ilvl="4">
      <w:start w:val="0"/>
      <w:numFmt w:val="bullet"/>
      <w:lvlText w:val="•"/>
      <w:lvlJc w:val="left"/>
      <w:pPr>
        <w:ind w:left="4326" w:hanging="138"/>
      </w:pPr>
      <w:rPr>
        <w:rFonts w:hint="default"/>
        <w:lang w:val="zh-CN" w:eastAsia="zh-CN" w:bidi="zh-CN"/>
      </w:rPr>
    </w:lvl>
    <w:lvl w:ilvl="5">
      <w:start w:val="0"/>
      <w:numFmt w:val="bullet"/>
      <w:lvlText w:val="•"/>
      <w:lvlJc w:val="left"/>
      <w:pPr>
        <w:ind w:left="5343" w:hanging="138"/>
      </w:pPr>
      <w:rPr>
        <w:rFonts w:hint="default"/>
        <w:lang w:val="zh-CN" w:eastAsia="zh-CN" w:bidi="zh-CN"/>
      </w:rPr>
    </w:lvl>
    <w:lvl w:ilvl="6">
      <w:start w:val="0"/>
      <w:numFmt w:val="bullet"/>
      <w:lvlText w:val="•"/>
      <w:lvlJc w:val="left"/>
      <w:pPr>
        <w:ind w:left="6359" w:hanging="138"/>
      </w:pPr>
      <w:rPr>
        <w:rFonts w:hint="default"/>
        <w:lang w:val="zh-CN" w:eastAsia="zh-CN" w:bidi="zh-CN"/>
      </w:rPr>
    </w:lvl>
    <w:lvl w:ilvl="7">
      <w:start w:val="0"/>
      <w:numFmt w:val="bullet"/>
      <w:lvlText w:val="•"/>
      <w:lvlJc w:val="left"/>
      <w:pPr>
        <w:ind w:left="7376" w:hanging="138"/>
      </w:pPr>
      <w:rPr>
        <w:rFonts w:hint="default"/>
        <w:lang w:val="zh-CN" w:eastAsia="zh-CN" w:bidi="zh-CN"/>
      </w:rPr>
    </w:lvl>
    <w:lvl w:ilvl="8">
      <w:start w:val="0"/>
      <w:numFmt w:val="bullet"/>
      <w:lvlText w:val="•"/>
      <w:lvlJc w:val="left"/>
      <w:pPr>
        <w:ind w:left="8392" w:hanging="138"/>
      </w:pPr>
      <w:rPr>
        <w:rFonts w:hint="default"/>
        <w:lang w:val="zh-CN" w:eastAsia="zh-CN" w:bidi="zh-CN"/>
      </w:rPr>
    </w:lvl>
  </w:abstractNum>
  <w:abstractNum w:abstractNumId="3">
    <w:multiLevelType w:val="hybridMultilevel"/>
    <w:lvl w:ilvl="0">
      <w:start w:val="1"/>
      <w:numFmt w:val="decimal"/>
      <w:lvlText w:val="%1."/>
      <w:lvlJc w:val="left"/>
      <w:pPr>
        <w:ind w:left="343" w:hanging="216"/>
        <w:jc w:val="left"/>
      </w:pPr>
      <w:rPr>
        <w:rFonts w:hint="default" w:ascii="Times New Roman" w:hAnsi="Times New Roman" w:eastAsia="Times New Roman" w:cs="Times New Roman"/>
        <w:spacing w:val="-8"/>
        <w:w w:val="100"/>
        <w:sz w:val="18"/>
        <w:szCs w:val="18"/>
        <w:lang w:val="zh-CN" w:eastAsia="zh-CN" w:bidi="zh-CN"/>
      </w:rPr>
    </w:lvl>
    <w:lvl w:ilvl="1">
      <w:start w:val="1"/>
      <w:numFmt w:val="decimal"/>
      <w:lvlText w:val="%1.%2"/>
      <w:lvlJc w:val="left"/>
      <w:pPr>
        <w:ind w:left="388" w:hanging="262"/>
        <w:jc w:val="left"/>
      </w:pPr>
      <w:rPr>
        <w:rFonts w:hint="default" w:ascii="Times New Roman" w:hAnsi="Times New Roman" w:eastAsia="Times New Roman" w:cs="Times New Roman"/>
        <w:spacing w:val="-2"/>
        <w:w w:val="100"/>
        <w:sz w:val="18"/>
        <w:szCs w:val="18"/>
        <w:lang w:val="zh-CN" w:eastAsia="zh-CN" w:bidi="zh-CN"/>
      </w:rPr>
    </w:lvl>
    <w:lvl w:ilvl="2">
      <w:start w:val="0"/>
      <w:numFmt w:val="bullet"/>
      <w:lvlText w:val="•"/>
      <w:lvlJc w:val="left"/>
      <w:pPr>
        <w:ind w:left="1496" w:hanging="262"/>
      </w:pPr>
      <w:rPr>
        <w:rFonts w:hint="default"/>
        <w:lang w:val="zh-CN" w:eastAsia="zh-CN" w:bidi="zh-CN"/>
      </w:rPr>
    </w:lvl>
    <w:lvl w:ilvl="3">
      <w:start w:val="0"/>
      <w:numFmt w:val="bullet"/>
      <w:lvlText w:val="•"/>
      <w:lvlJc w:val="left"/>
      <w:pPr>
        <w:ind w:left="2612" w:hanging="262"/>
      </w:pPr>
      <w:rPr>
        <w:rFonts w:hint="default"/>
        <w:lang w:val="zh-CN" w:eastAsia="zh-CN" w:bidi="zh-CN"/>
      </w:rPr>
    </w:lvl>
    <w:lvl w:ilvl="4">
      <w:start w:val="0"/>
      <w:numFmt w:val="bullet"/>
      <w:lvlText w:val="•"/>
      <w:lvlJc w:val="left"/>
      <w:pPr>
        <w:ind w:left="3728" w:hanging="262"/>
      </w:pPr>
      <w:rPr>
        <w:rFonts w:hint="default"/>
        <w:lang w:val="zh-CN" w:eastAsia="zh-CN" w:bidi="zh-CN"/>
      </w:rPr>
    </w:lvl>
    <w:lvl w:ilvl="5">
      <w:start w:val="0"/>
      <w:numFmt w:val="bullet"/>
      <w:lvlText w:val="•"/>
      <w:lvlJc w:val="left"/>
      <w:pPr>
        <w:ind w:left="4844" w:hanging="262"/>
      </w:pPr>
      <w:rPr>
        <w:rFonts w:hint="default"/>
        <w:lang w:val="zh-CN" w:eastAsia="zh-CN" w:bidi="zh-CN"/>
      </w:rPr>
    </w:lvl>
    <w:lvl w:ilvl="6">
      <w:start w:val="0"/>
      <w:numFmt w:val="bullet"/>
      <w:lvlText w:val="•"/>
      <w:lvlJc w:val="left"/>
      <w:pPr>
        <w:ind w:left="5961" w:hanging="262"/>
      </w:pPr>
      <w:rPr>
        <w:rFonts w:hint="default"/>
        <w:lang w:val="zh-CN" w:eastAsia="zh-CN" w:bidi="zh-CN"/>
      </w:rPr>
    </w:lvl>
    <w:lvl w:ilvl="7">
      <w:start w:val="0"/>
      <w:numFmt w:val="bullet"/>
      <w:lvlText w:val="•"/>
      <w:lvlJc w:val="left"/>
      <w:pPr>
        <w:ind w:left="7077" w:hanging="262"/>
      </w:pPr>
      <w:rPr>
        <w:rFonts w:hint="default"/>
        <w:lang w:val="zh-CN" w:eastAsia="zh-CN" w:bidi="zh-CN"/>
      </w:rPr>
    </w:lvl>
    <w:lvl w:ilvl="8">
      <w:start w:val="0"/>
      <w:numFmt w:val="bullet"/>
      <w:lvlText w:val="•"/>
      <w:lvlJc w:val="left"/>
      <w:pPr>
        <w:ind w:left="8193" w:hanging="262"/>
      </w:pPr>
      <w:rPr>
        <w:rFonts w:hint="default"/>
        <w:lang w:val="zh-CN" w:eastAsia="zh-CN" w:bidi="zh-CN"/>
      </w:rPr>
    </w:lvl>
  </w:abstractNum>
  <w:abstractNum w:abstractNumId="2">
    <w:multiLevelType w:val="hybridMultilevel"/>
    <w:lvl w:ilvl="0">
      <w:start w:val="1"/>
      <w:numFmt w:val="decimal"/>
      <w:lvlText w:val="%1."/>
      <w:lvlJc w:val="left"/>
      <w:pPr>
        <w:ind w:left="261" w:hanging="135"/>
        <w:jc w:val="left"/>
      </w:pPr>
      <w:rPr>
        <w:rFonts w:hint="default" w:ascii="Times New Roman" w:hAnsi="Times New Roman" w:eastAsia="Times New Roman" w:cs="Times New Roman"/>
        <w:spacing w:val="-5"/>
        <w:w w:val="100"/>
        <w:sz w:val="16"/>
        <w:szCs w:val="16"/>
        <w:lang w:val="zh-CN" w:eastAsia="zh-CN" w:bidi="zh-CN"/>
      </w:rPr>
    </w:lvl>
    <w:lvl w:ilvl="1">
      <w:start w:val="0"/>
      <w:numFmt w:val="bullet"/>
      <w:lvlText w:val="•"/>
      <w:lvlJc w:val="left"/>
      <w:pPr>
        <w:ind w:left="1276" w:hanging="135"/>
      </w:pPr>
      <w:rPr>
        <w:rFonts w:hint="default"/>
        <w:lang w:val="zh-CN" w:eastAsia="zh-CN" w:bidi="zh-CN"/>
      </w:rPr>
    </w:lvl>
    <w:lvl w:ilvl="2">
      <w:start w:val="0"/>
      <w:numFmt w:val="bullet"/>
      <w:lvlText w:val="•"/>
      <w:lvlJc w:val="left"/>
      <w:pPr>
        <w:ind w:left="2293" w:hanging="135"/>
      </w:pPr>
      <w:rPr>
        <w:rFonts w:hint="default"/>
        <w:lang w:val="zh-CN" w:eastAsia="zh-CN" w:bidi="zh-CN"/>
      </w:rPr>
    </w:lvl>
    <w:lvl w:ilvl="3">
      <w:start w:val="0"/>
      <w:numFmt w:val="bullet"/>
      <w:lvlText w:val="•"/>
      <w:lvlJc w:val="left"/>
      <w:pPr>
        <w:ind w:left="3309" w:hanging="135"/>
      </w:pPr>
      <w:rPr>
        <w:rFonts w:hint="default"/>
        <w:lang w:val="zh-CN" w:eastAsia="zh-CN" w:bidi="zh-CN"/>
      </w:rPr>
    </w:lvl>
    <w:lvl w:ilvl="4">
      <w:start w:val="0"/>
      <w:numFmt w:val="bullet"/>
      <w:lvlText w:val="•"/>
      <w:lvlJc w:val="left"/>
      <w:pPr>
        <w:ind w:left="4326" w:hanging="135"/>
      </w:pPr>
      <w:rPr>
        <w:rFonts w:hint="default"/>
        <w:lang w:val="zh-CN" w:eastAsia="zh-CN" w:bidi="zh-CN"/>
      </w:rPr>
    </w:lvl>
    <w:lvl w:ilvl="5">
      <w:start w:val="0"/>
      <w:numFmt w:val="bullet"/>
      <w:lvlText w:val="•"/>
      <w:lvlJc w:val="left"/>
      <w:pPr>
        <w:ind w:left="5343" w:hanging="135"/>
      </w:pPr>
      <w:rPr>
        <w:rFonts w:hint="default"/>
        <w:lang w:val="zh-CN" w:eastAsia="zh-CN" w:bidi="zh-CN"/>
      </w:rPr>
    </w:lvl>
    <w:lvl w:ilvl="6">
      <w:start w:val="0"/>
      <w:numFmt w:val="bullet"/>
      <w:lvlText w:val="•"/>
      <w:lvlJc w:val="left"/>
      <w:pPr>
        <w:ind w:left="6359" w:hanging="135"/>
      </w:pPr>
      <w:rPr>
        <w:rFonts w:hint="default"/>
        <w:lang w:val="zh-CN" w:eastAsia="zh-CN" w:bidi="zh-CN"/>
      </w:rPr>
    </w:lvl>
    <w:lvl w:ilvl="7">
      <w:start w:val="0"/>
      <w:numFmt w:val="bullet"/>
      <w:lvlText w:val="•"/>
      <w:lvlJc w:val="left"/>
      <w:pPr>
        <w:ind w:left="7376" w:hanging="135"/>
      </w:pPr>
      <w:rPr>
        <w:rFonts w:hint="default"/>
        <w:lang w:val="zh-CN" w:eastAsia="zh-CN" w:bidi="zh-CN"/>
      </w:rPr>
    </w:lvl>
    <w:lvl w:ilvl="8">
      <w:start w:val="0"/>
      <w:numFmt w:val="bullet"/>
      <w:lvlText w:val="•"/>
      <w:lvlJc w:val="left"/>
      <w:pPr>
        <w:ind w:left="8392" w:hanging="135"/>
      </w:pPr>
      <w:rPr>
        <w:rFonts w:hint="default"/>
        <w:lang w:val="zh-CN" w:eastAsia="zh-CN" w:bidi="zh-CN"/>
      </w:rPr>
    </w:lvl>
  </w:abstractNum>
  <w:abstractNum w:abstractNumId="1">
    <w:multiLevelType w:val="hybridMultilevel"/>
    <w:lvl w:ilvl="0">
      <w:start w:val="1"/>
      <w:numFmt w:val="decimal"/>
      <w:lvlText w:val="%1"/>
      <w:lvlJc w:val="left"/>
      <w:pPr>
        <w:ind w:left="300" w:hanging="173"/>
        <w:jc w:val="left"/>
      </w:pPr>
      <w:rPr>
        <w:rFonts w:hint="default" w:ascii="Times New Roman" w:hAnsi="Times New Roman" w:eastAsia="Times New Roman" w:cs="Times New Roman"/>
        <w:b/>
        <w:bCs/>
        <w:spacing w:val="-8"/>
        <w:w w:val="99"/>
        <w:sz w:val="18"/>
        <w:szCs w:val="18"/>
        <w:lang w:val="zh-CN" w:eastAsia="zh-CN" w:bidi="zh-CN"/>
      </w:rPr>
    </w:lvl>
    <w:lvl w:ilvl="1">
      <w:start w:val="1"/>
      <w:numFmt w:val="decimal"/>
      <w:lvlText w:val="%1.%2"/>
      <w:lvlJc w:val="left"/>
      <w:pPr>
        <w:ind w:left="388" w:hanging="262"/>
        <w:jc w:val="left"/>
      </w:pPr>
      <w:rPr>
        <w:rFonts w:hint="default" w:ascii="Times New Roman" w:hAnsi="Times New Roman" w:eastAsia="Times New Roman" w:cs="Times New Roman"/>
        <w:spacing w:val="-2"/>
        <w:w w:val="100"/>
        <w:sz w:val="18"/>
        <w:szCs w:val="18"/>
        <w:lang w:val="zh-CN" w:eastAsia="zh-CN" w:bidi="zh-CN"/>
      </w:rPr>
    </w:lvl>
    <w:lvl w:ilvl="2">
      <w:start w:val="1"/>
      <w:numFmt w:val="decimal"/>
      <w:lvlText w:val="%1.%2.%3"/>
      <w:lvlJc w:val="left"/>
      <w:pPr>
        <w:ind w:left="576" w:hanging="449"/>
        <w:jc w:val="left"/>
      </w:pPr>
      <w:rPr>
        <w:rFonts w:hint="default" w:ascii="Times New Roman" w:hAnsi="Times New Roman" w:eastAsia="Times New Roman" w:cs="Times New Roman"/>
        <w:spacing w:val="-50"/>
        <w:w w:val="100"/>
        <w:sz w:val="18"/>
        <w:szCs w:val="18"/>
        <w:lang w:val="zh-CN" w:eastAsia="zh-CN" w:bidi="zh-CN"/>
      </w:rPr>
    </w:lvl>
    <w:lvl w:ilvl="3">
      <w:start w:val="0"/>
      <w:numFmt w:val="bullet"/>
      <w:lvlText w:val="•"/>
      <w:lvlJc w:val="left"/>
      <w:pPr>
        <w:ind w:left="400" w:hanging="449"/>
      </w:pPr>
      <w:rPr>
        <w:rFonts w:hint="default"/>
        <w:lang w:val="zh-CN" w:eastAsia="zh-CN" w:bidi="zh-CN"/>
      </w:rPr>
    </w:lvl>
    <w:lvl w:ilvl="4">
      <w:start w:val="0"/>
      <w:numFmt w:val="bullet"/>
      <w:lvlText w:val="•"/>
      <w:lvlJc w:val="left"/>
      <w:pPr>
        <w:ind w:left="440" w:hanging="449"/>
      </w:pPr>
      <w:rPr>
        <w:rFonts w:hint="default"/>
        <w:lang w:val="zh-CN" w:eastAsia="zh-CN" w:bidi="zh-CN"/>
      </w:rPr>
    </w:lvl>
    <w:lvl w:ilvl="5">
      <w:start w:val="0"/>
      <w:numFmt w:val="bullet"/>
      <w:lvlText w:val="•"/>
      <w:lvlJc w:val="left"/>
      <w:pPr>
        <w:ind w:left="580" w:hanging="449"/>
      </w:pPr>
      <w:rPr>
        <w:rFonts w:hint="default"/>
        <w:lang w:val="zh-CN" w:eastAsia="zh-CN" w:bidi="zh-CN"/>
      </w:rPr>
    </w:lvl>
    <w:lvl w:ilvl="6">
      <w:start w:val="0"/>
      <w:numFmt w:val="bullet"/>
      <w:lvlText w:val="•"/>
      <w:lvlJc w:val="left"/>
      <w:pPr>
        <w:ind w:left="2549" w:hanging="449"/>
      </w:pPr>
      <w:rPr>
        <w:rFonts w:hint="default"/>
        <w:lang w:val="zh-CN" w:eastAsia="zh-CN" w:bidi="zh-CN"/>
      </w:rPr>
    </w:lvl>
    <w:lvl w:ilvl="7">
      <w:start w:val="0"/>
      <w:numFmt w:val="bullet"/>
      <w:lvlText w:val="•"/>
      <w:lvlJc w:val="left"/>
      <w:pPr>
        <w:ind w:left="4518" w:hanging="449"/>
      </w:pPr>
      <w:rPr>
        <w:rFonts w:hint="default"/>
        <w:lang w:val="zh-CN" w:eastAsia="zh-CN" w:bidi="zh-CN"/>
      </w:rPr>
    </w:lvl>
    <w:lvl w:ilvl="8">
      <w:start w:val="0"/>
      <w:numFmt w:val="bullet"/>
      <w:lvlText w:val="•"/>
      <w:lvlJc w:val="left"/>
      <w:pPr>
        <w:ind w:left="6487" w:hanging="449"/>
      </w:pPr>
      <w:rPr>
        <w:rFonts w:hint="default"/>
        <w:lang w:val="zh-CN" w:eastAsia="zh-CN" w:bidi="zh-CN"/>
      </w:rPr>
    </w:lvl>
  </w:abstractNum>
  <w:abstractNum w:abstractNumId="0">
    <w:multiLevelType w:val="hybridMultilevel"/>
    <w:lvl w:ilvl="0">
      <w:start w:val="1"/>
      <w:numFmt w:val="decimal"/>
      <w:lvlText w:val="%1."/>
      <w:lvlJc w:val="left"/>
      <w:pPr>
        <w:ind w:left="343" w:hanging="216"/>
        <w:jc w:val="left"/>
      </w:pPr>
      <w:rPr>
        <w:rFonts w:hint="default"/>
        <w:spacing w:val="-8"/>
        <w:w w:val="100"/>
        <w:lang w:val="zh-CN" w:eastAsia="zh-CN" w:bidi="zh-CN"/>
      </w:rPr>
    </w:lvl>
    <w:lvl w:ilvl="1">
      <w:start w:val="1"/>
      <w:numFmt w:val="decimal"/>
      <w:lvlText w:val="%1.%2"/>
      <w:lvlJc w:val="left"/>
      <w:pPr>
        <w:ind w:left="432" w:hanging="305"/>
        <w:jc w:val="left"/>
      </w:pPr>
      <w:rPr>
        <w:rFonts w:hint="default" w:ascii="Times New Roman" w:hAnsi="Times New Roman" w:eastAsia="Times New Roman" w:cs="Times New Roman"/>
        <w:spacing w:val="-8"/>
        <w:w w:val="100"/>
        <w:sz w:val="18"/>
        <w:szCs w:val="18"/>
        <w:lang w:val="zh-CN" w:eastAsia="zh-CN" w:bidi="zh-CN"/>
      </w:rPr>
    </w:lvl>
    <w:lvl w:ilvl="2">
      <w:start w:val="0"/>
      <w:numFmt w:val="bullet"/>
      <w:lvlText w:val="•"/>
      <w:lvlJc w:val="left"/>
      <w:pPr>
        <w:ind w:left="1549" w:hanging="305"/>
      </w:pPr>
      <w:rPr>
        <w:rFonts w:hint="default"/>
        <w:lang w:val="zh-CN" w:eastAsia="zh-CN" w:bidi="zh-CN"/>
      </w:rPr>
    </w:lvl>
    <w:lvl w:ilvl="3">
      <w:start w:val="0"/>
      <w:numFmt w:val="bullet"/>
      <w:lvlText w:val="•"/>
      <w:lvlJc w:val="left"/>
      <w:pPr>
        <w:ind w:left="2659" w:hanging="305"/>
      </w:pPr>
      <w:rPr>
        <w:rFonts w:hint="default"/>
        <w:lang w:val="zh-CN" w:eastAsia="zh-CN" w:bidi="zh-CN"/>
      </w:rPr>
    </w:lvl>
    <w:lvl w:ilvl="4">
      <w:start w:val="0"/>
      <w:numFmt w:val="bullet"/>
      <w:lvlText w:val="•"/>
      <w:lvlJc w:val="left"/>
      <w:pPr>
        <w:ind w:left="3768" w:hanging="305"/>
      </w:pPr>
      <w:rPr>
        <w:rFonts w:hint="default"/>
        <w:lang w:val="zh-CN" w:eastAsia="zh-CN" w:bidi="zh-CN"/>
      </w:rPr>
    </w:lvl>
    <w:lvl w:ilvl="5">
      <w:start w:val="0"/>
      <w:numFmt w:val="bullet"/>
      <w:lvlText w:val="•"/>
      <w:lvlJc w:val="left"/>
      <w:pPr>
        <w:ind w:left="4878" w:hanging="305"/>
      </w:pPr>
      <w:rPr>
        <w:rFonts w:hint="default"/>
        <w:lang w:val="zh-CN" w:eastAsia="zh-CN" w:bidi="zh-CN"/>
      </w:rPr>
    </w:lvl>
    <w:lvl w:ilvl="6">
      <w:start w:val="0"/>
      <w:numFmt w:val="bullet"/>
      <w:lvlText w:val="•"/>
      <w:lvlJc w:val="left"/>
      <w:pPr>
        <w:ind w:left="5987" w:hanging="305"/>
      </w:pPr>
      <w:rPr>
        <w:rFonts w:hint="default"/>
        <w:lang w:val="zh-CN" w:eastAsia="zh-CN" w:bidi="zh-CN"/>
      </w:rPr>
    </w:lvl>
    <w:lvl w:ilvl="7">
      <w:start w:val="0"/>
      <w:numFmt w:val="bullet"/>
      <w:lvlText w:val="•"/>
      <w:lvlJc w:val="left"/>
      <w:pPr>
        <w:ind w:left="7097" w:hanging="305"/>
      </w:pPr>
      <w:rPr>
        <w:rFonts w:hint="default"/>
        <w:lang w:val="zh-CN" w:eastAsia="zh-CN" w:bidi="zh-CN"/>
      </w:rPr>
    </w:lvl>
    <w:lvl w:ilvl="8">
      <w:start w:val="0"/>
      <w:numFmt w:val="bullet"/>
      <w:lvlText w:val="•"/>
      <w:lvlJc w:val="left"/>
      <w:pPr>
        <w:ind w:left="8206" w:hanging="305"/>
      </w:pPr>
      <w:rPr>
        <w:rFonts w:hint="default"/>
        <w:lang w:val="zh-CN" w:eastAsia="zh-CN" w:bidi="zh-CN"/>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180" w:lineRule="exact"/>
      <w:ind w:left="127"/>
    </w:pPr>
    <w:rPr>
      <w:rFonts w:ascii="宋体" w:hAnsi="宋体" w:eastAsia="宋体" w:cs="宋体"/>
      <w:sz w:val="18"/>
      <w:szCs w:val="18"/>
      <w:lang w:val="zh-CN" w:eastAsia="zh-CN" w:bidi="zh-CN"/>
    </w:rPr>
  </w:style>
  <w:style w:styleId="Heading1" w:type="paragraph">
    <w:name w:val="Heading 1"/>
    <w:basedOn w:val="Normal"/>
    <w:uiPriority w:val="1"/>
    <w:qFormat/>
    <w:pPr>
      <w:spacing w:line="180" w:lineRule="exact"/>
      <w:ind w:left="127"/>
      <w:outlineLvl w:val="1"/>
    </w:pPr>
    <w:rPr>
      <w:rFonts w:ascii="宋体" w:hAnsi="宋体" w:eastAsia="宋体" w:cs="宋体"/>
      <w:b/>
      <w:bCs/>
      <w:sz w:val="18"/>
      <w:szCs w:val="18"/>
      <w:lang w:val="zh-CN" w:eastAsia="zh-CN" w:bidi="zh-CN"/>
    </w:rPr>
  </w:style>
  <w:style w:styleId="ListParagraph" w:type="paragraph">
    <w:name w:val="List Paragraph"/>
    <w:basedOn w:val="Normal"/>
    <w:uiPriority w:val="1"/>
    <w:qFormat/>
    <w:pPr>
      <w:spacing w:line="180" w:lineRule="exact"/>
      <w:ind w:left="343" w:hanging="217"/>
    </w:pPr>
    <w:rPr>
      <w:rFonts w:ascii="宋体" w:hAnsi="宋体" w:eastAsia="宋体" w:cs="宋体"/>
      <w:lang w:val="zh-CN" w:eastAsia="zh-CN" w:bidi="zh-CN"/>
    </w:rPr>
  </w:style>
  <w:style w:styleId="TableParagraph" w:type="paragraph">
    <w:name w:val="Table Paragraph"/>
    <w:basedOn w:val="Normal"/>
    <w:uiPriority w:val="1"/>
    <w:qFormat/>
    <w:pPr>
      <w:spacing w:line="160" w:lineRule="exact"/>
      <w:ind w:left="12"/>
      <w:jc w:val="center"/>
    </w:pPr>
    <w:rPr>
      <w:rFonts w:ascii="Times New Roman" w:hAnsi="Times New Roman" w:eastAsia="Times New Roman" w:cs="Times New Roman"/>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huanghe</dc:creator>
  <dc:title>HCV基因型分型</dc:title>
  <dcterms:created xsi:type="dcterms:W3CDTF">2021-04-21T13:46:08Z</dcterms:created>
  <dcterms:modified xsi:type="dcterms:W3CDTF">2021-04-21T13:46:08Z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2019-11-18T00:00:00Z</vt:filetime>
  </property>
  <property fmtid="{D5CDD505-2E9C-101B-9397-08002B2CF9AE}" pid="3" name="Creator">
    <vt:lpwstr>WPS 文字</vt:lpwstr>
  </property>
  <property fmtid="{D5CDD505-2E9C-101B-9397-08002B2CF9AE}" pid="4" name="LastSaved">
    <vt:filetime>2021-04-21T00:00:00Z</vt:filetime>
  </property>
</Properties>
</file>