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03"/>
        <w:ind w:left="667" w:right="0" w:firstLine="0"/>
        <w:jc w:val="left"/>
        <w:rPr>
          <w:b/>
          <w:sz w:val="20"/>
        </w:rPr>
      </w:pPr>
      <w:r>
        <w:rPr>
          <w:b/>
          <w:sz w:val="20"/>
        </w:rPr>
        <w:t>沙眼衣原体/解脲脲原体/淋球菌核酸检测试剂盒（PCR-荧光探针法）说明书</w:t>
      </w:r>
    </w:p>
    <w:p>
      <w:pPr>
        <w:pStyle w:val="Heading1"/>
        <w:spacing w:line="193" w:lineRule="exact" w:before="65"/>
      </w:pPr>
      <w:r>
        <w:rPr/>
        <w:t>【产品名称】</w:t>
      </w:r>
    </w:p>
    <w:p>
      <w:pPr>
        <w:pStyle w:val="BodyText"/>
        <w:ind w:left="146"/>
        <w:rPr>
          <w:rFonts w:ascii="Times New Roman" w:eastAsia="Times New Roman"/>
        </w:rPr>
      </w:pPr>
      <w:r>
        <w:rPr/>
        <w:t>通用名称：沙眼衣原体</w:t>
      </w:r>
      <w:r>
        <w:rPr>
          <w:rFonts w:ascii="Times New Roman" w:eastAsia="Times New Roman"/>
        </w:rPr>
        <w:t>/</w:t>
      </w:r>
      <w:r>
        <w:rPr/>
        <w:t>解脲脲原体</w:t>
      </w:r>
      <w:r>
        <w:rPr>
          <w:rFonts w:ascii="Times New Roman" w:eastAsia="Times New Roman"/>
        </w:rPr>
        <w:t>/</w:t>
      </w:r>
      <w:r>
        <w:rPr/>
        <w:t>淋球菌核酸检测试剂盒</w:t>
      </w:r>
      <w:r>
        <w:rPr>
          <w:rFonts w:ascii="Times New Roman" w:eastAsia="Times New Roman"/>
        </w:rPr>
        <w:t>(PCR-</w:t>
      </w:r>
      <w:r>
        <w:rPr/>
        <w:t>荧光探针法</w:t>
      </w:r>
      <w:r>
        <w:rPr>
          <w:rFonts w:ascii="Times New Roman" w:eastAsia="Times New Roman"/>
        </w:rPr>
        <w:t>)</w:t>
      </w:r>
    </w:p>
    <w:p>
      <w:pPr>
        <w:spacing w:line="180" w:lineRule="exact" w:before="0"/>
        <w:ind w:left="146" w:right="0" w:firstLine="0"/>
        <w:jc w:val="left"/>
        <w:rPr>
          <w:sz w:val="16"/>
        </w:rPr>
      </w:pPr>
      <w:r>
        <w:rPr>
          <w:b/>
          <w:sz w:val="16"/>
        </w:rPr>
        <w:t>【包装规格】</w:t>
      </w:r>
      <w:r>
        <w:rPr>
          <w:rFonts w:ascii="Times New Roman" w:eastAsia="Times New Roman"/>
          <w:sz w:val="16"/>
        </w:rPr>
        <w:t>48 </w:t>
      </w:r>
      <w:r>
        <w:rPr>
          <w:sz w:val="16"/>
        </w:rPr>
        <w:t>人份</w:t>
      </w:r>
      <w:r>
        <w:rPr>
          <w:rFonts w:ascii="Times New Roman" w:eastAsia="Times New Roman"/>
          <w:sz w:val="16"/>
        </w:rPr>
        <w:t>/</w:t>
      </w:r>
      <w:r>
        <w:rPr>
          <w:sz w:val="16"/>
        </w:rPr>
        <w:t>盒</w:t>
      </w:r>
    </w:p>
    <w:p>
      <w:pPr>
        <w:pStyle w:val="Heading1"/>
      </w:pPr>
      <w:r>
        <w:rPr/>
        <w:t>【预期用途】</w:t>
      </w:r>
    </w:p>
    <w:p>
      <w:pPr>
        <w:pStyle w:val="BodyText"/>
        <w:spacing w:line="211" w:lineRule="auto" w:before="6"/>
        <w:ind w:left="458" w:right="119"/>
      </w:pPr>
      <w:r>
        <w:rPr>
          <w:spacing w:val="-5"/>
        </w:rPr>
        <w:t>本试剂盒用于定性检测男性泌尿道、女性生殖道分泌物样本中的沙眼衣原体、解脲脲原体及淋球菌</w:t>
      </w:r>
      <w:r>
        <w:rPr>
          <w:rFonts w:ascii="Times New Roman" w:eastAsia="Times New Roman"/>
          <w:spacing w:val="-4"/>
        </w:rPr>
        <w:t>DNA</w:t>
      </w:r>
      <w:r>
        <w:rPr/>
        <w:t>。</w:t>
      </w:r>
      <w:r>
        <w:rPr>
          <w:spacing w:val="-8"/>
        </w:rPr>
        <w:t>沙眼衣原体</w:t>
      </w:r>
      <w:r>
        <w:rPr>
          <w:spacing w:val="-7"/>
        </w:rPr>
        <w:t>（</w:t>
      </w:r>
      <w:r>
        <w:rPr>
          <w:rFonts w:ascii="Times New Roman" w:eastAsia="Times New Roman"/>
          <w:spacing w:val="-7"/>
        </w:rPr>
        <w:t>CT</w:t>
      </w:r>
      <w:r>
        <w:rPr>
          <w:spacing w:val="-7"/>
        </w:rPr>
        <w:t>）</w:t>
      </w:r>
      <w:r>
        <w:rPr>
          <w:spacing w:val="-8"/>
        </w:rPr>
        <w:t>是一种具有独特发育周期、严格细胞内寄生的原核细胞型微生物，在微生物分类上属于细</w:t>
      </w:r>
    </w:p>
    <w:p>
      <w:pPr>
        <w:pStyle w:val="BodyText"/>
        <w:spacing w:line="211" w:lineRule="auto"/>
        <w:ind w:left="146" w:right="42"/>
      </w:pPr>
      <w:r>
        <w:rPr>
          <w:spacing w:val="-6"/>
        </w:rPr>
        <w:t>菌门、立克次体纲、衣原体目及衣原体属，是国内外最常见的性病病原体之一。机体感染后，能诱导产生特异性</w:t>
      </w:r>
      <w:r>
        <w:rPr>
          <w:spacing w:val="-5"/>
        </w:rPr>
        <w:t>细胞免疫和体液免疫，但通常免疫力不强，且维持短暂，因而常造成持续感染、隐性感染和反复感染。</w:t>
      </w:r>
      <w:r>
        <w:rPr>
          <w:rFonts w:ascii="Times New Roman" w:eastAsia="Times New Roman"/>
        </w:rPr>
        <w:t>CT </w:t>
      </w:r>
      <w:r>
        <w:rPr>
          <w:spacing w:val="-2"/>
        </w:rPr>
        <w:t>可感</w:t>
      </w:r>
      <w:r>
        <w:rPr>
          <w:spacing w:val="-7"/>
        </w:rPr>
        <w:t>染阴道、尿道与直肠粘膜上皮细胞和眼结膜等处，在女性中可致宫颈炎、子宫内膜炎、输卵管炎及盆腔炎，继发</w:t>
      </w:r>
      <w:r>
        <w:rPr>
          <w:spacing w:val="-5"/>
          <w:w w:val="100"/>
        </w:rPr>
        <w:t>输卵管性不孕和异位妊娠，且常常发生母婴传播；在男性中则引起非淋菌性尿道炎</w:t>
      </w:r>
      <w:r>
        <w:rPr>
          <w:spacing w:val="-3"/>
          <w:w w:val="100"/>
        </w:rPr>
        <w:t>（</w:t>
      </w:r>
      <w:r>
        <w:rPr>
          <w:rFonts w:ascii="Times New Roman" w:eastAsia="Times New Roman"/>
          <w:spacing w:val="-4"/>
          <w:w w:val="100"/>
        </w:rPr>
        <w:t>NG</w:t>
      </w:r>
      <w:r>
        <w:rPr>
          <w:rFonts w:ascii="Times New Roman" w:eastAsia="Times New Roman"/>
          <w:spacing w:val="-2"/>
          <w:w w:val="100"/>
        </w:rPr>
        <w:t>U</w:t>
      </w:r>
      <w:r>
        <w:rPr>
          <w:spacing w:val="-82"/>
          <w:w w:val="100"/>
        </w:rPr>
        <w:t>）</w:t>
      </w:r>
      <w:r>
        <w:rPr>
          <w:spacing w:val="-5"/>
          <w:w w:val="100"/>
        </w:rPr>
        <w:t>、附睾炎、前列腺炎</w:t>
      </w:r>
      <w:r>
        <w:rPr>
          <w:spacing w:val="-13"/>
        </w:rPr>
        <w:t>和直肠炎等；在婴儿则可致新生儿包涵体结膜炎和新生儿肺炎等。目前，沙眼衣原体检测方法主要包括细胞培养、</w:t>
      </w:r>
      <w:r>
        <w:rPr>
          <w:spacing w:val="-5"/>
          <w:w w:val="100"/>
        </w:rPr>
        <w:t>酶免试验（</w:t>
      </w:r>
      <w:r>
        <w:rPr>
          <w:rFonts w:ascii="Times New Roman" w:eastAsia="Times New Roman"/>
          <w:spacing w:val="-3"/>
          <w:w w:val="100"/>
        </w:rPr>
        <w:t>E</w:t>
      </w:r>
      <w:r>
        <w:rPr>
          <w:rFonts w:ascii="Times New Roman" w:eastAsia="Times New Roman"/>
          <w:spacing w:val="-4"/>
          <w:w w:val="100"/>
        </w:rPr>
        <w:t>I</w:t>
      </w:r>
      <w:r>
        <w:rPr>
          <w:rFonts w:ascii="Times New Roman" w:eastAsia="Times New Roman"/>
          <w:spacing w:val="-2"/>
          <w:w w:val="100"/>
        </w:rPr>
        <w:t>A</w:t>
      </w:r>
      <w:r>
        <w:rPr>
          <w:spacing w:val="-85"/>
          <w:w w:val="100"/>
        </w:rPr>
        <w:t>）</w:t>
      </w:r>
      <w:r>
        <w:rPr>
          <w:spacing w:val="-5"/>
          <w:w w:val="100"/>
        </w:rPr>
        <w:t>、直接免疫荧光法（</w:t>
      </w:r>
      <w:r>
        <w:rPr>
          <w:rFonts w:ascii="Times New Roman" w:eastAsia="Times New Roman"/>
          <w:spacing w:val="-2"/>
          <w:w w:val="100"/>
        </w:rPr>
        <w:t>D</w:t>
      </w:r>
      <w:r>
        <w:rPr>
          <w:rFonts w:ascii="Times New Roman" w:eastAsia="Times New Roman"/>
          <w:spacing w:val="-13"/>
          <w:w w:val="100"/>
        </w:rPr>
        <w:t>F</w:t>
      </w:r>
      <w:r>
        <w:rPr>
          <w:rFonts w:ascii="Times New Roman" w:eastAsia="Times New Roman"/>
          <w:spacing w:val="-6"/>
          <w:w w:val="100"/>
        </w:rPr>
        <w:t>A</w:t>
      </w:r>
      <w:r>
        <w:rPr>
          <w:spacing w:val="-85"/>
          <w:w w:val="100"/>
        </w:rPr>
        <w:t>）</w:t>
      </w:r>
      <w:r>
        <w:rPr>
          <w:spacing w:val="-4"/>
          <w:w w:val="100"/>
        </w:rPr>
        <w:t>、实时</w:t>
      </w:r>
      <w:r>
        <w:rPr>
          <w:spacing w:val="-4"/>
        </w:rPr>
        <w:t> </w:t>
      </w:r>
      <w:r>
        <w:rPr>
          <w:rFonts w:ascii="Times New Roman" w:eastAsia="Times New Roman"/>
          <w:spacing w:val="-4"/>
          <w:w w:val="100"/>
        </w:rPr>
        <w:t>P</w:t>
      </w:r>
      <w:r>
        <w:rPr>
          <w:rFonts w:ascii="Times New Roman" w:eastAsia="Times New Roman"/>
          <w:spacing w:val="-2"/>
          <w:w w:val="100"/>
        </w:rPr>
        <w:t>C</w:t>
      </w:r>
      <w:r>
        <w:rPr>
          <w:rFonts w:ascii="Times New Roman" w:eastAsia="Times New Roman"/>
          <w:w w:val="100"/>
        </w:rPr>
        <w:t>R</w:t>
      </w:r>
      <w:r>
        <w:rPr>
          <w:rFonts w:ascii="Times New Roman" w:eastAsia="Times New Roman"/>
          <w:spacing w:val="-4"/>
        </w:rPr>
        <w:t>  </w:t>
      </w:r>
      <w:r>
        <w:rPr>
          <w:spacing w:val="-4"/>
          <w:w w:val="100"/>
        </w:rPr>
        <w:t>技术等。</w:t>
      </w:r>
    </w:p>
    <w:p>
      <w:pPr>
        <w:pStyle w:val="BodyText"/>
        <w:spacing w:line="211" w:lineRule="auto"/>
        <w:ind w:left="146" w:right="119" w:firstLine="312"/>
        <w:jc w:val="both"/>
      </w:pPr>
      <w:r>
        <w:rPr>
          <w:spacing w:val="-9"/>
        </w:rPr>
        <w:t>解脲脲原体</w:t>
      </w:r>
      <w:r>
        <w:rPr>
          <w:spacing w:val="-10"/>
        </w:rPr>
        <w:t>（</w:t>
      </w:r>
      <w:r>
        <w:rPr>
          <w:rFonts w:ascii="Times New Roman" w:eastAsia="Times New Roman"/>
          <w:spacing w:val="-10"/>
        </w:rPr>
        <w:t>UU</w:t>
      </w:r>
      <w:r>
        <w:rPr>
          <w:spacing w:val="-10"/>
        </w:rPr>
        <w:t>）</w:t>
      </w:r>
      <w:r>
        <w:rPr>
          <w:spacing w:val="-9"/>
        </w:rPr>
        <w:t>又称解脲支原体，是一类介于细菌与病毒之间的最小原核微生物，主要分布于人体泌尿生</w:t>
      </w:r>
      <w:r>
        <w:rPr>
          <w:spacing w:val="-6"/>
        </w:rPr>
        <w:t>殖道内，并通过性接触而传播，也可由母体垂直传染给胎儿。解脲脲原体是非淋菌性尿道炎的主要病原体之一， </w:t>
      </w:r>
      <w:r>
        <w:rPr>
          <w:spacing w:val="-7"/>
        </w:rPr>
        <w:t>感染后可导致多种生殖道炎症。在男性，可导致非淋菌性尿道炎、急性附睾炎、前列腺炎等的发生；在女性可引起包括子宫内膜炎、输卵管炎、卵巢炎等，宫内感染可引起流产、死胎、早产等不良后果。目前，解脲脲原体的</w:t>
      </w:r>
      <w:r>
        <w:rPr>
          <w:spacing w:val="-4"/>
        </w:rPr>
        <w:t>实验室诊断方法主要有分离培养法、免疫学方法、基于核酸检测的分子生物方法如实时</w:t>
      </w:r>
      <w:r>
        <w:rPr>
          <w:rFonts w:ascii="Times New Roman" w:eastAsia="Times New Roman"/>
        </w:rPr>
        <w:t>PCR </w:t>
      </w:r>
      <w:r>
        <w:rPr>
          <w:spacing w:val="-4"/>
        </w:rPr>
        <w:t>技术等。</w:t>
      </w:r>
    </w:p>
    <w:p>
      <w:pPr>
        <w:pStyle w:val="BodyText"/>
        <w:spacing w:line="211" w:lineRule="auto"/>
        <w:ind w:left="146" w:right="42" w:firstLine="312"/>
      </w:pPr>
      <w:r>
        <w:rPr>
          <w:spacing w:val="-8"/>
        </w:rPr>
        <w:t>奈瑟淋球菌（</w:t>
      </w:r>
      <w:r>
        <w:rPr>
          <w:rFonts w:ascii="Times New Roman" w:eastAsia="Times New Roman"/>
          <w:spacing w:val="-8"/>
        </w:rPr>
        <w:t>NG</w:t>
      </w:r>
      <w:r>
        <w:rPr>
          <w:spacing w:val="-8"/>
        </w:rPr>
        <w:t>）</w:t>
      </w:r>
      <w:r>
        <w:rPr>
          <w:spacing w:val="-10"/>
        </w:rPr>
        <w:t>俗称淋病双球菌或淋球菌，是引起人类淋病的致病病原体，属奈瑟菌属，是发展中国家发</w:t>
      </w:r>
      <w:r>
        <w:rPr>
          <w:spacing w:val="-5"/>
        </w:rPr>
        <w:t>病率较高的性传播疾病之一。男性患者感染后，常引起带有脓性分泌物和严重排尿困难的急性尿道炎，附睾炎， </w:t>
      </w:r>
      <w:r>
        <w:rPr>
          <w:spacing w:val="-14"/>
        </w:rPr>
        <w:t>前列腺炎等；对于女性患者，主要感染子宫颈内膜，起初症状轻微而不易察觉，如不加处理会可扩散至生殖系统， </w:t>
      </w:r>
      <w:r>
        <w:rPr>
          <w:spacing w:val="-7"/>
        </w:rPr>
        <w:t>不仅可引起尿道炎、宫颈炎、盆腔炎等，还可引起不孕不育症。极少数可经血液播散，产生播散性淋病，引起淋</w:t>
      </w:r>
      <w:r>
        <w:rPr>
          <w:spacing w:val="-8"/>
        </w:rPr>
        <w:t>菌性关节炎、心内膜炎。目前，针对淋球菌的实验室检测方法主要有分离培养法、涂片镜检法、酶免测定法、实</w:t>
      </w:r>
      <w:r>
        <w:rPr>
          <w:spacing w:val="33"/>
        </w:rPr>
        <w:t>时</w:t>
      </w:r>
      <w:r>
        <w:rPr>
          <w:rFonts w:ascii="Times New Roman" w:eastAsia="Times New Roman"/>
        </w:rPr>
        <w:t>PCR </w:t>
      </w:r>
      <w:r>
        <w:rPr>
          <w:spacing w:val="-4"/>
        </w:rPr>
        <w:t>技术等。</w:t>
      </w:r>
    </w:p>
    <w:p>
      <w:pPr>
        <w:pStyle w:val="BodyText"/>
        <w:spacing w:line="211" w:lineRule="auto"/>
        <w:ind w:left="146" w:right="123" w:firstLine="319"/>
        <w:jc w:val="both"/>
      </w:pPr>
      <w:r>
        <w:rPr>
          <w:spacing w:val="-9"/>
        </w:rPr>
        <w:t>本试剂盒通过对男性泌尿道、女性生殖道分泌物样本中沙眼衣原体、解脲脲原体及淋球菌同时检测，可为相</w:t>
      </w:r>
      <w:r>
        <w:rPr>
          <w:spacing w:val="-7"/>
        </w:rPr>
        <w:t>关性病的早期诊断以及性病高危人群的初筛提供分子诊断依据。检测结果不得作为患者病情评价的唯一指标，建</w:t>
      </w:r>
      <w:r>
        <w:rPr>
          <w:spacing w:val="-5"/>
        </w:rPr>
        <w:t>议结合患者临床表现和其他实验室检测对病情进行综合分析。</w:t>
      </w:r>
    </w:p>
    <w:p>
      <w:pPr>
        <w:pStyle w:val="Heading1"/>
        <w:spacing w:line="172" w:lineRule="exact"/>
      </w:pPr>
      <w:r>
        <w:rPr/>
        <w:t>【检验原理】</w:t>
      </w:r>
    </w:p>
    <w:p>
      <w:pPr>
        <w:pStyle w:val="BodyText"/>
        <w:spacing w:line="211" w:lineRule="auto"/>
        <w:ind w:left="146" w:right="119" w:firstLine="312"/>
        <w:jc w:val="both"/>
      </w:pPr>
      <w:r>
        <w:rPr>
          <w:spacing w:val="-16"/>
        </w:rPr>
        <w:t>本试剂盒利用针对沙眼衣原体、解脲脲原体、淋球菌核酸保守区设计的特异性引物、特异荧光探针，配以 </w:t>
      </w:r>
      <w:r>
        <w:rPr>
          <w:rFonts w:ascii="Times New Roman" w:eastAsia="Times New Roman"/>
          <w:spacing w:val="-6"/>
        </w:rPr>
        <w:t>PCR </w:t>
      </w:r>
      <w:r>
        <w:rPr>
          <w:spacing w:val="-2"/>
        </w:rPr>
        <w:t>反应液等组分，在荧光定量</w:t>
      </w:r>
      <w:r>
        <w:rPr>
          <w:rFonts w:ascii="Times New Roman" w:eastAsia="Times New Roman"/>
        </w:rPr>
        <w:t>PCR </w:t>
      </w:r>
      <w:r>
        <w:rPr>
          <w:spacing w:val="-3"/>
        </w:rPr>
        <w:t>仪上，应用多重实时荧光定量</w:t>
      </w:r>
      <w:r>
        <w:rPr>
          <w:rFonts w:ascii="Times New Roman" w:eastAsia="Times New Roman"/>
        </w:rPr>
        <w:t>PCR </w:t>
      </w:r>
      <w:r>
        <w:rPr>
          <w:spacing w:val="-5"/>
        </w:rPr>
        <w:t>检测技术，通过荧光信号的变化实现沙眼衣</w:t>
      </w:r>
      <w:r>
        <w:rPr>
          <w:spacing w:val="-2"/>
        </w:rPr>
        <w:t>原体、解脲脲原体、淋球菌</w:t>
      </w:r>
      <w:r>
        <w:rPr>
          <w:rFonts w:ascii="Times New Roman" w:eastAsia="Times New Roman"/>
          <w:spacing w:val="-2"/>
        </w:rPr>
        <w:t>DNA </w:t>
      </w:r>
      <w:r>
        <w:rPr>
          <w:spacing w:val="-5"/>
        </w:rPr>
        <w:t>的快速检测。</w:t>
      </w:r>
    </w:p>
    <w:p>
      <w:pPr>
        <w:pStyle w:val="BodyText"/>
        <w:spacing w:line="159" w:lineRule="exact"/>
        <w:ind w:left="458"/>
        <w:jc w:val="both"/>
      </w:pPr>
      <w:r>
        <w:rPr>
          <w:rFonts w:ascii="Times New Roman" w:eastAsia="Times New Roman"/>
        </w:rPr>
        <w:t>PCR </w:t>
      </w:r>
      <w:r>
        <w:rPr/>
        <w:t>检测体系含有</w:t>
      </w:r>
      <w:r>
        <w:rPr>
          <w:rFonts w:ascii="Times New Roman" w:eastAsia="Times New Roman"/>
        </w:rPr>
        <w:t>UNG </w:t>
      </w:r>
      <w:r>
        <w:rPr/>
        <w:t>酶</w:t>
      </w:r>
      <w:r>
        <w:rPr>
          <w:rFonts w:ascii="Times New Roman" w:eastAsia="Times New Roman"/>
        </w:rPr>
        <w:t>+dUTP </w:t>
      </w:r>
      <w:r>
        <w:rPr/>
        <w:t>防污染措施，将可能的产物污染充分降解，避免假阳性结果。</w:t>
      </w:r>
    </w:p>
    <w:p>
      <w:pPr>
        <w:pStyle w:val="BodyText"/>
        <w:spacing w:line="211" w:lineRule="auto"/>
        <w:ind w:left="146" w:right="119" w:firstLine="312"/>
        <w:jc w:val="both"/>
      </w:pPr>
      <w:r>
        <w:rPr>
          <w:rFonts w:ascii="Times New Roman" w:hAnsi="Times New Roman" w:eastAsia="Times New Roman"/>
          <w:spacing w:val="-1"/>
          <w:w w:val="100"/>
        </w:rPr>
        <w:t>P</w:t>
      </w:r>
      <w:r>
        <w:rPr>
          <w:rFonts w:ascii="Times New Roman" w:hAnsi="Times New Roman" w:eastAsia="Times New Roman"/>
          <w:spacing w:val="-2"/>
          <w:w w:val="100"/>
        </w:rPr>
        <w:t>C</w:t>
      </w:r>
      <w:r>
        <w:rPr>
          <w:rFonts w:ascii="Times New Roman" w:hAnsi="Times New Roman" w:eastAsia="Times New Roman"/>
          <w:w w:val="100"/>
        </w:rPr>
        <w:t>R</w:t>
      </w:r>
      <w:r>
        <w:rPr>
          <w:rFonts w:ascii="Times New Roman" w:hAnsi="Times New Roman" w:eastAsia="Times New Roman"/>
        </w:rPr>
        <w:t> </w:t>
      </w:r>
      <w:r>
        <w:rPr>
          <w:spacing w:val="-5"/>
          <w:w w:val="100"/>
        </w:rPr>
        <w:t>检测体系含有阳性内对照（</w:t>
      </w:r>
      <w:r>
        <w:rPr>
          <w:spacing w:val="-4"/>
          <w:w w:val="100"/>
        </w:rPr>
        <w:t>内标</w:t>
      </w:r>
      <w:r>
        <w:rPr>
          <w:spacing w:val="-82"/>
          <w:w w:val="100"/>
        </w:rPr>
        <w:t>）</w:t>
      </w:r>
      <w:r>
        <w:rPr>
          <w:spacing w:val="-5"/>
          <w:w w:val="100"/>
        </w:rPr>
        <w:t>，通过检测人表皮细胞中的</w:t>
      </w:r>
      <w:r>
        <w:rPr>
          <w:rFonts w:ascii="Times New Roman" w:hAnsi="Times New Roman" w:eastAsia="Times New Roman"/>
          <w:spacing w:val="-1"/>
          <w:w w:val="99"/>
          <w:sz w:val="20"/>
        </w:rPr>
        <w:t>β</w:t>
      </w:r>
      <w:r>
        <w:rPr>
          <w:rFonts w:ascii="Times New Roman" w:hAnsi="Times New Roman" w:eastAsia="Times New Roman"/>
          <w:spacing w:val="3"/>
          <w:w w:val="99"/>
          <w:sz w:val="20"/>
        </w:rPr>
        <w:t>-</w:t>
      </w:r>
      <w:r>
        <w:rPr>
          <w:spacing w:val="-5"/>
          <w:w w:val="100"/>
        </w:rPr>
        <w:t>球蛋白来评定采集的样本是否适用于扩</w:t>
      </w:r>
      <w:r>
        <w:rPr>
          <w:spacing w:val="-3"/>
        </w:rPr>
        <w:t>增反应，监测待测样本中是否具有</w:t>
      </w:r>
      <w:r>
        <w:rPr>
          <w:rFonts w:ascii="Times New Roman" w:hAnsi="Times New Roman" w:eastAsia="Times New Roman"/>
        </w:rPr>
        <w:t>PCR </w:t>
      </w:r>
      <w:r>
        <w:rPr>
          <w:spacing w:val="-3"/>
        </w:rPr>
        <w:t>抑制物及评价核酸提取的质量，避免</w:t>
      </w:r>
      <w:r>
        <w:rPr>
          <w:rFonts w:ascii="Times New Roman" w:hAnsi="Times New Roman" w:eastAsia="Times New Roman"/>
        </w:rPr>
        <w:t>PCR </w:t>
      </w:r>
      <w:r>
        <w:rPr>
          <w:spacing w:val="-4"/>
        </w:rPr>
        <w:t>假阴性。</w:t>
      </w:r>
    </w:p>
    <w:p>
      <w:pPr>
        <w:pStyle w:val="Heading1"/>
        <w:spacing w:line="185" w:lineRule="exact"/>
      </w:pPr>
      <w:r>
        <w:rPr/>
        <w:pict>
          <v:shape style="position:absolute;margin-left:26.940001pt;margin-top:8.770001pt;width:385.15pt;height:151.25pt;mso-position-horizontal-relative:page;mso-position-vertical-relative:paragraph;z-index:251659264" type="#_x0000_t202" filled="false" stroked="false">
            <v:textbox inset="0,0,0,0">
              <w:txbxContent>
                <w:tbl>
                  <w:tblPr>
                    <w:tblW w:w="0" w:type="auto"/>
                    <w:jc w:val="left"/>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0"/>
                    <w:gridCol w:w="2976"/>
                    <w:gridCol w:w="1134"/>
                    <w:gridCol w:w="3231"/>
                  </w:tblGrid>
                  <w:tr>
                    <w:trPr>
                      <w:trHeight w:val="359" w:hRule="atLeast"/>
                    </w:trPr>
                    <w:tc>
                      <w:tcPr>
                        <w:tcW w:w="340" w:type="dxa"/>
                        <w:tcBorders>
                          <w:left w:val="single" w:sz="6" w:space="0" w:color="000000"/>
                          <w:bottom w:val="single" w:sz="6" w:space="0" w:color="000000"/>
                          <w:right w:val="single" w:sz="6" w:space="0" w:color="000000"/>
                        </w:tcBorders>
                      </w:tcPr>
                      <w:p>
                        <w:pPr>
                          <w:pStyle w:val="TableParagraph"/>
                          <w:spacing w:line="180" w:lineRule="exact"/>
                          <w:ind w:left="106" w:right="67"/>
                          <w:rPr>
                            <w:rFonts w:ascii="宋体" w:eastAsia="宋体" w:hint="eastAsia"/>
                            <w:sz w:val="15"/>
                          </w:rPr>
                        </w:pPr>
                        <w:r>
                          <w:rPr>
                            <w:rFonts w:ascii="宋体" w:eastAsia="宋体" w:hint="eastAsia"/>
                            <w:sz w:val="15"/>
                          </w:rPr>
                          <w:t>序号</w:t>
                        </w:r>
                      </w:p>
                    </w:tc>
                    <w:tc>
                      <w:tcPr>
                        <w:tcW w:w="2976" w:type="dxa"/>
                        <w:tcBorders>
                          <w:left w:val="single" w:sz="6" w:space="0" w:color="000000"/>
                          <w:bottom w:val="single" w:sz="6" w:space="0" w:color="000000"/>
                          <w:right w:val="single" w:sz="6" w:space="0" w:color="000000"/>
                        </w:tcBorders>
                      </w:tcPr>
                      <w:p>
                        <w:pPr>
                          <w:pStyle w:val="TableParagraph"/>
                          <w:spacing w:line="240" w:lineRule="auto" w:before="83"/>
                          <w:ind w:left="0" w:right="3"/>
                          <w:jc w:val="center"/>
                          <w:rPr>
                            <w:rFonts w:ascii="宋体" w:eastAsia="宋体" w:hint="eastAsia"/>
                            <w:sz w:val="15"/>
                          </w:rPr>
                        </w:pPr>
                        <w:r>
                          <w:rPr>
                            <w:rFonts w:ascii="宋体" w:eastAsia="宋体" w:hint="eastAsia"/>
                            <w:sz w:val="15"/>
                          </w:rPr>
                          <w:t>试剂名称</w:t>
                        </w:r>
                      </w:p>
                    </w:tc>
                    <w:tc>
                      <w:tcPr>
                        <w:tcW w:w="1134" w:type="dxa"/>
                        <w:tcBorders>
                          <w:left w:val="single" w:sz="6" w:space="0" w:color="000000"/>
                          <w:bottom w:val="single" w:sz="6" w:space="0" w:color="000000"/>
                          <w:right w:val="single" w:sz="6" w:space="0" w:color="000000"/>
                        </w:tcBorders>
                      </w:tcPr>
                      <w:p>
                        <w:pPr>
                          <w:pStyle w:val="TableParagraph"/>
                          <w:spacing w:line="240" w:lineRule="auto" w:before="83"/>
                          <w:ind w:left="241"/>
                          <w:rPr>
                            <w:rFonts w:ascii="宋体" w:eastAsia="宋体" w:hint="eastAsia"/>
                            <w:sz w:val="15"/>
                          </w:rPr>
                        </w:pPr>
                        <w:r>
                          <w:rPr>
                            <w:rFonts w:ascii="宋体" w:eastAsia="宋体" w:hint="eastAsia"/>
                            <w:sz w:val="15"/>
                          </w:rPr>
                          <w:t>规格与装量</w:t>
                        </w:r>
                      </w:p>
                    </w:tc>
                    <w:tc>
                      <w:tcPr>
                        <w:tcW w:w="3231" w:type="dxa"/>
                        <w:tcBorders>
                          <w:left w:val="single" w:sz="6" w:space="0" w:color="000000"/>
                          <w:bottom w:val="single" w:sz="6" w:space="0" w:color="000000"/>
                          <w:right w:val="single" w:sz="6" w:space="0" w:color="000000"/>
                        </w:tcBorders>
                      </w:tcPr>
                      <w:p>
                        <w:pPr>
                          <w:pStyle w:val="TableParagraph"/>
                          <w:spacing w:line="240" w:lineRule="auto" w:before="83"/>
                          <w:ind w:left="96" w:right="7"/>
                          <w:jc w:val="center"/>
                          <w:rPr>
                            <w:rFonts w:ascii="宋体" w:eastAsia="宋体" w:hint="eastAsia"/>
                            <w:sz w:val="15"/>
                          </w:rPr>
                        </w:pPr>
                        <w:r>
                          <w:rPr>
                            <w:rFonts w:ascii="宋体" w:eastAsia="宋体" w:hint="eastAsia"/>
                            <w:sz w:val="15"/>
                          </w:rPr>
                          <w:t>主要成分及浓度</w:t>
                        </w:r>
                      </w:p>
                    </w:tc>
                  </w:tr>
                  <w:tr>
                    <w:trPr>
                      <w:trHeight w:val="180"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156" w:lineRule="exact" w:before="3"/>
                          <w:ind w:left="132"/>
                          <w:rPr>
                            <w:sz w:val="15"/>
                          </w:rPr>
                        </w:pPr>
                        <w:r>
                          <w:rPr>
                            <w:w w:val="99"/>
                            <w:sz w:val="15"/>
                          </w:rPr>
                          <w:t>1</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ind w:left="0" w:right="1"/>
                          <w:jc w:val="center"/>
                          <w:rPr>
                            <w:rFonts w:ascii="宋体" w:eastAsia="宋体" w:hint="eastAsia"/>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w:t>
                        </w:r>
                        <w:r>
                          <w:rPr>
                            <w:rFonts w:ascii="宋体" w:eastAsia="宋体" w:hint="eastAsia"/>
                            <w:sz w:val="15"/>
                          </w:rPr>
                          <w:t>酶混合液</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ind w:left="174"/>
                          <w:rPr>
                            <w:rFonts w:ascii="宋体" w:hAnsi="宋体" w:eastAsia="宋体" w:hint="eastAsia"/>
                            <w:sz w:val="15"/>
                          </w:rPr>
                        </w:pPr>
                        <w:r>
                          <w:rPr>
                            <w:sz w:val="15"/>
                          </w:rPr>
                          <w:t>96 μL /</w:t>
                        </w:r>
                        <w:r>
                          <w:rPr>
                            <w:rFonts w:ascii="宋体" w:hAnsi="宋体" w:eastAsia="宋体" w:hint="eastAsia"/>
                            <w:sz w:val="15"/>
                          </w:rPr>
                          <w:t>管</w:t>
                        </w:r>
                        <w:r>
                          <w:rPr>
                            <w:sz w:val="15"/>
                          </w:rPr>
                          <w:t>×1</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ind w:left="78" w:right="35"/>
                          <w:jc w:val="center"/>
                          <w:rPr>
                            <w:sz w:val="15"/>
                          </w:rPr>
                        </w:pPr>
                        <w:r>
                          <w:rPr>
                            <w:w w:val="99"/>
                            <w:sz w:val="15"/>
                          </w:rPr>
                          <w:t>D</w:t>
                        </w:r>
                        <w:r>
                          <w:rPr>
                            <w:spacing w:val="-2"/>
                            <w:w w:val="99"/>
                            <w:sz w:val="15"/>
                          </w:rPr>
                          <w:t>NA</w:t>
                        </w:r>
                        <w:r>
                          <w:rPr>
                            <w:rFonts w:ascii="宋体" w:eastAsia="宋体" w:hint="eastAsia"/>
                            <w:spacing w:val="-23"/>
                            <w:w w:val="99"/>
                            <w:sz w:val="15"/>
                          </w:rPr>
                          <w:t>聚合酶</w:t>
                        </w:r>
                        <w:r>
                          <w:rPr>
                            <w:rFonts w:ascii="宋体" w:eastAsia="宋体" w:hint="eastAsia"/>
                            <w:spacing w:val="-3"/>
                            <w:w w:val="99"/>
                            <w:sz w:val="15"/>
                          </w:rPr>
                          <w:t>（</w:t>
                        </w:r>
                        <w:r>
                          <w:rPr>
                            <w:spacing w:val="-1"/>
                            <w:w w:val="99"/>
                            <w:sz w:val="15"/>
                          </w:rPr>
                          <w:t>9</w:t>
                        </w:r>
                        <w:r>
                          <w:rPr>
                            <w:spacing w:val="-3"/>
                            <w:w w:val="99"/>
                            <w:sz w:val="15"/>
                          </w:rPr>
                          <w:t>0</w:t>
                        </w:r>
                        <w:r>
                          <w:rPr>
                            <w:spacing w:val="-2"/>
                            <w:w w:val="99"/>
                            <w:sz w:val="15"/>
                          </w:rPr>
                          <w:t>%</w:t>
                        </w:r>
                        <w:r>
                          <w:rPr>
                            <w:rFonts w:ascii="宋体" w:eastAsia="宋体" w:hint="eastAsia"/>
                            <w:spacing w:val="-63"/>
                            <w:w w:val="99"/>
                            <w:sz w:val="15"/>
                          </w:rPr>
                          <w:t>）</w:t>
                        </w:r>
                        <w:r>
                          <w:rPr>
                            <w:rFonts w:ascii="宋体" w:eastAsia="宋体" w:hint="eastAsia"/>
                            <w:spacing w:val="-4"/>
                            <w:w w:val="99"/>
                            <w:sz w:val="15"/>
                          </w:rPr>
                          <w:t>和尿嘧啶</w:t>
                        </w:r>
                        <w:r>
                          <w:rPr>
                            <w:w w:val="99"/>
                            <w:sz w:val="15"/>
                          </w:rPr>
                          <w:t>D</w:t>
                        </w:r>
                        <w:r>
                          <w:rPr>
                            <w:spacing w:val="-2"/>
                            <w:w w:val="99"/>
                            <w:sz w:val="15"/>
                          </w:rPr>
                          <w:t>N</w:t>
                        </w:r>
                        <w:r>
                          <w:rPr>
                            <w:spacing w:val="-3"/>
                            <w:w w:val="99"/>
                            <w:sz w:val="15"/>
                          </w:rPr>
                          <w:t>A</w:t>
                        </w:r>
                        <w:r>
                          <w:rPr>
                            <w:rFonts w:ascii="宋体" w:eastAsia="宋体" w:hint="eastAsia"/>
                            <w:spacing w:val="-19"/>
                            <w:w w:val="99"/>
                            <w:sz w:val="15"/>
                          </w:rPr>
                          <w:t>糖基化酶</w:t>
                        </w:r>
                        <w:r>
                          <w:rPr>
                            <w:rFonts w:ascii="宋体" w:eastAsia="宋体" w:hint="eastAsia"/>
                            <w:spacing w:val="-5"/>
                            <w:w w:val="99"/>
                            <w:sz w:val="15"/>
                          </w:rPr>
                          <w:t>（</w:t>
                        </w:r>
                        <w:r>
                          <w:rPr>
                            <w:spacing w:val="-1"/>
                            <w:w w:val="99"/>
                            <w:sz w:val="15"/>
                          </w:rPr>
                          <w:t>1</w:t>
                        </w:r>
                        <w:r>
                          <w:rPr>
                            <w:spacing w:val="-3"/>
                            <w:w w:val="99"/>
                            <w:sz w:val="15"/>
                          </w:rPr>
                          <w:t>0</w:t>
                        </w:r>
                        <w:r>
                          <w:rPr>
                            <w:w w:val="99"/>
                            <w:sz w:val="15"/>
                          </w:rPr>
                          <w:t>%</w:t>
                        </w:r>
                      </w:p>
                    </w:tc>
                  </w:tr>
                  <w:tr>
                    <w:trPr>
                      <w:trHeight w:val="360"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94"/>
                          <w:ind w:left="132"/>
                          <w:rPr>
                            <w:sz w:val="15"/>
                          </w:rPr>
                        </w:pPr>
                        <w:r>
                          <w:rPr>
                            <w:w w:val="99"/>
                            <w:sz w:val="15"/>
                          </w:rPr>
                          <w:t>2</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4"/>
                          <w:ind w:left="0" w:right="1"/>
                          <w:jc w:val="center"/>
                          <w:rPr>
                            <w:rFonts w:ascii="宋体" w:eastAsia="宋体" w:hint="eastAsia"/>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-PCR</w:t>
                        </w:r>
                        <w:r>
                          <w:rPr>
                            <w:rFonts w:ascii="宋体" w:eastAsia="宋体" w:hint="eastAsia"/>
                            <w:sz w:val="15"/>
                          </w:rPr>
                          <w:t>反应液</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4"/>
                          <w:ind w:left="138"/>
                          <w:rPr>
                            <w:rFonts w:ascii="宋体" w:hAnsi="宋体" w:eastAsia="宋体" w:hint="eastAsia"/>
                            <w:sz w:val="15"/>
                          </w:rPr>
                        </w:pPr>
                        <w:r>
                          <w:rPr>
                            <w:sz w:val="15"/>
                          </w:rPr>
                          <w:t>912 μL /</w:t>
                        </w:r>
                        <w:r>
                          <w:rPr>
                            <w:rFonts w:ascii="宋体" w:hAnsi="宋体" w:eastAsia="宋体" w:hint="eastAsia"/>
                            <w:sz w:val="15"/>
                          </w:rPr>
                          <w:t>管</w:t>
                        </w:r>
                        <w:r>
                          <w:rPr>
                            <w:sz w:val="15"/>
                          </w:rPr>
                          <w:t>×2</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spacing w:line="179" w:lineRule="exact"/>
                          <w:ind w:left="81" w:right="35"/>
                          <w:jc w:val="center"/>
                          <w:rPr>
                            <w:rFonts w:ascii="宋体" w:eastAsia="宋体" w:hint="eastAsia"/>
                            <w:sz w:val="15"/>
                          </w:rPr>
                        </w:pPr>
                        <w:r>
                          <w:rPr>
                            <w:rFonts w:ascii="宋体" w:eastAsia="宋体" w:hint="eastAsia"/>
                            <w:spacing w:val="-6"/>
                            <w:w w:val="99"/>
                            <w:sz w:val="15"/>
                          </w:rPr>
                          <w:t>引物</w:t>
                        </w:r>
                        <w:r>
                          <w:rPr>
                            <w:rFonts w:ascii="宋体" w:eastAsia="宋体" w:hint="eastAsia"/>
                            <w:spacing w:val="-5"/>
                            <w:w w:val="99"/>
                            <w:sz w:val="15"/>
                          </w:rPr>
                          <w:t>（</w:t>
                        </w:r>
                        <w:r>
                          <w:rPr>
                            <w:spacing w:val="-1"/>
                            <w:w w:val="99"/>
                            <w:sz w:val="15"/>
                          </w:rPr>
                          <w:t>1</w:t>
                        </w:r>
                        <w:r>
                          <w:rPr>
                            <w:spacing w:val="-3"/>
                            <w:w w:val="99"/>
                            <w:sz w:val="15"/>
                          </w:rPr>
                          <w:t>0</w:t>
                        </w:r>
                        <w:r>
                          <w:rPr>
                            <w:spacing w:val="-1"/>
                            <w:w w:val="99"/>
                            <w:sz w:val="15"/>
                          </w:rPr>
                          <w:t>pm</w:t>
                        </w:r>
                        <w:r>
                          <w:rPr>
                            <w:spacing w:val="-3"/>
                            <w:w w:val="99"/>
                            <w:sz w:val="15"/>
                          </w:rPr>
                          <w:t>ol</w:t>
                        </w:r>
                        <w:r>
                          <w:rPr>
                            <w:rFonts w:ascii="宋体" w:eastAsia="宋体" w:hint="eastAsia"/>
                            <w:spacing w:val="-75"/>
                            <w:w w:val="99"/>
                            <w:sz w:val="15"/>
                          </w:rPr>
                          <w:t>）</w:t>
                        </w:r>
                        <w:r>
                          <w:rPr>
                            <w:rFonts w:ascii="宋体" w:eastAsia="宋体" w:hint="eastAsia"/>
                            <w:spacing w:val="-6"/>
                            <w:w w:val="99"/>
                            <w:sz w:val="15"/>
                          </w:rPr>
                          <w:t>、探针</w:t>
                        </w:r>
                        <w:r>
                          <w:rPr>
                            <w:spacing w:val="-2"/>
                            <w:w w:val="99"/>
                            <w:sz w:val="15"/>
                          </w:rPr>
                          <w:t>(</w:t>
                        </w:r>
                        <w:r>
                          <w:rPr>
                            <w:spacing w:val="-3"/>
                            <w:w w:val="99"/>
                            <w:sz w:val="15"/>
                          </w:rPr>
                          <w:t>5</w:t>
                        </w:r>
                        <w:r>
                          <w:rPr>
                            <w:spacing w:val="-1"/>
                            <w:w w:val="99"/>
                            <w:sz w:val="15"/>
                          </w:rPr>
                          <w:t>pm</w:t>
                        </w:r>
                        <w:r>
                          <w:rPr>
                            <w:spacing w:val="-3"/>
                            <w:w w:val="99"/>
                            <w:sz w:val="15"/>
                          </w:rPr>
                          <w:t>ol</w:t>
                        </w:r>
                        <w:r>
                          <w:rPr>
                            <w:spacing w:val="-2"/>
                            <w:w w:val="99"/>
                            <w:sz w:val="15"/>
                          </w:rPr>
                          <w:t>)</w:t>
                        </w:r>
                        <w:r>
                          <w:rPr>
                            <w:rFonts w:ascii="宋体" w:eastAsia="宋体" w:hint="eastAsia"/>
                            <w:spacing w:val="-8"/>
                            <w:w w:val="99"/>
                            <w:sz w:val="15"/>
                          </w:rPr>
                          <w:t>、</w:t>
                        </w:r>
                        <w:r>
                          <w:rPr>
                            <w:spacing w:val="-1"/>
                            <w:w w:val="99"/>
                            <w:sz w:val="15"/>
                          </w:rPr>
                          <w:t>d</w:t>
                        </w:r>
                        <w:r>
                          <w:rPr>
                            <w:spacing w:val="-2"/>
                            <w:w w:val="99"/>
                            <w:sz w:val="15"/>
                          </w:rPr>
                          <w:t>N</w:t>
                        </w:r>
                        <w:r>
                          <w:rPr>
                            <w:spacing w:val="-3"/>
                            <w:w w:val="99"/>
                            <w:sz w:val="15"/>
                          </w:rPr>
                          <w:t>T</w:t>
                        </w:r>
                        <w:r>
                          <w:rPr>
                            <w:spacing w:val="-2"/>
                            <w:w w:val="99"/>
                            <w:sz w:val="15"/>
                          </w:rPr>
                          <w:t>P</w:t>
                        </w:r>
                        <w:r>
                          <w:rPr>
                            <w:spacing w:val="-8"/>
                            <w:w w:val="99"/>
                            <w:sz w:val="15"/>
                          </w:rPr>
                          <w:t>s</w:t>
                        </w:r>
                        <w:r>
                          <w:rPr>
                            <w:rFonts w:ascii="宋体" w:eastAsia="宋体" w:hint="eastAsia"/>
                            <w:spacing w:val="-3"/>
                            <w:w w:val="99"/>
                            <w:sz w:val="15"/>
                          </w:rPr>
                          <w:t>（</w:t>
                        </w:r>
                        <w:r>
                          <w:rPr>
                            <w:spacing w:val="-1"/>
                            <w:w w:val="99"/>
                            <w:sz w:val="15"/>
                          </w:rPr>
                          <w:t>1</w:t>
                        </w:r>
                        <w:r>
                          <w:rPr>
                            <w:w w:val="99"/>
                            <w:sz w:val="15"/>
                          </w:rPr>
                          <w:t>6</w:t>
                        </w:r>
                        <w:r>
                          <w:rPr>
                            <w:spacing w:val="-7"/>
                            <w:sz w:val="15"/>
                          </w:rPr>
                          <w:t> </w:t>
                        </w:r>
                        <w:r>
                          <w:rPr>
                            <w:spacing w:val="-1"/>
                            <w:w w:val="99"/>
                            <w:sz w:val="15"/>
                          </w:rPr>
                          <w:t>mM</w:t>
                        </w:r>
                        <w:r>
                          <w:rPr>
                            <w:rFonts w:ascii="宋体" w:eastAsia="宋体" w:hint="eastAsia"/>
                            <w:spacing w:val="-77"/>
                            <w:w w:val="99"/>
                            <w:sz w:val="15"/>
                          </w:rPr>
                          <w:t>）</w:t>
                        </w:r>
                      </w:p>
                      <w:p>
                        <w:pPr>
                          <w:pStyle w:val="TableParagraph"/>
                          <w:spacing w:line="161" w:lineRule="exact"/>
                          <w:ind w:left="146" w:right="28"/>
                          <w:jc w:val="center"/>
                          <w:rPr>
                            <w:rFonts w:ascii="宋体" w:eastAsia="宋体" w:hint="eastAsia"/>
                            <w:sz w:val="15"/>
                          </w:rPr>
                        </w:pPr>
                        <w:r>
                          <w:rPr>
                            <w:spacing w:val="-1"/>
                            <w:w w:val="99"/>
                            <w:sz w:val="15"/>
                          </w:rPr>
                          <w:t>1</w:t>
                        </w:r>
                        <w:r>
                          <w:rPr>
                            <w:w w:val="99"/>
                            <w:sz w:val="15"/>
                          </w:rPr>
                          <w:t>0</w:t>
                        </w:r>
                        <w:r>
                          <w:rPr>
                            <w:spacing w:val="-4"/>
                            <w:sz w:val="15"/>
                          </w:rPr>
                          <w:t> </w:t>
                        </w:r>
                        <w:r>
                          <w:rPr>
                            <w:w w:val="99"/>
                            <w:sz w:val="15"/>
                          </w:rPr>
                          <w:t>x</w:t>
                        </w:r>
                        <w:r>
                          <w:rPr>
                            <w:spacing w:val="-4"/>
                            <w:sz w:val="15"/>
                          </w:rPr>
                          <w:t> </w:t>
                        </w:r>
                        <w:r>
                          <w:rPr>
                            <w:spacing w:val="-2"/>
                            <w:w w:val="99"/>
                            <w:sz w:val="15"/>
                          </w:rPr>
                          <w:t>P</w:t>
                        </w:r>
                        <w:r>
                          <w:rPr>
                            <w:spacing w:val="-1"/>
                            <w:w w:val="99"/>
                            <w:sz w:val="15"/>
                          </w:rPr>
                          <w:t>C</w:t>
                        </w:r>
                        <w:r>
                          <w:rPr>
                            <w:w w:val="99"/>
                            <w:sz w:val="15"/>
                          </w:rPr>
                          <w:t>R</w:t>
                        </w:r>
                        <w:r>
                          <w:rPr>
                            <w:spacing w:val="-3"/>
                            <w:sz w:val="15"/>
                          </w:rPr>
                          <w:t> </w:t>
                        </w:r>
                        <w:r>
                          <w:rPr>
                            <w:spacing w:val="-3"/>
                            <w:w w:val="99"/>
                            <w:sz w:val="15"/>
                          </w:rPr>
                          <w:t>b</w:t>
                        </w:r>
                        <w:r>
                          <w:rPr>
                            <w:spacing w:val="-1"/>
                            <w:w w:val="99"/>
                            <w:sz w:val="15"/>
                          </w:rPr>
                          <w:t>u</w:t>
                        </w:r>
                        <w:r>
                          <w:rPr>
                            <w:spacing w:val="-5"/>
                            <w:w w:val="99"/>
                            <w:sz w:val="15"/>
                          </w:rPr>
                          <w:t>f</w:t>
                        </w:r>
                        <w:r>
                          <w:rPr>
                            <w:spacing w:val="-2"/>
                            <w:w w:val="99"/>
                            <w:sz w:val="15"/>
                          </w:rPr>
                          <w:t>fe</w:t>
                        </w:r>
                        <w:r>
                          <w:rPr>
                            <w:spacing w:val="-4"/>
                            <w:w w:val="99"/>
                            <w:sz w:val="15"/>
                          </w:rPr>
                          <w:t>r</w:t>
                        </w:r>
                        <w:r>
                          <w:rPr>
                            <w:rFonts w:ascii="宋体" w:eastAsia="宋体" w:hint="eastAsia"/>
                            <w:spacing w:val="-3"/>
                            <w:w w:val="99"/>
                            <w:sz w:val="15"/>
                          </w:rPr>
                          <w:t>（</w:t>
                        </w:r>
                        <w:r>
                          <w:rPr>
                            <w:spacing w:val="-1"/>
                            <w:w w:val="99"/>
                            <w:sz w:val="15"/>
                          </w:rPr>
                          <w:t>1</w:t>
                        </w:r>
                        <w:r>
                          <w:rPr>
                            <w:spacing w:val="-5"/>
                            <w:w w:val="99"/>
                            <w:sz w:val="15"/>
                          </w:rPr>
                          <w:t>0</w:t>
                        </w:r>
                        <w:r>
                          <w:rPr>
                            <w:w w:val="99"/>
                            <w:sz w:val="15"/>
                          </w:rPr>
                          <w:t>%</w:t>
                        </w:r>
                        <w:r>
                          <w:rPr>
                            <w:rFonts w:ascii="宋体" w:eastAsia="宋体" w:hint="eastAsia"/>
                            <w:spacing w:val="-77"/>
                            <w:w w:val="99"/>
                            <w:sz w:val="15"/>
                          </w:rPr>
                          <w:t>）</w:t>
                        </w:r>
                        <w:r>
                          <w:rPr>
                            <w:rFonts w:ascii="宋体" w:eastAsia="宋体" w:hint="eastAsia"/>
                            <w:spacing w:val="-4"/>
                            <w:w w:val="99"/>
                            <w:sz w:val="15"/>
                          </w:rPr>
                          <w:t>、灭菌纯化水</w:t>
                        </w:r>
                      </w:p>
                    </w:tc>
                  </w:tr>
                  <w:tr>
                    <w:trPr>
                      <w:trHeight w:val="360"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94"/>
                          <w:ind w:left="132"/>
                          <w:rPr>
                            <w:sz w:val="15"/>
                          </w:rPr>
                        </w:pPr>
                        <w:r>
                          <w:rPr>
                            <w:w w:val="99"/>
                            <w:sz w:val="15"/>
                          </w:rPr>
                          <w:t>3</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4"/>
                          <w:ind w:left="0" w:right="1"/>
                          <w:jc w:val="center"/>
                          <w:rPr>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w:t>
                        </w:r>
                        <w:r>
                          <w:rPr>
                            <w:rFonts w:ascii="宋体" w:eastAsia="宋体" w:hint="eastAsia"/>
                            <w:sz w:val="15"/>
                          </w:rPr>
                          <w:t>阳性参照品</w:t>
                        </w:r>
                        <w:r>
                          <w:rPr>
                            <w:sz w:val="15"/>
                          </w:rPr>
                          <w:t>A</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4"/>
                          <w:ind w:left="191"/>
                          <w:rPr>
                            <w:rFonts w:ascii="宋体" w:hAnsi="宋体" w:eastAsia="宋体" w:hint="eastAsia"/>
                            <w:sz w:val="15"/>
                          </w:rPr>
                        </w:pPr>
                        <w:r>
                          <w:rPr>
                            <w:sz w:val="15"/>
                          </w:rPr>
                          <w:t>50μL /</w:t>
                        </w:r>
                        <w:r>
                          <w:rPr>
                            <w:rFonts w:ascii="宋体" w:hAnsi="宋体" w:eastAsia="宋体" w:hint="eastAsia"/>
                            <w:sz w:val="15"/>
                          </w:rPr>
                          <w:t>管</w:t>
                        </w:r>
                        <w:r>
                          <w:rPr>
                            <w:sz w:val="15"/>
                          </w:rPr>
                          <w:t>×1</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spacing w:line="180" w:lineRule="exact" w:before="1"/>
                          <w:ind w:left="862" w:right="9" w:hanging="740"/>
                          <w:rPr>
                            <w:rFonts w:ascii="宋体" w:hAnsi="宋体" w:eastAsia="宋体" w:hint="eastAsia"/>
                            <w:sz w:val="15"/>
                          </w:rPr>
                        </w:pPr>
                        <w:r>
                          <w:rPr>
                            <w:rFonts w:ascii="宋体" w:hAnsi="宋体" w:eastAsia="宋体" w:hint="eastAsia"/>
                            <w:spacing w:val="-5"/>
                            <w:w w:val="95"/>
                            <w:sz w:val="15"/>
                          </w:rPr>
                          <w:t>含沙眼衣原体、解脲脲原体、淋球菌、</w:t>
                        </w:r>
                        <w:r>
                          <w:rPr>
                            <w:w w:val="95"/>
                            <w:sz w:val="18"/>
                          </w:rPr>
                          <w:t>β-</w:t>
                        </w:r>
                        <w:r>
                          <w:rPr>
                            <w:rFonts w:ascii="宋体" w:hAnsi="宋体" w:eastAsia="宋体" w:hint="eastAsia"/>
                            <w:w w:val="95"/>
                            <w:sz w:val="15"/>
                          </w:rPr>
                          <w:t>球蛋白 </w:t>
                        </w:r>
                        <w:r>
                          <w:rPr>
                            <w:rFonts w:ascii="宋体" w:hAnsi="宋体" w:eastAsia="宋体" w:hint="eastAsia"/>
                            <w:spacing w:val="-5"/>
                            <w:sz w:val="15"/>
                          </w:rPr>
                          <w:t>目标片段的阳性克隆质粒</w:t>
                        </w:r>
                      </w:p>
                    </w:tc>
                  </w:tr>
                  <w:tr>
                    <w:trPr>
                      <w:trHeight w:val="359"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92"/>
                          <w:ind w:left="132"/>
                          <w:rPr>
                            <w:sz w:val="15"/>
                          </w:rPr>
                        </w:pPr>
                        <w:r>
                          <w:rPr>
                            <w:w w:val="99"/>
                            <w:sz w:val="15"/>
                          </w:rPr>
                          <w:t>4</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2"/>
                          <w:ind w:left="0"/>
                          <w:jc w:val="center"/>
                          <w:rPr>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w:t>
                        </w:r>
                        <w:r>
                          <w:rPr>
                            <w:rFonts w:ascii="宋体" w:eastAsia="宋体" w:hint="eastAsia"/>
                            <w:sz w:val="15"/>
                          </w:rPr>
                          <w:t>阳性参照品</w:t>
                        </w:r>
                        <w:r>
                          <w:rPr>
                            <w:sz w:val="15"/>
                          </w:rPr>
                          <w:t>B</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2"/>
                          <w:ind w:left="191"/>
                          <w:rPr>
                            <w:rFonts w:ascii="宋体" w:hAnsi="宋体" w:eastAsia="宋体" w:hint="eastAsia"/>
                            <w:sz w:val="15"/>
                          </w:rPr>
                        </w:pPr>
                        <w:r>
                          <w:rPr>
                            <w:sz w:val="15"/>
                          </w:rPr>
                          <w:t>50μL /</w:t>
                        </w:r>
                        <w:r>
                          <w:rPr>
                            <w:rFonts w:ascii="宋体" w:hAnsi="宋体" w:eastAsia="宋体" w:hint="eastAsia"/>
                            <w:sz w:val="15"/>
                          </w:rPr>
                          <w:t>管</w:t>
                        </w:r>
                        <w:r>
                          <w:rPr>
                            <w:sz w:val="15"/>
                          </w:rPr>
                          <w:t>×1</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spacing w:line="180" w:lineRule="exact"/>
                          <w:ind w:left="146" w:right="35"/>
                          <w:jc w:val="center"/>
                          <w:rPr>
                            <w:rFonts w:ascii="宋体" w:hAnsi="宋体" w:eastAsia="宋体" w:hint="eastAsia"/>
                            <w:sz w:val="15"/>
                          </w:rPr>
                        </w:pPr>
                        <w:r>
                          <w:rPr>
                            <w:rFonts w:ascii="宋体" w:hAnsi="宋体" w:eastAsia="宋体" w:hint="eastAsia"/>
                            <w:w w:val="95"/>
                            <w:sz w:val="15"/>
                          </w:rPr>
                          <w:t>含沙眼衣原体、解脲脲原体、淋球菌、</w:t>
                        </w:r>
                        <w:r>
                          <w:rPr>
                            <w:w w:val="95"/>
                            <w:sz w:val="18"/>
                          </w:rPr>
                          <w:t>β-</w:t>
                        </w:r>
                        <w:r>
                          <w:rPr>
                            <w:rFonts w:ascii="宋体" w:hAnsi="宋体" w:eastAsia="宋体" w:hint="eastAsia"/>
                            <w:w w:val="95"/>
                            <w:sz w:val="15"/>
                          </w:rPr>
                          <w:t>球蛋白</w:t>
                        </w:r>
                      </w:p>
                      <w:p>
                        <w:pPr>
                          <w:pStyle w:val="TableParagraph"/>
                          <w:spacing w:line="159" w:lineRule="exact"/>
                          <w:ind w:left="146" w:right="30"/>
                          <w:jc w:val="center"/>
                          <w:rPr>
                            <w:rFonts w:ascii="宋体" w:eastAsia="宋体" w:hint="eastAsia"/>
                            <w:sz w:val="15"/>
                          </w:rPr>
                        </w:pPr>
                        <w:r>
                          <w:rPr>
                            <w:rFonts w:ascii="宋体" w:eastAsia="宋体" w:hint="eastAsia"/>
                            <w:sz w:val="15"/>
                          </w:rPr>
                          <w:t>目标片段的阳性克隆质粒</w:t>
                        </w:r>
                      </w:p>
                    </w:tc>
                  </w:tr>
                  <w:tr>
                    <w:trPr>
                      <w:trHeight w:val="360"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95"/>
                          <w:ind w:left="132"/>
                          <w:rPr>
                            <w:sz w:val="15"/>
                          </w:rPr>
                        </w:pPr>
                        <w:r>
                          <w:rPr>
                            <w:w w:val="99"/>
                            <w:sz w:val="15"/>
                          </w:rPr>
                          <w:t>5</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5"/>
                          <w:ind w:left="0"/>
                          <w:jc w:val="center"/>
                          <w:rPr>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w:t>
                        </w:r>
                        <w:r>
                          <w:rPr>
                            <w:rFonts w:ascii="宋体" w:eastAsia="宋体" w:hint="eastAsia"/>
                            <w:sz w:val="15"/>
                          </w:rPr>
                          <w:t>阳性参照品</w:t>
                        </w:r>
                        <w:r>
                          <w:rPr>
                            <w:sz w:val="15"/>
                          </w:rPr>
                          <w:t>C</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5"/>
                          <w:ind w:left="191"/>
                          <w:rPr>
                            <w:rFonts w:ascii="宋体" w:hAnsi="宋体" w:eastAsia="宋体" w:hint="eastAsia"/>
                            <w:sz w:val="15"/>
                          </w:rPr>
                        </w:pPr>
                        <w:r>
                          <w:rPr>
                            <w:sz w:val="15"/>
                          </w:rPr>
                          <w:t>50μL /</w:t>
                        </w:r>
                        <w:r>
                          <w:rPr>
                            <w:rFonts w:ascii="宋体" w:hAnsi="宋体" w:eastAsia="宋体" w:hint="eastAsia"/>
                            <w:sz w:val="15"/>
                          </w:rPr>
                          <w:t>管</w:t>
                        </w:r>
                        <w:r>
                          <w:rPr>
                            <w:sz w:val="15"/>
                          </w:rPr>
                          <w:t>×1</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spacing w:line="180" w:lineRule="exact"/>
                          <w:ind w:left="862" w:right="9" w:hanging="740"/>
                          <w:rPr>
                            <w:rFonts w:ascii="宋体" w:hAnsi="宋体" w:eastAsia="宋体" w:hint="eastAsia"/>
                            <w:sz w:val="15"/>
                          </w:rPr>
                        </w:pPr>
                        <w:r>
                          <w:rPr>
                            <w:rFonts w:ascii="宋体" w:hAnsi="宋体" w:eastAsia="宋体" w:hint="eastAsia"/>
                            <w:spacing w:val="-5"/>
                            <w:w w:val="95"/>
                            <w:sz w:val="15"/>
                          </w:rPr>
                          <w:t>含沙眼衣原体、解脲脲原体、淋球菌、</w:t>
                        </w:r>
                        <w:r>
                          <w:rPr>
                            <w:w w:val="95"/>
                            <w:sz w:val="18"/>
                          </w:rPr>
                          <w:t>β-</w:t>
                        </w:r>
                        <w:r>
                          <w:rPr>
                            <w:rFonts w:ascii="宋体" w:hAnsi="宋体" w:eastAsia="宋体" w:hint="eastAsia"/>
                            <w:w w:val="95"/>
                            <w:sz w:val="15"/>
                          </w:rPr>
                          <w:t>球蛋白 </w:t>
                        </w:r>
                        <w:r>
                          <w:rPr>
                            <w:rFonts w:ascii="宋体" w:hAnsi="宋体" w:eastAsia="宋体" w:hint="eastAsia"/>
                            <w:spacing w:val="-5"/>
                            <w:sz w:val="15"/>
                          </w:rPr>
                          <w:t>目标片段的阳性克隆质粒</w:t>
                        </w:r>
                      </w:p>
                    </w:tc>
                  </w:tr>
                  <w:tr>
                    <w:trPr>
                      <w:trHeight w:val="360"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94"/>
                          <w:ind w:left="132"/>
                          <w:rPr>
                            <w:sz w:val="15"/>
                          </w:rPr>
                        </w:pPr>
                        <w:r>
                          <w:rPr>
                            <w:w w:val="99"/>
                            <w:sz w:val="15"/>
                          </w:rPr>
                          <w:t>6</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4"/>
                          <w:ind w:left="0" w:right="1"/>
                          <w:jc w:val="center"/>
                          <w:rPr>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w:t>
                        </w:r>
                        <w:r>
                          <w:rPr>
                            <w:rFonts w:ascii="宋体" w:eastAsia="宋体" w:hint="eastAsia"/>
                            <w:sz w:val="15"/>
                          </w:rPr>
                          <w:t>阳性参照品</w:t>
                        </w:r>
                        <w:r>
                          <w:rPr>
                            <w:sz w:val="15"/>
                          </w:rPr>
                          <w:t>D</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4"/>
                          <w:ind w:left="191"/>
                          <w:rPr>
                            <w:rFonts w:ascii="宋体" w:hAnsi="宋体" w:eastAsia="宋体" w:hint="eastAsia"/>
                            <w:sz w:val="15"/>
                          </w:rPr>
                        </w:pPr>
                        <w:r>
                          <w:rPr>
                            <w:sz w:val="15"/>
                          </w:rPr>
                          <w:t>50μL /</w:t>
                        </w:r>
                        <w:r>
                          <w:rPr>
                            <w:rFonts w:ascii="宋体" w:hAnsi="宋体" w:eastAsia="宋体" w:hint="eastAsia"/>
                            <w:sz w:val="15"/>
                          </w:rPr>
                          <w:t>管</w:t>
                        </w:r>
                        <w:r>
                          <w:rPr>
                            <w:sz w:val="15"/>
                          </w:rPr>
                          <w:t>×1</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spacing w:line="179" w:lineRule="exact"/>
                          <w:ind w:left="146" w:right="35"/>
                          <w:jc w:val="center"/>
                          <w:rPr>
                            <w:rFonts w:ascii="宋体" w:hAnsi="宋体" w:eastAsia="宋体" w:hint="eastAsia"/>
                            <w:sz w:val="15"/>
                          </w:rPr>
                        </w:pPr>
                        <w:r>
                          <w:rPr>
                            <w:rFonts w:ascii="宋体" w:hAnsi="宋体" w:eastAsia="宋体" w:hint="eastAsia"/>
                            <w:w w:val="95"/>
                            <w:sz w:val="15"/>
                          </w:rPr>
                          <w:t>含沙眼衣原体、解脲脲原体、淋球菌、</w:t>
                        </w:r>
                        <w:r>
                          <w:rPr>
                            <w:w w:val="95"/>
                            <w:sz w:val="18"/>
                          </w:rPr>
                          <w:t>β-</w:t>
                        </w:r>
                        <w:r>
                          <w:rPr>
                            <w:rFonts w:ascii="宋体" w:hAnsi="宋体" w:eastAsia="宋体" w:hint="eastAsia"/>
                            <w:w w:val="95"/>
                            <w:sz w:val="15"/>
                          </w:rPr>
                          <w:t>球蛋白</w:t>
                        </w:r>
                      </w:p>
                      <w:p>
                        <w:pPr>
                          <w:pStyle w:val="TableParagraph"/>
                          <w:spacing w:line="161" w:lineRule="exact"/>
                          <w:ind w:left="146" w:right="30"/>
                          <w:jc w:val="center"/>
                          <w:rPr>
                            <w:rFonts w:ascii="宋体" w:eastAsia="宋体" w:hint="eastAsia"/>
                            <w:sz w:val="15"/>
                          </w:rPr>
                        </w:pPr>
                        <w:r>
                          <w:rPr>
                            <w:rFonts w:ascii="宋体" w:eastAsia="宋体" w:hint="eastAsia"/>
                            <w:sz w:val="15"/>
                          </w:rPr>
                          <w:t>目标片段的阳性克隆质粒</w:t>
                        </w:r>
                      </w:p>
                    </w:tc>
                  </w:tr>
                  <w:tr>
                    <w:trPr>
                      <w:trHeight w:val="180"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155" w:lineRule="exact" w:before="5"/>
                          <w:ind w:left="132"/>
                          <w:rPr>
                            <w:sz w:val="15"/>
                          </w:rPr>
                        </w:pPr>
                        <w:r>
                          <w:rPr>
                            <w:w w:val="99"/>
                            <w:sz w:val="15"/>
                          </w:rPr>
                          <w:t>7</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ind w:left="0" w:right="1"/>
                          <w:jc w:val="center"/>
                          <w:rPr>
                            <w:rFonts w:ascii="宋体" w:eastAsia="宋体" w:hint="eastAsia"/>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w:t>
                        </w:r>
                        <w:r>
                          <w:rPr>
                            <w:rFonts w:ascii="宋体" w:eastAsia="宋体" w:hint="eastAsia"/>
                            <w:sz w:val="15"/>
                          </w:rPr>
                          <w:t>阴性对照</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ind w:left="119"/>
                          <w:rPr>
                            <w:rFonts w:ascii="宋体" w:hAnsi="宋体" w:eastAsia="宋体" w:hint="eastAsia"/>
                            <w:sz w:val="15"/>
                          </w:rPr>
                        </w:pPr>
                        <w:r>
                          <w:rPr>
                            <w:sz w:val="15"/>
                          </w:rPr>
                          <w:t>1000μL</w:t>
                        </w:r>
                        <w:r>
                          <w:rPr>
                            <w:spacing w:val="-23"/>
                            <w:sz w:val="15"/>
                          </w:rPr>
                          <w:t> </w:t>
                        </w:r>
                        <w:r>
                          <w:rPr>
                            <w:sz w:val="15"/>
                          </w:rPr>
                          <w:t>/</w:t>
                        </w:r>
                        <w:r>
                          <w:rPr>
                            <w:rFonts w:ascii="宋体" w:hAnsi="宋体" w:eastAsia="宋体" w:hint="eastAsia"/>
                            <w:spacing w:val="-3"/>
                            <w:sz w:val="15"/>
                          </w:rPr>
                          <w:t>管</w:t>
                        </w:r>
                        <w:r>
                          <w:rPr>
                            <w:sz w:val="15"/>
                          </w:rPr>
                          <w:t>×1</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ind w:left="146" w:right="30"/>
                          <w:jc w:val="center"/>
                          <w:rPr>
                            <w:rFonts w:ascii="宋体" w:eastAsia="宋体" w:hint="eastAsia"/>
                            <w:sz w:val="15"/>
                          </w:rPr>
                        </w:pPr>
                        <w:r>
                          <w:rPr>
                            <w:rFonts w:ascii="宋体" w:eastAsia="宋体" w:hint="eastAsia"/>
                            <w:sz w:val="15"/>
                          </w:rPr>
                          <w:t>生理盐水</w:t>
                        </w:r>
                      </w:p>
                    </w:tc>
                  </w:tr>
                  <w:tr>
                    <w:trPr>
                      <w:trHeight w:val="360" w:hRule="atLeast"/>
                    </w:trPr>
                    <w:tc>
                      <w:tcPr>
                        <w:tcW w:w="34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93"/>
                          <w:ind w:left="132"/>
                          <w:rPr>
                            <w:sz w:val="15"/>
                          </w:rPr>
                        </w:pPr>
                        <w:r>
                          <w:rPr>
                            <w:w w:val="99"/>
                            <w:sz w:val="15"/>
                          </w:rPr>
                          <w:t>8</w:t>
                        </w:r>
                      </w:p>
                    </w:tc>
                    <w:tc>
                      <w:tcPr>
                        <w:tcW w:w="2976"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3"/>
                          <w:ind w:left="0" w:right="1"/>
                          <w:jc w:val="center"/>
                          <w:rPr>
                            <w:rFonts w:ascii="宋体" w:eastAsia="宋体" w:hint="eastAsia"/>
                            <w:sz w:val="15"/>
                          </w:rPr>
                        </w:pPr>
                        <w:r>
                          <w:rPr>
                            <w:rFonts w:ascii="宋体" w:eastAsia="宋体" w:hint="eastAsia"/>
                            <w:sz w:val="15"/>
                          </w:rPr>
                          <w:t>沙眼衣原体</w:t>
                        </w:r>
                        <w:r>
                          <w:rPr>
                            <w:sz w:val="15"/>
                          </w:rPr>
                          <w:t>/</w:t>
                        </w:r>
                        <w:r>
                          <w:rPr>
                            <w:rFonts w:ascii="宋体" w:eastAsia="宋体" w:hint="eastAsia"/>
                            <w:sz w:val="15"/>
                          </w:rPr>
                          <w:t>解脲脲原体</w:t>
                        </w:r>
                        <w:r>
                          <w:rPr>
                            <w:sz w:val="15"/>
                          </w:rPr>
                          <w:t>/</w:t>
                        </w:r>
                        <w:r>
                          <w:rPr>
                            <w:rFonts w:ascii="宋体" w:eastAsia="宋体" w:hint="eastAsia"/>
                            <w:sz w:val="15"/>
                          </w:rPr>
                          <w:t>淋球菌</w:t>
                        </w:r>
                        <w:r>
                          <w:rPr>
                            <w:sz w:val="15"/>
                          </w:rPr>
                          <w:t>-</w:t>
                        </w:r>
                        <w:r>
                          <w:rPr>
                            <w:rFonts w:ascii="宋体" w:eastAsia="宋体" w:hint="eastAsia"/>
                            <w:sz w:val="15"/>
                          </w:rPr>
                          <w:t>阳性对照</w:t>
                        </w:r>
                      </w:p>
                    </w:tc>
                    <w:tc>
                      <w:tcPr>
                        <w:tcW w:w="1134"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3"/>
                          <w:ind w:left="191"/>
                          <w:rPr>
                            <w:rFonts w:ascii="宋体" w:hAnsi="宋体" w:eastAsia="宋体" w:hint="eastAsia"/>
                            <w:sz w:val="15"/>
                          </w:rPr>
                        </w:pPr>
                        <w:r>
                          <w:rPr>
                            <w:sz w:val="15"/>
                          </w:rPr>
                          <w:t>50μL /</w:t>
                        </w:r>
                        <w:r>
                          <w:rPr>
                            <w:rFonts w:ascii="宋体" w:hAnsi="宋体" w:eastAsia="宋体" w:hint="eastAsia"/>
                            <w:sz w:val="15"/>
                          </w:rPr>
                          <w:t>管</w:t>
                        </w:r>
                        <w:r>
                          <w:rPr>
                            <w:sz w:val="15"/>
                          </w:rPr>
                          <w:t>×1</w:t>
                        </w:r>
                        <w:r>
                          <w:rPr>
                            <w:rFonts w:ascii="宋体" w:hAnsi="宋体" w:eastAsia="宋体" w:hint="eastAsia"/>
                            <w:sz w:val="15"/>
                          </w:rPr>
                          <w:t>管</w:t>
                        </w:r>
                      </w:p>
                    </w:tc>
                    <w:tc>
                      <w:tcPr>
                        <w:tcW w:w="3231" w:type="dxa"/>
                        <w:tcBorders>
                          <w:top w:val="single" w:sz="6" w:space="0" w:color="000000"/>
                          <w:left w:val="single" w:sz="6" w:space="0" w:color="000000"/>
                          <w:bottom w:val="single" w:sz="6" w:space="0" w:color="000000"/>
                          <w:right w:val="single" w:sz="6" w:space="0" w:color="000000"/>
                        </w:tcBorders>
                      </w:tcPr>
                      <w:p>
                        <w:pPr>
                          <w:pStyle w:val="TableParagraph"/>
                          <w:spacing w:line="180" w:lineRule="exact"/>
                          <w:ind w:left="862" w:right="9" w:hanging="740"/>
                          <w:rPr>
                            <w:rFonts w:ascii="宋体" w:hAnsi="宋体" w:eastAsia="宋体" w:hint="eastAsia"/>
                            <w:sz w:val="15"/>
                          </w:rPr>
                        </w:pPr>
                        <w:r>
                          <w:rPr>
                            <w:rFonts w:ascii="宋体" w:hAnsi="宋体" w:eastAsia="宋体" w:hint="eastAsia"/>
                            <w:spacing w:val="-5"/>
                            <w:w w:val="95"/>
                            <w:sz w:val="15"/>
                          </w:rPr>
                          <w:t>含沙眼衣原体、解脲脲原体、淋球菌、</w:t>
                        </w:r>
                        <w:r>
                          <w:rPr>
                            <w:w w:val="95"/>
                            <w:sz w:val="18"/>
                          </w:rPr>
                          <w:t>β-</w:t>
                        </w:r>
                        <w:r>
                          <w:rPr>
                            <w:rFonts w:ascii="宋体" w:hAnsi="宋体" w:eastAsia="宋体" w:hint="eastAsia"/>
                            <w:w w:val="95"/>
                            <w:sz w:val="15"/>
                          </w:rPr>
                          <w:t>球蛋白 </w:t>
                        </w:r>
                        <w:r>
                          <w:rPr>
                            <w:rFonts w:ascii="宋体" w:hAnsi="宋体" w:eastAsia="宋体" w:hint="eastAsia"/>
                            <w:spacing w:val="-5"/>
                            <w:sz w:val="15"/>
                          </w:rPr>
                          <w:t>目标片段的阳性克隆质粒</w:t>
                        </w:r>
                      </w:p>
                    </w:tc>
                  </w:tr>
                </w:tbl>
                <w:p>
                  <w:pPr>
                    <w:pStyle w:val="BodyText"/>
                    <w:spacing w:line="240" w:lineRule="auto"/>
                  </w:pPr>
                </w:p>
              </w:txbxContent>
            </v:textbox>
            <w10:wrap type="none"/>
          </v:shape>
        </w:pict>
      </w:r>
      <w:r>
        <w:rPr/>
        <w:t>【主要组成成分】</w:t>
      </w:r>
    </w:p>
    <w:p>
      <w:pPr>
        <w:pStyle w:val="BodyText"/>
        <w:spacing w:line="240" w:lineRule="auto"/>
        <w:rPr>
          <w:b/>
        </w:rPr>
      </w:pPr>
    </w:p>
    <w:p>
      <w:pPr>
        <w:pStyle w:val="BodyText"/>
        <w:spacing w:line="240" w:lineRule="auto" w:before="6"/>
        <w:rPr>
          <w:b/>
          <w:sz w:val="12"/>
        </w:rPr>
      </w:pPr>
    </w:p>
    <w:p>
      <w:pPr>
        <w:spacing w:before="0"/>
        <w:ind w:left="7728" w:right="0" w:firstLine="0"/>
        <w:jc w:val="left"/>
        <w:rPr>
          <w:sz w:val="15"/>
        </w:rPr>
      </w:pPr>
      <w:r>
        <w:rPr>
          <w:w w:val="99"/>
          <w:sz w:val="15"/>
        </w:rPr>
        <w:t>）</w:t>
      </w:r>
    </w:p>
    <w:p>
      <w:pPr>
        <w:spacing w:before="2"/>
        <w:ind w:left="7728" w:right="0" w:firstLine="0"/>
        <w:jc w:val="left"/>
        <w:rPr>
          <w:sz w:val="15"/>
        </w:rPr>
      </w:pPr>
      <w:r>
        <w:rPr>
          <w:w w:val="99"/>
          <w:sz w:val="15"/>
        </w:rPr>
        <w:t>、</w:t>
      </w: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240" w:lineRule="auto"/>
        <w:rPr>
          <w:sz w:val="14"/>
        </w:rPr>
      </w:pPr>
    </w:p>
    <w:p>
      <w:pPr>
        <w:pStyle w:val="BodyText"/>
        <w:spacing w:line="193" w:lineRule="exact" w:before="91"/>
        <w:ind w:left="146"/>
      </w:pPr>
      <w:r>
        <w:rPr>
          <w:b/>
        </w:rPr>
        <w:t>备注：</w:t>
      </w:r>
      <w:r>
        <w:rPr>
          <w:rFonts w:ascii="Times New Roman" w:eastAsia="Times New Roman"/>
        </w:rPr>
        <w:t>1</w:t>
      </w:r>
      <w:r>
        <w:rPr/>
        <w:t>）不同批号产品的成分之间不可以混用或互换；</w:t>
      </w:r>
    </w:p>
    <w:p>
      <w:pPr>
        <w:pStyle w:val="ListParagraph"/>
        <w:numPr>
          <w:ilvl w:val="0"/>
          <w:numId w:val="1"/>
        </w:numPr>
        <w:tabs>
          <w:tab w:pos="918" w:val="left" w:leader="none"/>
        </w:tabs>
        <w:spacing w:line="180" w:lineRule="exact" w:before="0" w:after="0"/>
        <w:ind w:left="918" w:right="0" w:hanging="239"/>
        <w:jc w:val="left"/>
        <w:rPr>
          <w:rFonts w:ascii="宋体" w:eastAsia="宋体" w:hint="eastAsia"/>
          <w:sz w:val="16"/>
        </w:rPr>
      </w:pPr>
      <w:r>
        <w:rPr>
          <w:rFonts w:ascii="宋体" w:eastAsia="宋体" w:hint="eastAsia"/>
          <w:spacing w:val="-5"/>
          <w:sz w:val="16"/>
        </w:rPr>
        <w:t>试剂盒内的生物样本均已经灭活处理；</w:t>
      </w:r>
    </w:p>
    <w:p>
      <w:pPr>
        <w:pStyle w:val="ListParagraph"/>
        <w:numPr>
          <w:ilvl w:val="0"/>
          <w:numId w:val="1"/>
        </w:numPr>
        <w:tabs>
          <w:tab w:pos="918" w:val="left" w:leader="none"/>
        </w:tabs>
        <w:spacing w:line="180" w:lineRule="exact" w:before="0" w:after="0"/>
        <w:ind w:left="918" w:right="0" w:hanging="239"/>
        <w:jc w:val="left"/>
        <w:rPr>
          <w:rFonts w:ascii="宋体" w:eastAsia="宋体" w:hint="eastAsia"/>
          <w:sz w:val="16"/>
        </w:rPr>
      </w:pPr>
      <w:r>
        <w:rPr>
          <w:rFonts w:ascii="宋体" w:eastAsia="宋体" w:hint="eastAsia"/>
          <w:spacing w:val="-5"/>
          <w:sz w:val="16"/>
        </w:rPr>
        <w:t>自备试剂：生理盐水；</w:t>
      </w:r>
    </w:p>
    <w:p>
      <w:pPr>
        <w:pStyle w:val="ListParagraph"/>
        <w:numPr>
          <w:ilvl w:val="0"/>
          <w:numId w:val="1"/>
        </w:numPr>
        <w:tabs>
          <w:tab w:pos="918" w:val="left" w:leader="none"/>
        </w:tabs>
        <w:spacing w:line="180" w:lineRule="exact" w:before="0" w:after="0"/>
        <w:ind w:left="918" w:right="0" w:hanging="239"/>
        <w:jc w:val="left"/>
        <w:rPr>
          <w:sz w:val="16"/>
        </w:rPr>
      </w:pPr>
      <w:r>
        <w:rPr>
          <w:rFonts w:ascii="宋体" w:eastAsia="宋体" w:hint="eastAsia"/>
          <w:spacing w:val="-9"/>
          <w:sz w:val="16"/>
        </w:rPr>
        <w:t>推荐使用本公司生产的核酸提取或纯化试剂</w:t>
      </w:r>
      <w:r>
        <w:rPr>
          <w:rFonts w:ascii="宋体" w:eastAsia="宋体" w:hint="eastAsia"/>
          <w:spacing w:val="-5"/>
          <w:sz w:val="16"/>
        </w:rPr>
        <w:t>（</w:t>
      </w:r>
      <w:r>
        <w:rPr>
          <w:rFonts w:ascii="宋体" w:eastAsia="宋体" w:hint="eastAsia"/>
          <w:spacing w:val="-11"/>
          <w:sz w:val="16"/>
        </w:rPr>
        <w:t>湘长械备 </w:t>
      </w:r>
      <w:r>
        <w:rPr>
          <w:spacing w:val="-3"/>
          <w:sz w:val="16"/>
        </w:rPr>
        <w:t>20150021</w:t>
      </w:r>
      <w:r>
        <w:rPr>
          <w:spacing w:val="2"/>
          <w:sz w:val="16"/>
        </w:rPr>
        <w:t> </w:t>
      </w:r>
      <w:r>
        <w:rPr>
          <w:rFonts w:ascii="宋体" w:eastAsia="宋体" w:hint="eastAsia"/>
          <w:spacing w:val="-5"/>
          <w:sz w:val="16"/>
        </w:rPr>
        <w:t>号</w:t>
      </w:r>
      <w:r>
        <w:rPr>
          <w:rFonts w:ascii="宋体" w:eastAsia="宋体" w:hint="eastAsia"/>
          <w:spacing w:val="-70"/>
          <w:sz w:val="16"/>
        </w:rPr>
        <w:t>）</w:t>
      </w:r>
      <w:r>
        <w:rPr>
          <w:rFonts w:ascii="宋体" w:eastAsia="宋体" w:hint="eastAsia"/>
          <w:spacing w:val="-16"/>
          <w:sz w:val="16"/>
        </w:rPr>
        <w:t>或样本释放剂</w:t>
      </w:r>
      <w:r>
        <w:rPr>
          <w:rFonts w:ascii="宋体" w:eastAsia="宋体" w:hint="eastAsia"/>
          <w:spacing w:val="-8"/>
          <w:sz w:val="16"/>
        </w:rPr>
        <w:t>（</w:t>
      </w:r>
      <w:r>
        <w:rPr>
          <w:rFonts w:ascii="宋体" w:eastAsia="宋体" w:hint="eastAsia"/>
          <w:spacing w:val="-11"/>
          <w:sz w:val="16"/>
        </w:rPr>
        <w:t>湘长械备 </w:t>
      </w:r>
      <w:r>
        <w:rPr>
          <w:spacing w:val="-3"/>
          <w:sz w:val="16"/>
        </w:rPr>
        <w:t>20150022</w:t>
      </w:r>
    </w:p>
    <w:p>
      <w:pPr>
        <w:pStyle w:val="BodyText"/>
        <w:spacing w:line="193" w:lineRule="exact"/>
        <w:ind w:left="146"/>
      </w:pPr>
      <w:r>
        <w:rPr/>
        <w:t>号）进行核酸提取。</w:t>
      </w:r>
    </w:p>
    <w:p>
      <w:pPr>
        <w:pStyle w:val="Heading1"/>
        <w:spacing w:line="193" w:lineRule="exact" w:before="42"/>
        <w:ind w:left="126"/>
      </w:pPr>
      <w:r>
        <w:rPr>
          <w:b w:val="0"/>
        </w:rPr>
        <w:br w:type="column"/>
      </w:r>
      <w:r>
        <w:rPr/>
        <w:t>【储存条件及有效期】</w:t>
      </w:r>
    </w:p>
    <w:p>
      <w:pPr>
        <w:pStyle w:val="BodyText"/>
        <w:spacing w:line="211" w:lineRule="auto" w:before="7"/>
        <w:ind w:left="438" w:right="3391"/>
      </w:pPr>
      <w:r>
        <w:rPr/>
        <w:pict>
          <v:line style="position:absolute;mso-position-horizontal-relative:page;mso-position-vertical-relative:paragraph;z-index:251658240" from="28.35pt,-9.150012pt" to="813.55pt,-9.150012pt" stroked="true" strokeweight=".72pt" strokecolor="#000000">
            <v:stroke dashstyle="solid"/>
            <w10:wrap type="none"/>
          </v:line>
        </w:pict>
      </w:r>
      <w:r>
        <w:rPr>
          <w:spacing w:val="-5"/>
        </w:rPr>
        <w:t>试剂应避光密闭储存于</w:t>
      </w:r>
      <w:r>
        <w:rPr>
          <w:spacing w:val="-4"/>
        </w:rPr>
        <w:t>-20±5</w:t>
      </w:r>
      <w:r>
        <w:rPr>
          <w:spacing w:val="-9"/>
        </w:rPr>
        <w:t>℃，试剂盒有效期为 </w:t>
      </w:r>
      <w:r>
        <w:rPr>
          <w:rFonts w:ascii="Times New Roman" w:hAnsi="Times New Roman" w:eastAsia="Times New Roman"/>
        </w:rPr>
        <w:t>12 </w:t>
      </w:r>
      <w:r>
        <w:rPr>
          <w:spacing w:val="-8"/>
        </w:rPr>
        <w:t>个月。</w:t>
      </w:r>
      <w:r>
        <w:rPr>
          <w:spacing w:val="-5"/>
        </w:rPr>
        <w:t>生产日期，失效日期请见外包装盒。</w:t>
      </w:r>
    </w:p>
    <w:p>
      <w:pPr>
        <w:pStyle w:val="BodyText"/>
        <w:spacing w:line="173" w:lineRule="exact"/>
        <w:ind w:left="438"/>
      </w:pPr>
      <w:r>
        <w:rPr/>
        <w:t>不使用时，这些试剂在包装标识的效期内可稳定存放。一旦使用，扩增试剂盒反复冻融应不超过 </w:t>
      </w:r>
      <w:r>
        <w:rPr>
          <w:rFonts w:ascii="Times New Roman" w:eastAsia="Times New Roman"/>
        </w:rPr>
        <w:t>5 </w:t>
      </w:r>
      <w:r>
        <w:rPr/>
        <w:t>次。</w:t>
      </w:r>
    </w:p>
    <w:p>
      <w:pPr>
        <w:pStyle w:val="Heading1"/>
        <w:ind w:left="126"/>
      </w:pPr>
      <w:r>
        <w:rPr/>
        <w:t>【适用仪器】</w:t>
      </w:r>
    </w:p>
    <w:p>
      <w:pPr>
        <w:pStyle w:val="BodyText"/>
        <w:ind w:left="514"/>
      </w:pPr>
      <w:r>
        <w:rPr/>
        <w:t>适用于</w:t>
      </w:r>
      <w:r>
        <w:rPr>
          <w:rFonts w:ascii="Times New Roman" w:eastAsia="Times New Roman"/>
        </w:rPr>
        <w:t>ABI 7500 </w:t>
      </w:r>
      <w:r>
        <w:rPr/>
        <w:t>荧光定量</w:t>
      </w:r>
      <w:r>
        <w:rPr>
          <w:rFonts w:ascii="Times New Roman" w:eastAsia="Times New Roman"/>
        </w:rPr>
        <w:t>PCR </w:t>
      </w:r>
      <w:r>
        <w:rPr/>
        <w:t>仪、</w:t>
      </w:r>
      <w:r>
        <w:rPr>
          <w:rFonts w:ascii="Times New Roman" w:eastAsia="Times New Roman"/>
        </w:rPr>
        <w:t>SLAN-96P </w:t>
      </w:r>
      <w:r>
        <w:rPr/>
        <w:t>全自动医用</w:t>
      </w:r>
      <w:r>
        <w:rPr>
          <w:rFonts w:ascii="Times New Roman" w:eastAsia="Times New Roman"/>
        </w:rPr>
        <w:t>PCR </w:t>
      </w:r>
      <w:r>
        <w:rPr/>
        <w:t>分析系统。</w:t>
      </w:r>
    </w:p>
    <w:p>
      <w:pPr>
        <w:pStyle w:val="Heading1"/>
        <w:ind w:left="126"/>
      </w:pPr>
      <w:r>
        <w:rPr/>
        <w:t>【样本要求】</w:t>
      </w:r>
    </w:p>
    <w:p>
      <w:pPr>
        <w:pStyle w:val="ListParagraph"/>
        <w:numPr>
          <w:ilvl w:val="0"/>
          <w:numId w:val="2"/>
        </w:numPr>
        <w:tabs>
          <w:tab w:pos="318" w:val="left" w:leader="none"/>
        </w:tabs>
        <w:spacing w:line="180" w:lineRule="exact" w:before="0" w:after="0"/>
        <w:ind w:left="318" w:right="0" w:hanging="192"/>
        <w:jc w:val="left"/>
        <w:rPr>
          <w:rFonts w:ascii="宋体" w:eastAsia="宋体" w:hint="eastAsia"/>
          <w:sz w:val="16"/>
        </w:rPr>
      </w:pPr>
      <w:r>
        <w:rPr>
          <w:rFonts w:ascii="宋体" w:eastAsia="宋体" w:hint="eastAsia"/>
          <w:spacing w:val="-5"/>
          <w:sz w:val="16"/>
        </w:rPr>
        <w:t>适用样本类型：生殖道分泌物样本。</w:t>
      </w:r>
    </w:p>
    <w:p>
      <w:pPr>
        <w:pStyle w:val="ListParagraph"/>
        <w:numPr>
          <w:ilvl w:val="0"/>
          <w:numId w:val="2"/>
        </w:numPr>
        <w:tabs>
          <w:tab w:pos="318" w:val="left" w:leader="none"/>
        </w:tabs>
        <w:spacing w:line="211" w:lineRule="auto" w:before="7" w:after="0"/>
        <w:ind w:left="126" w:right="199" w:firstLine="0"/>
        <w:jc w:val="left"/>
        <w:rPr>
          <w:rFonts w:ascii="宋体" w:eastAsia="宋体" w:hint="eastAsia"/>
          <w:sz w:val="16"/>
        </w:rPr>
      </w:pPr>
      <w:r>
        <w:rPr>
          <w:rFonts w:ascii="宋体" w:eastAsia="宋体" w:hint="eastAsia"/>
          <w:spacing w:val="-6"/>
          <w:sz w:val="16"/>
        </w:rPr>
        <w:t>样本采集</w:t>
      </w:r>
      <w:r>
        <w:rPr>
          <w:rFonts w:ascii="宋体" w:eastAsia="宋体" w:hint="eastAsia"/>
          <w:spacing w:val="-5"/>
          <w:sz w:val="16"/>
        </w:rPr>
        <w:t>（</w:t>
      </w:r>
      <w:r>
        <w:rPr>
          <w:rFonts w:ascii="宋体" w:eastAsia="宋体" w:hint="eastAsia"/>
          <w:spacing w:val="-9"/>
          <w:sz w:val="16"/>
        </w:rPr>
        <w:t>要求病人在采样前 </w:t>
      </w:r>
      <w:r>
        <w:rPr>
          <w:sz w:val="16"/>
        </w:rPr>
        <w:t>2</w:t>
      </w:r>
      <w:r>
        <w:rPr>
          <w:spacing w:val="8"/>
          <w:sz w:val="16"/>
        </w:rPr>
        <w:t> </w:t>
      </w:r>
      <w:r>
        <w:rPr>
          <w:rFonts w:ascii="宋体" w:eastAsia="宋体" w:hint="eastAsia"/>
          <w:spacing w:val="-8"/>
          <w:sz w:val="16"/>
        </w:rPr>
        <w:t>小时内不能排尿，采样前 </w:t>
      </w:r>
      <w:r>
        <w:rPr>
          <w:sz w:val="16"/>
        </w:rPr>
        <w:t>24</w:t>
      </w:r>
      <w:r>
        <w:rPr>
          <w:spacing w:val="7"/>
          <w:sz w:val="16"/>
        </w:rPr>
        <w:t> </w:t>
      </w:r>
      <w:r>
        <w:rPr>
          <w:rFonts w:ascii="宋体" w:eastAsia="宋体" w:hint="eastAsia"/>
          <w:spacing w:val="-5"/>
          <w:sz w:val="16"/>
        </w:rPr>
        <w:t>小时禁止性生活，采样方法参照《性病实验室操</w:t>
      </w:r>
      <w:r>
        <w:rPr>
          <w:rFonts w:ascii="宋体" w:eastAsia="宋体" w:hint="eastAsia"/>
          <w:spacing w:val="-25"/>
          <w:w w:val="100"/>
          <w:sz w:val="16"/>
        </w:rPr>
        <w:t>作手册》</w:t>
      </w:r>
      <w:r>
        <w:rPr>
          <w:rFonts w:ascii="宋体" w:eastAsia="宋体" w:hint="eastAsia"/>
          <w:spacing w:val="-82"/>
          <w:w w:val="100"/>
          <w:sz w:val="16"/>
        </w:rPr>
        <w:t>）</w:t>
      </w:r>
      <w:r>
        <w:rPr>
          <w:rFonts w:ascii="宋体" w:eastAsia="宋体" w:hint="eastAsia"/>
          <w:w w:val="100"/>
          <w:sz w:val="16"/>
        </w:rPr>
        <w:t>：</w:t>
      </w:r>
    </w:p>
    <w:p>
      <w:pPr>
        <w:pStyle w:val="BodyText"/>
        <w:spacing w:line="211" w:lineRule="auto"/>
        <w:ind w:left="433" w:right="119" w:hanging="92"/>
      </w:pPr>
      <w:r>
        <w:rPr>
          <w:spacing w:val="-11"/>
        </w:rPr>
        <w:t>生殖道分泌物样本男性：先用灭菌盐水清洁尿道口，将男性用无菌藻酸钙拭子伸入尿道 </w:t>
      </w:r>
      <w:r>
        <w:rPr>
          <w:rFonts w:ascii="Times New Roman" w:eastAsia="Times New Roman"/>
          <w:spacing w:val="-9"/>
        </w:rPr>
        <w:t>2-3cm</w:t>
      </w:r>
      <w:r>
        <w:rPr>
          <w:spacing w:val="-12"/>
        </w:rPr>
        <w:t>，用力转 </w:t>
      </w:r>
      <w:r>
        <w:rPr>
          <w:rFonts w:ascii="Times New Roman" w:eastAsia="Times New Roman"/>
          <w:spacing w:val="-2"/>
        </w:rPr>
        <w:t>1-2</w:t>
      </w:r>
      <w:r>
        <w:rPr>
          <w:rFonts w:ascii="Times New Roman" w:eastAsia="Times New Roman"/>
          <w:spacing w:val="14"/>
        </w:rPr>
        <w:t> </w:t>
      </w:r>
      <w:r>
        <w:rPr>
          <w:spacing w:val="-3"/>
        </w:rPr>
        <w:t>圈， 取出拭子；</w:t>
      </w:r>
    </w:p>
    <w:p>
      <w:pPr>
        <w:pStyle w:val="BodyText"/>
        <w:spacing w:line="173" w:lineRule="exact"/>
        <w:ind w:left="342"/>
        <w:rPr>
          <w:rFonts w:ascii="Times New Roman" w:eastAsia="Times New Roman"/>
        </w:rPr>
      </w:pPr>
      <w:r>
        <w:rPr>
          <w:spacing w:val="-12"/>
        </w:rPr>
        <w:t>生殖道分泌物样本女性：先清洁宫颈口过多的分泌物，将女性用无菌藻酸钙拭子深入宫颈内 </w:t>
      </w:r>
      <w:r>
        <w:rPr>
          <w:rFonts w:ascii="Times New Roman" w:eastAsia="Times New Roman"/>
          <w:spacing w:val="-11"/>
        </w:rPr>
        <w:t>1-2cm</w:t>
      </w:r>
      <w:r>
        <w:rPr>
          <w:spacing w:val="-13"/>
        </w:rPr>
        <w:t>，用力转 </w:t>
      </w:r>
      <w:r>
        <w:rPr>
          <w:rFonts w:ascii="Times New Roman" w:eastAsia="Times New Roman"/>
          <w:spacing w:val="-2"/>
        </w:rPr>
        <w:t>1-2</w:t>
      </w:r>
    </w:p>
    <w:p>
      <w:pPr>
        <w:pStyle w:val="BodyText"/>
        <w:ind w:left="2062"/>
      </w:pPr>
      <w:r>
        <w:rPr/>
        <w:t>圈，取出拭子；</w:t>
      </w:r>
    </w:p>
    <w:p>
      <w:pPr>
        <w:pStyle w:val="BodyText"/>
        <w:ind w:left="342"/>
      </w:pPr>
      <w:r>
        <w:rPr/>
        <w:t>取出的分泌物应略带粘膜，采集后的棉拭子置入无菌收集管中，密闭送检。</w:t>
      </w:r>
    </w:p>
    <w:p>
      <w:pPr>
        <w:pStyle w:val="ListParagraph"/>
        <w:numPr>
          <w:ilvl w:val="0"/>
          <w:numId w:val="2"/>
        </w:numPr>
        <w:tabs>
          <w:tab w:pos="333" w:val="left" w:leader="none"/>
        </w:tabs>
        <w:spacing w:line="211" w:lineRule="auto" w:before="6" w:after="0"/>
        <w:ind w:left="140" w:right="196" w:firstLine="0"/>
        <w:jc w:val="both"/>
        <w:rPr>
          <w:rFonts w:ascii="宋体" w:hAnsi="宋体" w:eastAsia="宋体" w:hint="eastAsia"/>
          <w:sz w:val="16"/>
        </w:rPr>
      </w:pPr>
      <w:r>
        <w:rPr>
          <w:rFonts w:ascii="宋体" w:hAnsi="宋体" w:eastAsia="宋体" w:hint="eastAsia"/>
          <w:spacing w:val="-9"/>
          <w:sz w:val="16"/>
        </w:rPr>
        <w:t>样本保存和运送：上述采集的样本可立即用于检测，室温</w:t>
      </w:r>
      <w:r>
        <w:rPr>
          <w:rFonts w:ascii="宋体" w:hAnsi="宋体" w:eastAsia="宋体" w:hint="eastAsia"/>
          <w:spacing w:val="-7"/>
          <w:sz w:val="16"/>
        </w:rPr>
        <w:t>（</w:t>
      </w:r>
      <w:r>
        <w:rPr>
          <w:spacing w:val="-7"/>
          <w:sz w:val="16"/>
        </w:rPr>
        <w:t>20</w:t>
      </w:r>
      <w:r>
        <w:rPr>
          <w:rFonts w:ascii="宋体" w:hAnsi="宋体" w:eastAsia="宋体" w:hint="eastAsia"/>
          <w:spacing w:val="-7"/>
          <w:sz w:val="16"/>
        </w:rPr>
        <w:t>℃）</w:t>
      </w:r>
      <w:r>
        <w:rPr>
          <w:rFonts w:ascii="宋体" w:hAnsi="宋体" w:eastAsia="宋体" w:hint="eastAsia"/>
          <w:spacing w:val="-10"/>
          <w:sz w:val="16"/>
        </w:rPr>
        <w:t>放置不超过 </w:t>
      </w:r>
      <w:r>
        <w:rPr>
          <w:sz w:val="16"/>
        </w:rPr>
        <w:t>24</w:t>
      </w:r>
      <w:r>
        <w:rPr>
          <w:spacing w:val="4"/>
          <w:sz w:val="16"/>
        </w:rPr>
        <w:t> </w:t>
      </w:r>
      <w:r>
        <w:rPr>
          <w:rFonts w:ascii="宋体" w:hAnsi="宋体" w:eastAsia="宋体" w:hint="eastAsia"/>
          <w:spacing w:val="-6"/>
          <w:sz w:val="16"/>
        </w:rPr>
        <w:t>小时，</w:t>
      </w:r>
      <w:r>
        <w:rPr>
          <w:spacing w:val="-8"/>
          <w:sz w:val="16"/>
        </w:rPr>
        <w:t>4</w:t>
      </w:r>
      <w:r>
        <w:rPr>
          <w:rFonts w:ascii="宋体" w:hAnsi="宋体" w:eastAsia="宋体" w:hint="eastAsia"/>
          <w:spacing w:val="-11"/>
          <w:sz w:val="16"/>
        </w:rPr>
        <w:t>℃保存不超过 </w:t>
      </w:r>
      <w:r>
        <w:rPr>
          <w:sz w:val="16"/>
        </w:rPr>
        <w:t>120</w:t>
      </w:r>
      <w:r>
        <w:rPr>
          <w:spacing w:val="4"/>
          <w:sz w:val="16"/>
        </w:rPr>
        <w:t> </w:t>
      </w:r>
      <w:r>
        <w:rPr>
          <w:rFonts w:ascii="宋体" w:hAnsi="宋体" w:eastAsia="宋体" w:hint="eastAsia"/>
          <w:sz w:val="16"/>
        </w:rPr>
        <w:t>小</w:t>
      </w:r>
      <w:r>
        <w:rPr>
          <w:rFonts w:ascii="宋体" w:hAnsi="宋体" w:eastAsia="宋体" w:hint="eastAsia"/>
          <w:spacing w:val="-7"/>
          <w:sz w:val="16"/>
        </w:rPr>
        <w:t>时，</w:t>
      </w:r>
      <w:r>
        <w:rPr>
          <w:spacing w:val="-8"/>
          <w:sz w:val="16"/>
        </w:rPr>
        <w:t>-20</w:t>
      </w:r>
      <w:r>
        <w:rPr>
          <w:rFonts w:ascii="宋体" w:hAnsi="宋体" w:eastAsia="宋体" w:hint="eastAsia"/>
          <w:spacing w:val="-11"/>
          <w:sz w:val="16"/>
        </w:rPr>
        <w:t>℃保存不超过 </w:t>
      </w:r>
      <w:r>
        <w:rPr>
          <w:sz w:val="16"/>
        </w:rPr>
        <w:t>7</w:t>
      </w:r>
      <w:r>
        <w:rPr>
          <w:spacing w:val="10"/>
          <w:sz w:val="16"/>
        </w:rPr>
        <w:t> </w:t>
      </w:r>
      <w:r>
        <w:rPr>
          <w:rFonts w:ascii="宋体" w:hAnsi="宋体" w:eastAsia="宋体" w:hint="eastAsia"/>
          <w:spacing w:val="-12"/>
          <w:sz w:val="16"/>
        </w:rPr>
        <w:t>个月，反复冻融不超过 </w:t>
      </w:r>
      <w:r>
        <w:rPr>
          <w:sz w:val="16"/>
        </w:rPr>
        <w:t>7</w:t>
      </w:r>
      <w:r>
        <w:rPr>
          <w:spacing w:val="10"/>
          <w:sz w:val="16"/>
        </w:rPr>
        <w:t> </w:t>
      </w:r>
      <w:r>
        <w:rPr>
          <w:rFonts w:ascii="宋体" w:hAnsi="宋体" w:eastAsia="宋体" w:hint="eastAsia"/>
          <w:spacing w:val="-11"/>
          <w:sz w:val="16"/>
        </w:rPr>
        <w:t>次。标本运送采用冰壶加冰或泡沫箱加冰密封进行运输。长期保</w:t>
      </w:r>
      <w:r>
        <w:rPr>
          <w:rFonts w:ascii="宋体" w:hAnsi="宋体" w:eastAsia="宋体" w:hint="eastAsia"/>
          <w:spacing w:val="-5"/>
          <w:sz w:val="16"/>
        </w:rPr>
        <w:t>存请置于</w:t>
      </w:r>
      <w:r>
        <w:rPr>
          <w:spacing w:val="-4"/>
          <w:sz w:val="16"/>
        </w:rPr>
        <w:t>-70</w:t>
      </w:r>
      <w:r>
        <w:rPr>
          <w:rFonts w:ascii="宋体" w:hAnsi="宋体" w:eastAsia="宋体" w:hint="eastAsia"/>
          <w:spacing w:val="-2"/>
          <w:sz w:val="16"/>
        </w:rPr>
        <w:t>℃。</w:t>
      </w:r>
    </w:p>
    <w:p>
      <w:pPr>
        <w:pStyle w:val="Heading1"/>
        <w:spacing w:line="172" w:lineRule="exact"/>
        <w:ind w:left="126"/>
      </w:pPr>
      <w:r>
        <w:rPr/>
        <w:t>【检验方法】</w:t>
      </w:r>
    </w:p>
    <w:p>
      <w:pPr>
        <w:pStyle w:val="ListParagraph"/>
        <w:numPr>
          <w:ilvl w:val="0"/>
          <w:numId w:val="3"/>
        </w:numPr>
        <w:tabs>
          <w:tab w:pos="318" w:val="left" w:leader="none"/>
        </w:tabs>
        <w:spacing w:line="180" w:lineRule="exact" w:before="0" w:after="0"/>
        <w:ind w:left="318" w:right="0" w:hanging="192"/>
        <w:jc w:val="left"/>
        <w:rPr>
          <w:rFonts w:ascii="宋体" w:eastAsia="宋体" w:hint="eastAsia"/>
          <w:b/>
          <w:sz w:val="16"/>
        </w:rPr>
      </w:pPr>
      <w:r>
        <w:rPr>
          <w:rFonts w:ascii="宋体" w:eastAsia="宋体" w:hint="eastAsia"/>
          <w:b/>
          <w:spacing w:val="-6"/>
          <w:sz w:val="16"/>
        </w:rPr>
        <w:t>试剂准备</w:t>
      </w:r>
      <w:r>
        <w:rPr>
          <w:rFonts w:ascii="宋体" w:eastAsia="宋体" w:hint="eastAsia"/>
          <w:b/>
          <w:spacing w:val="-5"/>
          <w:sz w:val="16"/>
        </w:rPr>
        <w:t>（在试剂准备区进行</w:t>
      </w:r>
      <w:r>
        <w:rPr>
          <w:rFonts w:ascii="宋体" w:eastAsia="宋体" w:hint="eastAsia"/>
          <w:b/>
          <w:sz w:val="16"/>
        </w:rPr>
        <w:t>）</w:t>
      </w:r>
    </w:p>
    <w:p>
      <w:pPr>
        <w:pStyle w:val="ListParagraph"/>
        <w:numPr>
          <w:ilvl w:val="1"/>
          <w:numId w:val="3"/>
        </w:numPr>
        <w:tabs>
          <w:tab w:pos="395" w:val="left" w:leader="none"/>
        </w:tabs>
        <w:spacing w:line="180" w:lineRule="exact" w:before="0" w:after="0"/>
        <w:ind w:left="394" w:right="0" w:hanging="269"/>
        <w:jc w:val="left"/>
        <w:rPr>
          <w:rFonts w:ascii="宋体" w:eastAsia="宋体" w:hint="eastAsia"/>
          <w:sz w:val="16"/>
        </w:rPr>
      </w:pPr>
      <w:r>
        <w:rPr>
          <w:rFonts w:ascii="宋体" w:eastAsia="宋体" w:hint="eastAsia"/>
          <w:spacing w:val="-5"/>
          <w:sz w:val="16"/>
        </w:rPr>
        <w:t>取出试剂盒中的各组分，室温放置，待其温度平衡至室温，混匀后备用；</w:t>
      </w:r>
    </w:p>
    <w:p>
      <w:pPr>
        <w:pStyle w:val="ListParagraph"/>
        <w:numPr>
          <w:ilvl w:val="1"/>
          <w:numId w:val="3"/>
        </w:numPr>
        <w:tabs>
          <w:tab w:pos="395" w:val="left" w:leader="none"/>
        </w:tabs>
        <w:spacing w:line="180" w:lineRule="exact" w:before="0" w:after="0"/>
        <w:ind w:left="394" w:right="0" w:hanging="269"/>
        <w:jc w:val="left"/>
        <w:rPr>
          <w:sz w:val="16"/>
        </w:rPr>
      </w:pPr>
      <w:r>
        <w:rPr>
          <w:rFonts w:ascii="宋体" w:hAnsi="宋体" w:eastAsia="宋体" w:hint="eastAsia"/>
          <w:spacing w:val="-8"/>
          <w:sz w:val="16"/>
        </w:rPr>
        <w:t>根据待测样本、阴性对照、阳性对照、阳性参照品</w:t>
      </w:r>
      <w:r>
        <w:rPr>
          <w:spacing w:val="-3"/>
          <w:sz w:val="16"/>
        </w:rPr>
        <w:t>A</w:t>
      </w:r>
      <w:r>
        <w:rPr>
          <w:rFonts w:ascii="宋体" w:hAnsi="宋体" w:eastAsia="宋体" w:hint="eastAsia"/>
          <w:spacing w:val="-3"/>
          <w:sz w:val="16"/>
        </w:rPr>
        <w:t>～</w:t>
      </w:r>
      <w:r>
        <w:rPr>
          <w:spacing w:val="-3"/>
          <w:sz w:val="16"/>
        </w:rPr>
        <w:t>D</w:t>
      </w:r>
      <w:r>
        <w:rPr>
          <w:spacing w:val="2"/>
          <w:sz w:val="16"/>
        </w:rPr>
        <w:t> </w:t>
      </w:r>
      <w:r>
        <w:rPr>
          <w:rFonts w:ascii="宋体" w:hAnsi="宋体" w:eastAsia="宋体" w:hint="eastAsia"/>
          <w:spacing w:val="-9"/>
          <w:sz w:val="16"/>
        </w:rPr>
        <w:t>的数量，按比例</w:t>
      </w:r>
      <w:r>
        <w:rPr>
          <w:rFonts w:ascii="宋体" w:hAnsi="宋体" w:eastAsia="宋体" w:hint="eastAsia"/>
          <w:spacing w:val="-5"/>
          <w:sz w:val="16"/>
        </w:rPr>
        <w:t>（</w:t>
      </w:r>
      <w:r>
        <w:rPr>
          <w:rFonts w:ascii="宋体" w:hAnsi="宋体" w:eastAsia="宋体" w:hint="eastAsia"/>
          <w:spacing w:val="-14"/>
          <w:sz w:val="16"/>
        </w:rPr>
        <w:t>反应液 </w:t>
      </w:r>
      <w:r>
        <w:rPr>
          <w:spacing w:val="-3"/>
          <w:sz w:val="16"/>
        </w:rPr>
        <w:t>38μL/</w:t>
      </w:r>
      <w:r>
        <w:rPr>
          <w:rFonts w:ascii="宋体" w:hAnsi="宋体" w:eastAsia="宋体" w:hint="eastAsia"/>
          <w:spacing w:val="-5"/>
          <w:sz w:val="16"/>
        </w:rPr>
        <w:t>人份</w:t>
      </w:r>
      <w:r>
        <w:rPr>
          <w:spacing w:val="-3"/>
          <w:sz w:val="16"/>
        </w:rPr>
        <w:t>+</w:t>
      </w:r>
      <w:r>
        <w:rPr>
          <w:rFonts w:ascii="宋体" w:hAnsi="宋体" w:eastAsia="宋体" w:hint="eastAsia"/>
          <w:spacing w:val="-3"/>
          <w:sz w:val="16"/>
        </w:rPr>
        <w:t>酶混合液 </w:t>
      </w:r>
      <w:r>
        <w:rPr>
          <w:spacing w:val="-3"/>
          <w:sz w:val="16"/>
        </w:rPr>
        <w:t>2μL/</w:t>
      </w:r>
    </w:p>
    <w:p>
      <w:pPr>
        <w:pStyle w:val="BodyText"/>
        <w:ind w:left="438"/>
      </w:pPr>
      <w:r>
        <w:rPr/>
        <w:t>人份）取相应量的反应液以及酶混合液，充分混匀成</w:t>
      </w:r>
      <w:r>
        <w:rPr>
          <w:rFonts w:ascii="Times New Roman" w:hAnsi="Times New Roman" w:eastAsia="Times New Roman"/>
        </w:rPr>
        <w:t>PCR </w:t>
      </w:r>
      <w:r>
        <w:rPr/>
        <w:t>混合液，</w:t>
      </w:r>
      <w:r>
        <w:rPr>
          <w:rFonts w:ascii="Times New Roman" w:hAnsi="Times New Roman" w:eastAsia="Times New Roman"/>
        </w:rPr>
        <w:t>2000rpm </w:t>
      </w:r>
      <w:r>
        <w:rPr/>
        <w:t>离心 </w:t>
      </w:r>
      <w:r>
        <w:rPr>
          <w:rFonts w:ascii="Times New Roman" w:hAnsi="Times New Roman" w:eastAsia="Times New Roman"/>
        </w:rPr>
        <w:t>10 </w:t>
      </w:r>
      <w:r>
        <w:rPr/>
        <w:t>秒，</w:t>
      </w:r>
      <w:r>
        <w:rPr>
          <w:rFonts w:ascii="Times New Roman" w:hAnsi="Times New Roman" w:eastAsia="Times New Roman"/>
        </w:rPr>
        <w:t>4</w:t>
      </w:r>
      <w:r>
        <w:rPr/>
        <w:t>℃避光待用。</w:t>
      </w:r>
    </w:p>
    <w:p>
      <w:pPr>
        <w:pStyle w:val="ListParagraph"/>
        <w:numPr>
          <w:ilvl w:val="0"/>
          <w:numId w:val="3"/>
        </w:numPr>
        <w:tabs>
          <w:tab w:pos="318" w:val="left" w:leader="none"/>
        </w:tabs>
        <w:spacing w:line="180" w:lineRule="exact" w:before="0" w:after="0"/>
        <w:ind w:left="318" w:right="0" w:hanging="192"/>
        <w:jc w:val="left"/>
        <w:rPr>
          <w:rFonts w:ascii="宋体" w:eastAsia="宋体" w:hint="eastAsia"/>
          <w:sz w:val="16"/>
        </w:rPr>
      </w:pPr>
      <w:r>
        <w:rPr>
          <w:rFonts w:ascii="宋体" w:eastAsia="宋体" w:hint="eastAsia"/>
          <w:b/>
          <w:spacing w:val="-6"/>
          <w:w w:val="100"/>
          <w:sz w:val="16"/>
        </w:rPr>
        <w:t>样本处理与加样</w:t>
      </w:r>
      <w:r>
        <w:rPr>
          <w:rFonts w:ascii="宋体" w:eastAsia="宋体" w:hint="eastAsia"/>
          <w:b/>
          <w:spacing w:val="-5"/>
          <w:w w:val="100"/>
          <w:sz w:val="16"/>
        </w:rPr>
        <w:t>（在样本处理区进行</w:t>
      </w:r>
      <w:r>
        <w:rPr>
          <w:rFonts w:ascii="宋体" w:eastAsia="宋体" w:hint="eastAsia"/>
          <w:b/>
          <w:spacing w:val="-85"/>
          <w:w w:val="100"/>
          <w:sz w:val="16"/>
        </w:rPr>
        <w:t>）</w:t>
      </w:r>
      <w:r>
        <w:rPr>
          <w:rFonts w:ascii="宋体" w:eastAsia="宋体" w:hint="eastAsia"/>
          <w:spacing w:val="-5"/>
          <w:w w:val="100"/>
          <w:sz w:val="16"/>
        </w:rPr>
        <w:t>（阴性对照与待测样本同步处理</w:t>
      </w:r>
      <w:r>
        <w:rPr>
          <w:rFonts w:ascii="宋体" w:eastAsia="宋体" w:hint="eastAsia"/>
          <w:w w:val="100"/>
          <w:sz w:val="16"/>
        </w:rPr>
        <w:t>）</w:t>
      </w:r>
    </w:p>
    <w:p>
      <w:pPr>
        <w:pStyle w:val="ListParagraph"/>
        <w:numPr>
          <w:ilvl w:val="1"/>
          <w:numId w:val="3"/>
        </w:numPr>
        <w:tabs>
          <w:tab w:pos="395" w:val="left" w:leader="none"/>
        </w:tabs>
        <w:spacing w:line="180" w:lineRule="exact" w:before="0" w:after="0"/>
        <w:ind w:left="394" w:right="0" w:hanging="269"/>
        <w:jc w:val="left"/>
        <w:rPr>
          <w:rFonts w:ascii="宋体" w:eastAsia="宋体" w:hint="eastAsia"/>
          <w:sz w:val="16"/>
        </w:rPr>
      </w:pPr>
      <w:r>
        <w:rPr>
          <w:rFonts w:ascii="宋体" w:eastAsia="宋体" w:hint="eastAsia"/>
          <w:spacing w:val="-4"/>
          <w:sz w:val="16"/>
        </w:rPr>
        <w:t>样本前处理</w:t>
      </w:r>
    </w:p>
    <w:p>
      <w:pPr>
        <w:pStyle w:val="BodyText"/>
        <w:spacing w:line="211" w:lineRule="auto" w:before="6"/>
        <w:ind w:left="126" w:right="199" w:firstLine="312"/>
      </w:pPr>
      <w:r>
        <w:rPr>
          <w:spacing w:val="-9"/>
        </w:rPr>
        <w:t>往样本收集管中加入 </w:t>
      </w:r>
      <w:r>
        <w:rPr>
          <w:rFonts w:ascii="Times New Roman" w:eastAsia="Times New Roman"/>
          <w:spacing w:val="-3"/>
        </w:rPr>
        <w:t>1mL </w:t>
      </w:r>
      <w:r>
        <w:rPr>
          <w:spacing w:val="-5"/>
        </w:rPr>
        <w:t>生理盐水，充分振荡混匀，然后把全部液体</w:t>
      </w:r>
      <w:r>
        <w:rPr>
          <w:spacing w:val="-3"/>
        </w:rPr>
        <w:t>（</w:t>
      </w:r>
      <w:r>
        <w:rPr>
          <w:spacing w:val="-5"/>
        </w:rPr>
        <w:t>样本洗脱液</w:t>
      </w:r>
      <w:r>
        <w:rPr>
          <w:spacing w:val="-3"/>
        </w:rPr>
        <w:t>）</w:t>
      </w:r>
      <w:r>
        <w:rPr>
          <w:spacing w:val="-13"/>
        </w:rPr>
        <w:t>倒入 </w:t>
      </w:r>
      <w:r>
        <w:rPr>
          <w:rFonts w:ascii="Times New Roman" w:eastAsia="Times New Roman"/>
        </w:rPr>
        <w:t>1.5mL </w:t>
      </w:r>
      <w:r>
        <w:rPr>
          <w:spacing w:val="-3"/>
        </w:rPr>
        <w:t>灭菌离心</w:t>
      </w:r>
      <w:r>
        <w:rPr>
          <w:spacing w:val="-5"/>
          <w:w w:val="100"/>
        </w:rPr>
        <w:t>管中（棉拭子靠离心管壁挤干后丢弃</w:t>
      </w:r>
      <w:r>
        <w:rPr>
          <w:spacing w:val="-85"/>
          <w:w w:val="100"/>
        </w:rPr>
        <w:t>）</w:t>
      </w:r>
      <w:r>
        <w:rPr>
          <w:spacing w:val="-5"/>
          <w:w w:val="100"/>
        </w:rPr>
        <w:t>，作为待测样本备用。</w:t>
      </w:r>
    </w:p>
    <w:p>
      <w:pPr>
        <w:pStyle w:val="ListParagraph"/>
        <w:numPr>
          <w:ilvl w:val="1"/>
          <w:numId w:val="3"/>
        </w:numPr>
        <w:tabs>
          <w:tab w:pos="359" w:val="left" w:leader="none"/>
        </w:tabs>
        <w:spacing w:line="173" w:lineRule="exact" w:before="0" w:after="0"/>
        <w:ind w:left="358" w:right="0" w:hanging="233"/>
        <w:jc w:val="left"/>
        <w:rPr>
          <w:rFonts w:ascii="宋体" w:eastAsia="宋体" w:hint="eastAsia"/>
          <w:sz w:val="16"/>
        </w:rPr>
      </w:pPr>
      <w:r>
        <w:rPr>
          <w:rFonts w:ascii="宋体" w:eastAsia="宋体" w:hint="eastAsia"/>
          <w:spacing w:val="-4"/>
          <w:sz w:val="16"/>
        </w:rPr>
        <w:t>样本处理</w:t>
      </w:r>
    </w:p>
    <w:p>
      <w:pPr>
        <w:pStyle w:val="BodyText"/>
        <w:ind w:left="428"/>
        <w:rPr>
          <w:rFonts w:ascii="Times New Roman" w:hAnsi="Times New Roman" w:eastAsia="Times New Roman"/>
        </w:rPr>
      </w:pPr>
      <w:r>
        <w:rPr>
          <w:spacing w:val="-12"/>
        </w:rPr>
        <w:t>处理方法 </w:t>
      </w:r>
      <w:r>
        <w:rPr>
          <w:rFonts w:ascii="Times New Roman" w:hAnsi="Times New Roman" w:eastAsia="Times New Roman"/>
          <w:spacing w:val="-12"/>
        </w:rPr>
        <w:t>1</w:t>
      </w:r>
      <w:r>
        <w:rPr>
          <w:spacing w:val="-19"/>
        </w:rPr>
        <w:t>：取 </w:t>
      </w:r>
      <w:r>
        <w:rPr>
          <w:rFonts w:ascii="Times New Roman" w:hAnsi="Times New Roman" w:eastAsia="Times New Roman"/>
          <w:spacing w:val="-3"/>
        </w:rPr>
        <w:t>500μL </w:t>
      </w:r>
      <w:r>
        <w:rPr>
          <w:spacing w:val="-9"/>
        </w:rPr>
        <w:t>待测样本</w:t>
      </w:r>
      <w:r>
        <w:rPr>
          <w:spacing w:val="-5"/>
        </w:rPr>
        <w:t>（</w:t>
      </w:r>
      <w:r>
        <w:rPr>
          <w:spacing w:val="-10"/>
        </w:rPr>
        <w:t>如分泌物较多或样本比较浑浊，建议 </w:t>
      </w:r>
      <w:r>
        <w:rPr>
          <w:rFonts w:ascii="Times New Roman" w:hAnsi="Times New Roman" w:eastAsia="Times New Roman"/>
          <w:spacing w:val="-3"/>
        </w:rPr>
        <w:t>3000rpm </w:t>
      </w:r>
      <w:r>
        <w:rPr>
          <w:spacing w:val="-16"/>
        </w:rPr>
        <w:t>离心 </w:t>
      </w:r>
      <w:r>
        <w:rPr>
          <w:rFonts w:ascii="Times New Roman" w:hAnsi="Times New Roman" w:eastAsia="Times New Roman"/>
        </w:rPr>
        <w:t>30 </w:t>
      </w:r>
      <w:r>
        <w:rPr>
          <w:spacing w:val="-5"/>
        </w:rPr>
        <w:t>秒后吸取</w:t>
      </w:r>
      <w:r>
        <w:rPr>
          <w:spacing w:val="-20"/>
        </w:rPr>
        <w:t>）</w:t>
      </w:r>
      <w:r>
        <w:rPr>
          <w:spacing w:val="-22"/>
        </w:rPr>
        <w:t>到 </w:t>
      </w:r>
      <w:r>
        <w:rPr>
          <w:rFonts w:ascii="Times New Roman" w:hAnsi="Times New Roman" w:eastAsia="Times New Roman"/>
          <w:spacing w:val="-3"/>
        </w:rPr>
        <w:t>1.5mL</w:t>
      </w:r>
    </w:p>
    <w:p>
      <w:pPr>
        <w:pStyle w:val="BodyText"/>
        <w:ind w:left="126"/>
      </w:pPr>
      <w:r>
        <w:rPr/>
        <w:t>离心管，使用湖南圣湘生物科技有限公司的样本释放剂按其说明书操作进行核酸提取。</w:t>
      </w:r>
    </w:p>
    <w:p>
      <w:pPr>
        <w:pStyle w:val="BodyText"/>
        <w:ind w:left="438"/>
        <w:rPr>
          <w:rFonts w:ascii="Times New Roman" w:hAnsi="Times New Roman" w:eastAsia="Times New Roman"/>
        </w:rPr>
      </w:pPr>
      <w:r>
        <w:rPr>
          <w:spacing w:val="-12"/>
        </w:rPr>
        <w:t>处理方法 </w:t>
      </w:r>
      <w:r>
        <w:rPr>
          <w:rFonts w:ascii="Times New Roman" w:hAnsi="Times New Roman" w:eastAsia="Times New Roman"/>
          <w:spacing w:val="-13"/>
        </w:rPr>
        <w:t>2</w:t>
      </w:r>
      <w:r>
        <w:rPr>
          <w:spacing w:val="-19"/>
        </w:rPr>
        <w:t>：取 </w:t>
      </w:r>
      <w:r>
        <w:rPr>
          <w:rFonts w:ascii="Times New Roman" w:hAnsi="Times New Roman" w:eastAsia="Times New Roman"/>
          <w:spacing w:val="-3"/>
        </w:rPr>
        <w:t>200μL </w:t>
      </w:r>
      <w:r>
        <w:rPr>
          <w:spacing w:val="-9"/>
        </w:rPr>
        <w:t>待测样本</w:t>
      </w:r>
      <w:r>
        <w:rPr>
          <w:spacing w:val="-5"/>
        </w:rPr>
        <w:t>（</w:t>
      </w:r>
      <w:r>
        <w:rPr>
          <w:spacing w:val="-10"/>
        </w:rPr>
        <w:t>如分泌物较多或样本比较浑浊，建议 </w:t>
      </w:r>
      <w:r>
        <w:rPr>
          <w:rFonts w:ascii="Times New Roman" w:hAnsi="Times New Roman" w:eastAsia="Times New Roman"/>
          <w:spacing w:val="-3"/>
        </w:rPr>
        <w:t>3000rpm </w:t>
      </w:r>
      <w:r>
        <w:rPr>
          <w:spacing w:val="-16"/>
        </w:rPr>
        <w:t>离心 </w:t>
      </w:r>
      <w:r>
        <w:rPr>
          <w:rFonts w:ascii="Times New Roman" w:hAnsi="Times New Roman" w:eastAsia="Times New Roman"/>
        </w:rPr>
        <w:t>30 </w:t>
      </w:r>
      <w:r>
        <w:rPr>
          <w:spacing w:val="-5"/>
        </w:rPr>
        <w:t>秒后吸取</w:t>
      </w:r>
      <w:r>
        <w:rPr>
          <w:spacing w:val="-22"/>
        </w:rPr>
        <w:t>）到 </w:t>
      </w:r>
      <w:r>
        <w:rPr>
          <w:rFonts w:ascii="Times New Roman" w:hAnsi="Times New Roman" w:eastAsia="Times New Roman"/>
          <w:spacing w:val="-3"/>
        </w:rPr>
        <w:t>1.5mL</w:t>
      </w:r>
    </w:p>
    <w:p>
      <w:pPr>
        <w:pStyle w:val="BodyText"/>
        <w:ind w:left="126"/>
      </w:pPr>
      <w:r>
        <w:rPr/>
        <w:t>离心管，使用湖南圣湘生物科技有限公司的核酸提取或纯化试剂按其说明书操作进行核酸提取。</w:t>
      </w:r>
    </w:p>
    <w:p>
      <w:pPr>
        <w:pStyle w:val="ListParagraph"/>
        <w:numPr>
          <w:ilvl w:val="1"/>
          <w:numId w:val="3"/>
        </w:numPr>
        <w:tabs>
          <w:tab w:pos="359" w:val="left" w:leader="none"/>
        </w:tabs>
        <w:spacing w:line="180" w:lineRule="exact" w:before="0" w:after="0"/>
        <w:ind w:left="358" w:right="0" w:hanging="233"/>
        <w:jc w:val="both"/>
        <w:rPr>
          <w:rFonts w:ascii="宋体" w:eastAsia="宋体" w:hint="eastAsia"/>
          <w:sz w:val="16"/>
        </w:rPr>
      </w:pPr>
      <w:r>
        <w:rPr>
          <w:rFonts w:ascii="宋体" w:eastAsia="宋体" w:hint="eastAsia"/>
          <w:spacing w:val="-3"/>
          <w:sz w:val="16"/>
        </w:rPr>
        <w:t>加样</w:t>
      </w:r>
    </w:p>
    <w:p>
      <w:pPr>
        <w:pStyle w:val="ListParagraph"/>
        <w:numPr>
          <w:ilvl w:val="2"/>
          <w:numId w:val="3"/>
        </w:numPr>
        <w:tabs>
          <w:tab w:pos="474" w:val="left" w:leader="none"/>
        </w:tabs>
        <w:spacing w:line="180" w:lineRule="exact" w:before="0" w:after="0"/>
        <w:ind w:left="474" w:right="0" w:hanging="348"/>
        <w:jc w:val="left"/>
        <w:rPr>
          <w:rFonts w:ascii="宋体" w:hAnsi="宋体" w:eastAsia="宋体" w:hint="eastAsia"/>
          <w:sz w:val="16"/>
        </w:rPr>
      </w:pPr>
      <w:r>
        <w:rPr>
          <w:rFonts w:ascii="宋体" w:hAnsi="宋体" w:eastAsia="宋体" w:hint="eastAsia"/>
          <w:spacing w:val="-4"/>
          <w:sz w:val="16"/>
        </w:rPr>
        <w:t>根据待测样本、阴性对照、阳性对照以及阳性参照品</w:t>
      </w:r>
      <w:r>
        <w:rPr>
          <w:spacing w:val="-3"/>
          <w:sz w:val="16"/>
        </w:rPr>
        <w:t>A</w:t>
      </w:r>
      <w:r>
        <w:rPr>
          <w:rFonts w:ascii="宋体" w:hAnsi="宋体" w:eastAsia="宋体" w:hint="eastAsia"/>
          <w:spacing w:val="-3"/>
          <w:sz w:val="16"/>
        </w:rPr>
        <w:t>～</w:t>
      </w:r>
      <w:r>
        <w:rPr>
          <w:spacing w:val="-3"/>
          <w:sz w:val="16"/>
        </w:rPr>
        <w:t>D</w:t>
      </w:r>
      <w:r>
        <w:rPr>
          <w:sz w:val="16"/>
        </w:rPr>
        <w:t> </w:t>
      </w:r>
      <w:r>
        <w:rPr>
          <w:rFonts w:ascii="宋体" w:hAnsi="宋体" w:eastAsia="宋体" w:hint="eastAsia"/>
          <w:spacing w:val="-9"/>
          <w:sz w:val="16"/>
        </w:rPr>
        <w:t>的数量，每个反应管加入 </w:t>
      </w:r>
      <w:r>
        <w:rPr>
          <w:spacing w:val="-3"/>
          <w:sz w:val="16"/>
        </w:rPr>
        <w:t>40μL</w:t>
      </w:r>
      <w:r>
        <w:rPr>
          <w:spacing w:val="-10"/>
          <w:sz w:val="16"/>
        </w:rPr>
        <w:t> </w:t>
      </w:r>
      <w:r>
        <w:rPr>
          <w:sz w:val="16"/>
        </w:rPr>
        <w:t>PCR</w:t>
      </w:r>
      <w:r>
        <w:rPr>
          <w:spacing w:val="-3"/>
          <w:sz w:val="16"/>
        </w:rPr>
        <w:t> </w:t>
      </w:r>
      <w:r>
        <w:rPr>
          <w:rFonts w:ascii="宋体" w:hAnsi="宋体" w:eastAsia="宋体" w:hint="eastAsia"/>
          <w:spacing w:val="-4"/>
          <w:sz w:val="16"/>
        </w:rPr>
        <w:t>混合液。</w:t>
      </w:r>
    </w:p>
    <w:p>
      <w:pPr>
        <w:pStyle w:val="ListParagraph"/>
        <w:numPr>
          <w:ilvl w:val="2"/>
          <w:numId w:val="3"/>
        </w:numPr>
        <w:tabs>
          <w:tab w:pos="510" w:val="left" w:leader="none"/>
        </w:tabs>
        <w:spacing w:line="211" w:lineRule="auto" w:before="7" w:after="0"/>
        <w:ind w:left="126" w:right="119" w:firstLine="0"/>
        <w:jc w:val="left"/>
        <w:rPr>
          <w:rFonts w:ascii="宋体" w:hAnsi="宋体" w:eastAsia="宋体" w:hint="eastAsia"/>
          <w:sz w:val="16"/>
        </w:rPr>
      </w:pPr>
      <w:r>
        <w:rPr>
          <w:rFonts w:ascii="宋体" w:hAnsi="宋体" w:eastAsia="宋体" w:hint="eastAsia"/>
          <w:spacing w:val="8"/>
          <w:sz w:val="16"/>
        </w:rPr>
        <w:t>在装有</w:t>
      </w:r>
      <w:r>
        <w:rPr>
          <w:spacing w:val="-2"/>
          <w:sz w:val="16"/>
        </w:rPr>
        <w:t>PCR</w:t>
      </w:r>
      <w:r>
        <w:rPr>
          <w:spacing w:val="24"/>
          <w:sz w:val="16"/>
        </w:rPr>
        <w:t> </w:t>
      </w:r>
      <w:r>
        <w:rPr>
          <w:rFonts w:ascii="宋体" w:hAnsi="宋体" w:eastAsia="宋体" w:hint="eastAsia"/>
          <w:spacing w:val="-7"/>
          <w:sz w:val="16"/>
        </w:rPr>
        <w:t>混合液的反应管中分别加入上述已处理的阴性对照和待测样本</w:t>
      </w:r>
      <w:r>
        <w:rPr>
          <w:rFonts w:ascii="宋体" w:hAnsi="宋体" w:eastAsia="宋体" w:hint="eastAsia"/>
          <w:spacing w:val="-6"/>
          <w:sz w:val="16"/>
        </w:rPr>
        <w:t>（</w:t>
      </w:r>
      <w:r>
        <w:rPr>
          <w:rFonts w:ascii="宋体" w:hAnsi="宋体" w:eastAsia="宋体" w:hint="eastAsia"/>
          <w:spacing w:val="-5"/>
          <w:sz w:val="16"/>
        </w:rPr>
        <w:t>吸打混匀后吸取</w:t>
      </w:r>
      <w:r>
        <w:rPr>
          <w:rFonts w:ascii="宋体" w:hAnsi="宋体" w:eastAsia="宋体" w:hint="eastAsia"/>
          <w:spacing w:val="-37"/>
          <w:sz w:val="16"/>
        </w:rPr>
        <w:t>）</w:t>
      </w:r>
      <w:r>
        <w:rPr>
          <w:rFonts w:ascii="宋体" w:hAnsi="宋体" w:eastAsia="宋体" w:hint="eastAsia"/>
          <w:spacing w:val="-6"/>
          <w:sz w:val="16"/>
        </w:rPr>
        <w:t>及阳性对照、</w:t>
      </w:r>
      <w:r>
        <w:rPr>
          <w:rFonts w:ascii="宋体" w:hAnsi="宋体" w:eastAsia="宋体" w:hint="eastAsia"/>
          <w:spacing w:val="2"/>
          <w:w w:val="100"/>
          <w:sz w:val="16"/>
        </w:rPr>
        <w:t>阳性参照品</w:t>
      </w:r>
      <w:r>
        <w:rPr>
          <w:spacing w:val="-4"/>
          <w:w w:val="100"/>
          <w:sz w:val="16"/>
        </w:rPr>
        <w:t>A</w:t>
      </w:r>
      <w:r>
        <w:rPr>
          <w:rFonts w:ascii="宋体" w:hAnsi="宋体" w:eastAsia="宋体" w:hint="eastAsia"/>
          <w:spacing w:val="-5"/>
          <w:w w:val="100"/>
          <w:sz w:val="16"/>
        </w:rPr>
        <w:t>～</w:t>
      </w:r>
      <w:r>
        <w:rPr>
          <w:w w:val="100"/>
          <w:sz w:val="16"/>
        </w:rPr>
        <w:t>D</w:t>
      </w:r>
      <w:r>
        <w:rPr>
          <w:spacing w:val="-3"/>
          <w:sz w:val="16"/>
        </w:rPr>
        <w:t> </w:t>
      </w:r>
      <w:r>
        <w:rPr>
          <w:rFonts w:ascii="宋体" w:hAnsi="宋体" w:eastAsia="宋体" w:hint="eastAsia"/>
          <w:w w:val="100"/>
          <w:sz w:val="16"/>
        </w:rPr>
        <w:t>各</w:t>
      </w:r>
      <w:r>
        <w:rPr>
          <w:rFonts w:ascii="宋体" w:hAnsi="宋体" w:eastAsia="宋体" w:hint="eastAsia"/>
          <w:spacing w:val="-47"/>
          <w:sz w:val="16"/>
        </w:rPr>
        <w:t> </w:t>
      </w:r>
      <w:r>
        <w:rPr>
          <w:spacing w:val="-2"/>
          <w:w w:val="100"/>
          <w:sz w:val="16"/>
        </w:rPr>
        <w:t>1</w:t>
      </w:r>
      <w:r>
        <w:rPr>
          <w:spacing w:val="-4"/>
          <w:w w:val="100"/>
          <w:sz w:val="16"/>
        </w:rPr>
        <w:t>0</w:t>
      </w:r>
      <w:r>
        <w:rPr>
          <w:spacing w:val="-3"/>
          <w:w w:val="100"/>
          <w:sz w:val="16"/>
        </w:rPr>
        <w:t>μL</w:t>
      </w:r>
      <w:r>
        <w:rPr>
          <w:rFonts w:ascii="宋体" w:hAnsi="宋体" w:eastAsia="宋体" w:hint="eastAsia"/>
          <w:spacing w:val="-9"/>
          <w:w w:val="100"/>
          <w:sz w:val="16"/>
        </w:rPr>
        <w:t>，盖上管盖</w:t>
      </w:r>
      <w:r>
        <w:rPr>
          <w:rFonts w:ascii="宋体" w:hAnsi="宋体" w:eastAsia="宋体" w:hint="eastAsia"/>
          <w:spacing w:val="-5"/>
          <w:w w:val="100"/>
          <w:sz w:val="16"/>
        </w:rPr>
        <w:t>（</w:t>
      </w:r>
      <w:r>
        <w:rPr>
          <w:rFonts w:ascii="宋体" w:hAnsi="宋体" w:eastAsia="宋体" w:hint="eastAsia"/>
          <w:spacing w:val="-8"/>
          <w:w w:val="100"/>
          <w:sz w:val="16"/>
        </w:rPr>
        <w:t>如有气泡，可用手指弹击，去除气泡</w:t>
      </w:r>
      <w:r>
        <w:rPr>
          <w:rFonts w:ascii="宋体" w:hAnsi="宋体" w:eastAsia="宋体" w:hint="eastAsia"/>
          <w:spacing w:val="-85"/>
          <w:w w:val="100"/>
          <w:sz w:val="16"/>
        </w:rPr>
        <w:t>）</w:t>
      </w:r>
      <w:r>
        <w:rPr>
          <w:rFonts w:ascii="宋体" w:hAnsi="宋体" w:eastAsia="宋体" w:hint="eastAsia"/>
          <w:spacing w:val="-13"/>
          <w:w w:val="100"/>
          <w:sz w:val="16"/>
        </w:rPr>
        <w:t>，</w:t>
      </w:r>
      <w:r>
        <w:rPr>
          <w:spacing w:val="-2"/>
          <w:w w:val="100"/>
          <w:sz w:val="16"/>
        </w:rPr>
        <w:t>200</w:t>
      </w:r>
      <w:r>
        <w:rPr>
          <w:spacing w:val="-4"/>
          <w:w w:val="100"/>
          <w:sz w:val="16"/>
        </w:rPr>
        <w:t>0r</w:t>
      </w:r>
      <w:r>
        <w:rPr>
          <w:spacing w:val="-2"/>
          <w:w w:val="100"/>
          <w:sz w:val="16"/>
        </w:rPr>
        <w:t>p</w:t>
      </w:r>
      <w:r>
        <w:rPr>
          <w:w w:val="100"/>
          <w:sz w:val="16"/>
        </w:rPr>
        <w:t>m</w:t>
      </w:r>
      <w:r>
        <w:rPr>
          <w:spacing w:val="-7"/>
          <w:sz w:val="16"/>
        </w:rPr>
        <w:t> </w:t>
      </w:r>
      <w:r>
        <w:rPr>
          <w:rFonts w:ascii="宋体" w:hAnsi="宋体" w:eastAsia="宋体" w:hint="eastAsia"/>
          <w:spacing w:val="-3"/>
          <w:w w:val="100"/>
          <w:sz w:val="16"/>
        </w:rPr>
        <w:t>离心</w:t>
      </w:r>
      <w:r>
        <w:rPr>
          <w:rFonts w:ascii="宋体" w:hAnsi="宋体" w:eastAsia="宋体" w:hint="eastAsia"/>
          <w:spacing w:val="-45"/>
          <w:sz w:val="16"/>
        </w:rPr>
        <w:t> </w:t>
      </w:r>
      <w:r>
        <w:rPr>
          <w:spacing w:val="-4"/>
          <w:w w:val="100"/>
          <w:sz w:val="16"/>
        </w:rPr>
        <w:t>1</w:t>
      </w:r>
      <w:r>
        <w:rPr>
          <w:w w:val="100"/>
          <w:sz w:val="16"/>
        </w:rPr>
        <w:t>0</w:t>
      </w:r>
      <w:r>
        <w:rPr>
          <w:spacing w:val="-3"/>
          <w:sz w:val="16"/>
        </w:rPr>
        <w:t> </w:t>
      </w:r>
      <w:r>
        <w:rPr>
          <w:rFonts w:ascii="宋体" w:hAnsi="宋体" w:eastAsia="宋体" w:hint="eastAsia"/>
          <w:spacing w:val="-5"/>
          <w:w w:val="100"/>
          <w:sz w:val="16"/>
        </w:rPr>
        <w:t>秒或用手轻甩至</w:t>
      </w:r>
      <w:r>
        <w:rPr>
          <w:rFonts w:ascii="宋体" w:hAnsi="宋体" w:eastAsia="宋体" w:hint="eastAsia"/>
          <w:spacing w:val="-5"/>
          <w:sz w:val="16"/>
        </w:rPr>
        <w:t>管壁无明显液珠。</w:t>
      </w:r>
    </w:p>
    <w:p>
      <w:pPr>
        <w:pStyle w:val="ListParagraph"/>
        <w:numPr>
          <w:ilvl w:val="0"/>
          <w:numId w:val="3"/>
        </w:numPr>
        <w:tabs>
          <w:tab w:pos="280" w:val="left" w:leader="none"/>
        </w:tabs>
        <w:spacing w:line="172" w:lineRule="exact" w:before="0" w:after="0"/>
        <w:ind w:left="279" w:right="0" w:hanging="154"/>
        <w:jc w:val="left"/>
        <w:rPr>
          <w:rFonts w:ascii="宋体" w:eastAsia="宋体" w:hint="eastAsia"/>
          <w:sz w:val="16"/>
        </w:rPr>
      </w:pPr>
      <w:r>
        <w:rPr>
          <w:b/>
          <w:spacing w:val="-3"/>
          <w:w w:val="100"/>
          <w:sz w:val="16"/>
        </w:rPr>
        <w:t>P</w:t>
      </w:r>
      <w:r>
        <w:rPr>
          <w:b/>
          <w:spacing w:val="-2"/>
          <w:w w:val="100"/>
          <w:sz w:val="16"/>
        </w:rPr>
        <w:t>C</w:t>
      </w:r>
      <w:r>
        <w:rPr>
          <w:b/>
          <w:w w:val="100"/>
          <w:sz w:val="16"/>
        </w:rPr>
        <w:t>R</w:t>
      </w:r>
      <w:r>
        <w:rPr>
          <w:b/>
          <w:spacing w:val="-5"/>
          <w:sz w:val="16"/>
        </w:rPr>
        <w:t>  </w:t>
      </w:r>
      <w:r>
        <w:rPr>
          <w:rFonts w:ascii="宋体" w:eastAsia="宋体" w:hint="eastAsia"/>
          <w:b/>
          <w:spacing w:val="-4"/>
          <w:w w:val="100"/>
          <w:sz w:val="16"/>
        </w:rPr>
        <w:t>扩增</w:t>
      </w:r>
      <w:r>
        <w:rPr>
          <w:rFonts w:ascii="宋体" w:eastAsia="宋体" w:hint="eastAsia"/>
          <w:b/>
          <w:spacing w:val="-5"/>
          <w:w w:val="100"/>
          <w:sz w:val="16"/>
        </w:rPr>
        <w:t>（在扩增与分析区进行</w:t>
      </w:r>
      <w:r>
        <w:rPr>
          <w:rFonts w:ascii="宋体" w:eastAsia="宋体" w:hint="eastAsia"/>
          <w:b/>
          <w:spacing w:val="-85"/>
          <w:w w:val="100"/>
          <w:sz w:val="16"/>
        </w:rPr>
        <w:t>）</w:t>
      </w:r>
      <w:r>
        <w:rPr>
          <w:rFonts w:ascii="宋体" w:eastAsia="宋体" w:hint="eastAsia"/>
          <w:spacing w:val="-5"/>
          <w:w w:val="100"/>
          <w:sz w:val="16"/>
        </w:rPr>
        <w:t>（请参照各仪器使用说明书进行设置</w:t>
      </w:r>
      <w:r>
        <w:rPr>
          <w:rFonts w:ascii="宋体" w:eastAsia="宋体" w:hint="eastAsia"/>
          <w:w w:val="100"/>
          <w:sz w:val="16"/>
        </w:rPr>
        <w:t>）</w:t>
      </w:r>
    </w:p>
    <w:p>
      <w:pPr>
        <w:pStyle w:val="ListParagraph"/>
        <w:numPr>
          <w:ilvl w:val="1"/>
          <w:numId w:val="3"/>
        </w:numPr>
        <w:tabs>
          <w:tab w:pos="398" w:val="left" w:leader="none"/>
        </w:tabs>
        <w:spacing w:line="211" w:lineRule="auto" w:before="7" w:after="0"/>
        <w:ind w:left="433" w:right="199" w:hanging="308"/>
        <w:jc w:val="left"/>
        <w:rPr>
          <w:rFonts w:ascii="宋体" w:eastAsia="宋体" w:hint="eastAsia"/>
          <w:sz w:val="16"/>
        </w:rPr>
      </w:pPr>
      <w:r>
        <w:rPr>
          <w:rFonts w:ascii="宋体" w:eastAsia="宋体" w:hint="eastAsia"/>
          <w:spacing w:val="-3"/>
          <w:sz w:val="16"/>
        </w:rPr>
        <w:t>将</w:t>
      </w:r>
      <w:r>
        <w:rPr>
          <w:spacing w:val="-3"/>
          <w:sz w:val="16"/>
        </w:rPr>
        <w:t>PCR</w:t>
      </w:r>
      <w:r>
        <w:rPr>
          <w:rFonts w:ascii="宋体" w:eastAsia="宋体" w:hint="eastAsia"/>
          <w:spacing w:val="-5"/>
          <w:sz w:val="16"/>
        </w:rPr>
        <w:t>反应管放入扩增仪样品槽，按对应顺序设置阴性对照、阳性对照、阳性参照品</w:t>
      </w:r>
      <w:r>
        <w:rPr>
          <w:rFonts w:ascii="宋体" w:eastAsia="宋体" w:hint="eastAsia"/>
          <w:spacing w:val="-3"/>
          <w:sz w:val="16"/>
        </w:rPr>
        <w:t>A～D</w:t>
      </w:r>
      <w:r>
        <w:rPr>
          <w:rFonts w:ascii="宋体" w:eastAsia="宋体" w:hint="eastAsia"/>
          <w:spacing w:val="-5"/>
          <w:sz w:val="16"/>
        </w:rPr>
        <w:t>以及未知样本，并设置样本名称。</w:t>
      </w:r>
    </w:p>
    <w:p>
      <w:pPr>
        <w:pStyle w:val="ListParagraph"/>
        <w:numPr>
          <w:ilvl w:val="1"/>
          <w:numId w:val="3"/>
        </w:numPr>
        <w:tabs>
          <w:tab w:pos="407" w:val="left" w:leader="none"/>
        </w:tabs>
        <w:spacing w:line="211" w:lineRule="auto" w:before="0" w:after="0"/>
        <w:ind w:left="366" w:right="105" w:hanging="240"/>
        <w:jc w:val="left"/>
        <w:rPr>
          <w:rFonts w:ascii="宋体" w:eastAsia="宋体" w:hint="eastAsia"/>
          <w:sz w:val="16"/>
        </w:rPr>
      </w:pPr>
      <w:r>
        <w:rPr>
          <w:rFonts w:ascii="宋体" w:eastAsia="宋体" w:hint="eastAsia"/>
          <w:spacing w:val="-1"/>
          <w:w w:val="100"/>
          <w:sz w:val="16"/>
        </w:rPr>
        <w:t>荧光检测通道选择</w:t>
      </w:r>
      <w:r>
        <w:rPr>
          <w:rFonts w:ascii="宋体" w:eastAsia="宋体" w:hint="eastAsia"/>
          <w:spacing w:val="-3"/>
          <w:w w:val="100"/>
          <w:sz w:val="16"/>
        </w:rPr>
        <w:t>（</w:t>
      </w:r>
      <w:r>
        <w:rPr>
          <w:rFonts w:ascii="宋体" w:eastAsia="宋体" w:hint="eastAsia"/>
          <w:spacing w:val="35"/>
          <w:w w:val="100"/>
          <w:sz w:val="16"/>
        </w:rPr>
        <w:t>以</w:t>
      </w:r>
      <w:r>
        <w:rPr>
          <w:spacing w:val="-4"/>
          <w:w w:val="100"/>
          <w:sz w:val="16"/>
        </w:rPr>
        <w:t>A</w:t>
      </w:r>
      <w:r>
        <w:rPr>
          <w:spacing w:val="-2"/>
          <w:w w:val="100"/>
          <w:sz w:val="16"/>
        </w:rPr>
        <w:t>B</w:t>
      </w:r>
      <w:r>
        <w:rPr>
          <w:w w:val="100"/>
          <w:sz w:val="16"/>
        </w:rPr>
        <w:t>I</w:t>
      </w:r>
      <w:r>
        <w:rPr>
          <w:spacing w:val="-5"/>
          <w:sz w:val="16"/>
        </w:rPr>
        <w:t> </w:t>
      </w:r>
      <w:r>
        <w:rPr>
          <w:spacing w:val="-2"/>
          <w:w w:val="100"/>
          <w:sz w:val="16"/>
        </w:rPr>
        <w:t>7</w:t>
      </w:r>
      <w:r>
        <w:rPr>
          <w:spacing w:val="-4"/>
          <w:w w:val="100"/>
          <w:sz w:val="16"/>
        </w:rPr>
        <w:t>5</w:t>
      </w:r>
      <w:r>
        <w:rPr>
          <w:spacing w:val="-2"/>
          <w:w w:val="100"/>
          <w:sz w:val="16"/>
        </w:rPr>
        <w:t>0</w:t>
      </w:r>
      <w:r>
        <w:rPr>
          <w:w w:val="100"/>
          <w:sz w:val="16"/>
        </w:rPr>
        <w:t>0</w:t>
      </w:r>
      <w:r>
        <w:rPr>
          <w:spacing w:val="-3"/>
          <w:sz w:val="16"/>
        </w:rPr>
        <w:t> </w:t>
      </w:r>
      <w:r>
        <w:rPr>
          <w:rFonts w:ascii="宋体" w:eastAsia="宋体" w:hint="eastAsia"/>
          <w:spacing w:val="-4"/>
          <w:w w:val="100"/>
          <w:sz w:val="16"/>
        </w:rPr>
        <w:t>仪器为例</w:t>
      </w:r>
      <w:r>
        <w:rPr>
          <w:rFonts w:ascii="宋体" w:eastAsia="宋体" w:hint="eastAsia"/>
          <w:spacing w:val="-82"/>
          <w:w w:val="100"/>
          <w:sz w:val="16"/>
        </w:rPr>
        <w:t>）</w:t>
      </w:r>
      <w:r>
        <w:rPr>
          <w:rFonts w:ascii="宋体" w:eastAsia="宋体" w:hint="eastAsia"/>
          <w:spacing w:val="-3"/>
          <w:w w:val="100"/>
          <w:sz w:val="16"/>
        </w:rPr>
        <w:t>：</w:t>
      </w:r>
      <w:r>
        <w:rPr>
          <w:spacing w:val="-2"/>
          <w:w w:val="100"/>
          <w:sz w:val="16"/>
        </w:rPr>
        <w:t>1</w:t>
      </w:r>
      <w:r>
        <w:rPr>
          <w:rFonts w:ascii="宋体" w:eastAsia="宋体" w:hint="eastAsia"/>
          <w:spacing w:val="-1"/>
          <w:w w:val="100"/>
          <w:sz w:val="16"/>
        </w:rPr>
        <w:t>）</w:t>
      </w:r>
      <w:r>
        <w:rPr>
          <w:rFonts w:ascii="宋体" w:eastAsia="宋体" w:hint="eastAsia"/>
          <w:spacing w:val="1"/>
          <w:w w:val="100"/>
          <w:sz w:val="16"/>
        </w:rPr>
        <w:t>选择</w:t>
      </w:r>
      <w:r>
        <w:rPr>
          <w:rFonts w:ascii="宋体" w:eastAsia="宋体" w:hint="eastAsia"/>
          <w:spacing w:val="-40"/>
          <w:sz w:val="16"/>
        </w:rPr>
        <w:t> </w:t>
      </w:r>
      <w:r>
        <w:rPr>
          <w:spacing w:val="-8"/>
          <w:w w:val="100"/>
          <w:sz w:val="16"/>
        </w:rPr>
        <w:t>F</w:t>
      </w:r>
      <w:r>
        <w:rPr>
          <w:spacing w:val="-4"/>
          <w:w w:val="100"/>
          <w:sz w:val="16"/>
        </w:rPr>
        <w:t>A</w:t>
      </w:r>
      <w:r>
        <w:rPr>
          <w:w w:val="100"/>
          <w:sz w:val="16"/>
        </w:rPr>
        <w:t>M</w:t>
      </w:r>
      <w:r>
        <w:rPr>
          <w:spacing w:val="-1"/>
          <w:sz w:val="16"/>
        </w:rPr>
        <w:t> </w:t>
      </w:r>
      <w:r>
        <w:rPr>
          <w:rFonts w:ascii="宋体" w:eastAsia="宋体" w:hint="eastAsia"/>
          <w:w w:val="100"/>
          <w:sz w:val="16"/>
        </w:rPr>
        <w:t>通道</w:t>
      </w:r>
      <w:r>
        <w:rPr>
          <w:rFonts w:ascii="宋体" w:eastAsia="宋体" w:hint="eastAsia"/>
          <w:spacing w:val="-3"/>
          <w:w w:val="100"/>
          <w:sz w:val="16"/>
        </w:rPr>
        <w:t>（</w:t>
      </w:r>
      <w:r>
        <w:rPr>
          <w:w w:val="100"/>
          <w:sz w:val="16"/>
        </w:rPr>
        <w:t>R</w:t>
      </w:r>
      <w:r>
        <w:rPr>
          <w:spacing w:val="-2"/>
          <w:w w:val="100"/>
          <w:sz w:val="16"/>
        </w:rPr>
        <w:t>e</w:t>
      </w:r>
      <w:r>
        <w:rPr>
          <w:spacing w:val="1"/>
          <w:w w:val="100"/>
          <w:sz w:val="16"/>
        </w:rPr>
        <w:t>p</w:t>
      </w:r>
      <w:r>
        <w:rPr>
          <w:spacing w:val="-2"/>
          <w:w w:val="100"/>
          <w:sz w:val="16"/>
        </w:rPr>
        <w:t>o</w:t>
      </w:r>
      <w:r>
        <w:rPr>
          <w:spacing w:val="-1"/>
          <w:w w:val="100"/>
          <w:sz w:val="16"/>
        </w:rPr>
        <w:t>r</w:t>
      </w:r>
      <w:r>
        <w:rPr>
          <w:w w:val="100"/>
          <w:sz w:val="16"/>
        </w:rPr>
        <w:t>t</w:t>
      </w:r>
      <w:r>
        <w:rPr>
          <w:spacing w:val="-2"/>
          <w:w w:val="100"/>
          <w:sz w:val="16"/>
        </w:rPr>
        <w:t>e</w:t>
      </w:r>
      <w:r>
        <w:rPr>
          <w:w w:val="100"/>
          <w:sz w:val="16"/>
        </w:rPr>
        <w:t>r</w:t>
      </w:r>
      <w:r>
        <w:rPr>
          <w:spacing w:val="2"/>
          <w:sz w:val="16"/>
        </w:rPr>
        <w:t> </w:t>
      </w:r>
      <w:r>
        <w:rPr>
          <w:spacing w:val="-2"/>
          <w:w w:val="100"/>
          <w:sz w:val="16"/>
        </w:rPr>
        <w:t>:</w:t>
      </w:r>
      <w:r>
        <w:rPr>
          <w:spacing w:val="-8"/>
          <w:w w:val="100"/>
          <w:sz w:val="16"/>
        </w:rPr>
        <w:t>F</w:t>
      </w:r>
      <w:r>
        <w:rPr>
          <w:spacing w:val="-4"/>
          <w:w w:val="100"/>
          <w:sz w:val="16"/>
        </w:rPr>
        <w:t>A</w:t>
      </w:r>
      <w:r>
        <w:rPr>
          <w:w w:val="100"/>
          <w:sz w:val="16"/>
        </w:rPr>
        <w:t>M,</w:t>
      </w:r>
      <w:r>
        <w:rPr>
          <w:spacing w:val="-1"/>
          <w:sz w:val="16"/>
        </w:rPr>
        <w:t> </w:t>
      </w:r>
      <w:r>
        <w:rPr>
          <w:spacing w:val="-2"/>
          <w:w w:val="100"/>
          <w:sz w:val="16"/>
        </w:rPr>
        <w:t>Q</w:t>
      </w:r>
      <w:r>
        <w:rPr>
          <w:spacing w:val="1"/>
          <w:w w:val="100"/>
          <w:sz w:val="16"/>
        </w:rPr>
        <w:t>u</w:t>
      </w:r>
      <w:r>
        <w:rPr>
          <w:spacing w:val="-2"/>
          <w:w w:val="100"/>
          <w:sz w:val="16"/>
        </w:rPr>
        <w:t>e</w:t>
      </w:r>
      <w:r>
        <w:rPr>
          <w:spacing w:val="1"/>
          <w:w w:val="100"/>
          <w:sz w:val="16"/>
        </w:rPr>
        <w:t>n</w:t>
      </w:r>
      <w:r>
        <w:rPr>
          <w:spacing w:val="-2"/>
          <w:w w:val="100"/>
          <w:sz w:val="16"/>
        </w:rPr>
        <w:t>c</w:t>
      </w:r>
      <w:r>
        <w:rPr>
          <w:spacing w:val="1"/>
          <w:w w:val="100"/>
          <w:sz w:val="16"/>
        </w:rPr>
        <w:t>h</w:t>
      </w:r>
      <w:r>
        <w:rPr>
          <w:spacing w:val="-2"/>
          <w:w w:val="100"/>
          <w:sz w:val="16"/>
        </w:rPr>
        <w:t>e</w:t>
      </w:r>
      <w:r>
        <w:rPr>
          <w:w w:val="100"/>
          <w:sz w:val="16"/>
        </w:rPr>
        <w:t>r</w:t>
      </w:r>
      <w:r>
        <w:rPr>
          <w:spacing w:val="2"/>
          <w:sz w:val="16"/>
        </w:rPr>
        <w:t> </w:t>
      </w:r>
      <w:r>
        <w:rPr>
          <w:spacing w:val="-2"/>
          <w:w w:val="100"/>
          <w:sz w:val="16"/>
        </w:rPr>
        <w:t>:</w:t>
      </w:r>
      <w:r>
        <w:rPr>
          <w:spacing w:val="1"/>
          <w:w w:val="100"/>
          <w:sz w:val="16"/>
        </w:rPr>
        <w:t>n</w:t>
      </w:r>
      <w:r>
        <w:rPr>
          <w:spacing w:val="-2"/>
          <w:w w:val="100"/>
          <w:sz w:val="16"/>
        </w:rPr>
        <w:t>o</w:t>
      </w:r>
      <w:r>
        <w:rPr>
          <w:spacing w:val="1"/>
          <w:w w:val="100"/>
          <w:sz w:val="16"/>
        </w:rPr>
        <w:t>n</w:t>
      </w:r>
      <w:r>
        <w:rPr>
          <w:spacing w:val="-2"/>
          <w:w w:val="100"/>
          <w:sz w:val="16"/>
        </w:rPr>
        <w:t>e</w:t>
      </w:r>
      <w:r>
        <w:rPr>
          <w:rFonts w:ascii="宋体" w:eastAsia="宋体" w:hint="eastAsia"/>
          <w:spacing w:val="-1"/>
          <w:w w:val="100"/>
          <w:sz w:val="16"/>
        </w:rPr>
        <w:t>）</w:t>
      </w:r>
      <w:r>
        <w:rPr>
          <w:rFonts w:ascii="宋体" w:eastAsia="宋体" w:hint="eastAsia"/>
          <w:w w:val="100"/>
          <w:sz w:val="16"/>
        </w:rPr>
        <w:t>检测解</w:t>
      </w:r>
      <w:r>
        <w:rPr>
          <w:rFonts w:ascii="宋体" w:eastAsia="宋体" w:hint="eastAsia"/>
          <w:spacing w:val="4"/>
          <w:sz w:val="16"/>
        </w:rPr>
        <w:t>脲脲原体</w:t>
      </w:r>
      <w:r>
        <w:rPr>
          <w:spacing w:val="-7"/>
          <w:sz w:val="16"/>
        </w:rPr>
        <w:t>DNA</w:t>
      </w:r>
      <w:r>
        <w:rPr>
          <w:rFonts w:ascii="宋体" w:eastAsia="宋体" w:hint="eastAsia"/>
          <w:spacing w:val="-7"/>
          <w:sz w:val="16"/>
        </w:rPr>
        <w:t>；</w:t>
      </w:r>
      <w:r>
        <w:rPr>
          <w:spacing w:val="-7"/>
          <w:sz w:val="16"/>
        </w:rPr>
        <w:t>2</w:t>
      </w:r>
      <w:r>
        <w:rPr>
          <w:rFonts w:ascii="宋体" w:eastAsia="宋体" w:hint="eastAsia"/>
          <w:spacing w:val="-7"/>
          <w:sz w:val="16"/>
        </w:rPr>
        <w:t>）</w:t>
      </w:r>
      <w:r>
        <w:rPr>
          <w:rFonts w:ascii="宋体" w:eastAsia="宋体" w:hint="eastAsia"/>
          <w:spacing w:val="19"/>
          <w:sz w:val="16"/>
        </w:rPr>
        <w:t>选择</w:t>
      </w:r>
      <w:r>
        <w:rPr>
          <w:sz w:val="16"/>
        </w:rPr>
        <w:t>HEX</w:t>
      </w:r>
      <w:r>
        <w:rPr>
          <w:spacing w:val="2"/>
          <w:sz w:val="16"/>
        </w:rPr>
        <w:t> </w:t>
      </w:r>
      <w:r>
        <w:rPr>
          <w:rFonts w:ascii="宋体" w:eastAsia="宋体" w:hint="eastAsia"/>
          <w:spacing w:val="-19"/>
          <w:sz w:val="16"/>
        </w:rPr>
        <w:t>或 </w:t>
      </w:r>
      <w:r>
        <w:rPr>
          <w:spacing w:val="-2"/>
          <w:sz w:val="16"/>
        </w:rPr>
        <w:t>VIC</w:t>
      </w:r>
      <w:r>
        <w:rPr>
          <w:spacing w:val="5"/>
          <w:sz w:val="16"/>
        </w:rPr>
        <w:t> </w:t>
      </w:r>
      <w:r>
        <w:rPr>
          <w:rFonts w:ascii="宋体" w:eastAsia="宋体" w:hint="eastAsia"/>
          <w:spacing w:val="-8"/>
          <w:sz w:val="16"/>
        </w:rPr>
        <w:t>通道</w:t>
      </w:r>
      <w:r>
        <w:rPr>
          <w:rFonts w:ascii="宋体" w:eastAsia="宋体" w:hint="eastAsia"/>
          <w:sz w:val="16"/>
        </w:rPr>
        <w:t>（</w:t>
      </w:r>
      <w:r>
        <w:rPr>
          <w:sz w:val="16"/>
        </w:rPr>
        <w:t>Reporter</w:t>
      </w:r>
      <w:r>
        <w:rPr>
          <w:spacing w:val="1"/>
          <w:sz w:val="16"/>
        </w:rPr>
        <w:t> :</w:t>
      </w:r>
      <w:r>
        <w:rPr>
          <w:sz w:val="16"/>
        </w:rPr>
        <w:t>HEX/VIC,</w:t>
      </w:r>
      <w:r>
        <w:rPr>
          <w:spacing w:val="7"/>
          <w:sz w:val="16"/>
        </w:rPr>
        <w:t> </w:t>
      </w:r>
      <w:r>
        <w:rPr>
          <w:sz w:val="16"/>
        </w:rPr>
        <w:t>Quencher</w:t>
      </w:r>
      <w:r>
        <w:rPr>
          <w:spacing w:val="-1"/>
          <w:sz w:val="16"/>
        </w:rPr>
        <w:t> :</w:t>
      </w:r>
      <w:r>
        <w:rPr>
          <w:spacing w:val="-4"/>
          <w:sz w:val="16"/>
        </w:rPr>
        <w:t>none</w:t>
      </w:r>
      <w:r>
        <w:rPr>
          <w:rFonts w:ascii="宋体" w:eastAsia="宋体" w:hint="eastAsia"/>
          <w:spacing w:val="-4"/>
          <w:sz w:val="16"/>
        </w:rPr>
        <w:t>）</w:t>
      </w:r>
      <w:r>
        <w:rPr>
          <w:rFonts w:ascii="宋体" w:eastAsia="宋体" w:hint="eastAsia"/>
          <w:sz w:val="16"/>
        </w:rPr>
        <w:t>检测沙眼衣原体</w:t>
      </w:r>
      <w:r>
        <w:rPr>
          <w:spacing w:val="-5"/>
          <w:sz w:val="16"/>
        </w:rPr>
        <w:t>DNA</w:t>
      </w:r>
      <w:r>
        <w:rPr>
          <w:rFonts w:ascii="宋体" w:eastAsia="宋体" w:hint="eastAsia"/>
          <w:spacing w:val="-5"/>
          <w:sz w:val="16"/>
        </w:rPr>
        <w:t>；</w:t>
      </w:r>
      <w:r>
        <w:rPr>
          <w:spacing w:val="-5"/>
          <w:sz w:val="16"/>
        </w:rPr>
        <w:t>3</w:t>
      </w:r>
      <w:r>
        <w:rPr>
          <w:rFonts w:ascii="宋体" w:eastAsia="宋体" w:hint="eastAsia"/>
          <w:spacing w:val="-5"/>
          <w:sz w:val="16"/>
        </w:rPr>
        <w:t>） </w:t>
      </w:r>
      <w:r>
        <w:rPr>
          <w:rFonts w:ascii="宋体" w:eastAsia="宋体" w:hint="eastAsia"/>
          <w:spacing w:val="-10"/>
          <w:sz w:val="16"/>
        </w:rPr>
        <w:t>选择 </w:t>
      </w:r>
      <w:r>
        <w:rPr>
          <w:sz w:val="16"/>
        </w:rPr>
        <w:t>CY5</w:t>
      </w:r>
      <w:r>
        <w:rPr>
          <w:spacing w:val="9"/>
          <w:sz w:val="16"/>
        </w:rPr>
        <w:t> </w:t>
      </w:r>
      <w:r>
        <w:rPr>
          <w:rFonts w:ascii="宋体" w:eastAsia="宋体" w:hint="eastAsia"/>
          <w:spacing w:val="7"/>
          <w:sz w:val="16"/>
        </w:rPr>
        <w:t>通道</w:t>
      </w:r>
      <w:r>
        <w:rPr>
          <w:rFonts w:ascii="宋体" w:eastAsia="宋体" w:hint="eastAsia"/>
          <w:sz w:val="16"/>
        </w:rPr>
        <w:t>（</w:t>
      </w:r>
      <w:r>
        <w:rPr>
          <w:sz w:val="16"/>
        </w:rPr>
        <w:t>Reporter</w:t>
      </w:r>
      <w:r>
        <w:rPr>
          <w:spacing w:val="5"/>
          <w:sz w:val="16"/>
        </w:rPr>
        <w:t>: </w:t>
      </w:r>
      <w:r>
        <w:rPr>
          <w:sz w:val="16"/>
        </w:rPr>
        <w:t>CY5</w:t>
      </w:r>
      <w:r>
        <w:rPr>
          <w:spacing w:val="6"/>
          <w:sz w:val="16"/>
        </w:rPr>
        <w:t>, </w:t>
      </w:r>
      <w:r>
        <w:rPr>
          <w:sz w:val="16"/>
        </w:rPr>
        <w:t>Quencher</w:t>
      </w:r>
      <w:r>
        <w:rPr>
          <w:spacing w:val="5"/>
          <w:sz w:val="16"/>
        </w:rPr>
        <w:t> :</w:t>
      </w:r>
      <w:r>
        <w:rPr>
          <w:sz w:val="16"/>
        </w:rPr>
        <w:t>none</w:t>
      </w:r>
      <w:r>
        <w:rPr>
          <w:rFonts w:ascii="宋体" w:eastAsia="宋体" w:hint="eastAsia"/>
          <w:sz w:val="16"/>
        </w:rPr>
        <w:t>）</w:t>
      </w:r>
      <w:r>
        <w:rPr>
          <w:rFonts w:ascii="宋体" w:eastAsia="宋体" w:hint="eastAsia"/>
          <w:spacing w:val="-2"/>
          <w:sz w:val="16"/>
        </w:rPr>
        <w:t>检测淋球菌 </w:t>
      </w:r>
      <w:r>
        <w:rPr>
          <w:spacing w:val="3"/>
          <w:sz w:val="16"/>
        </w:rPr>
        <w:t>DNA</w:t>
      </w:r>
      <w:r>
        <w:rPr>
          <w:rFonts w:ascii="宋体" w:eastAsia="宋体" w:hint="eastAsia"/>
          <w:spacing w:val="3"/>
          <w:sz w:val="16"/>
        </w:rPr>
        <w:t>；</w:t>
      </w:r>
      <w:r>
        <w:rPr>
          <w:spacing w:val="3"/>
          <w:sz w:val="16"/>
        </w:rPr>
        <w:t>4</w:t>
      </w:r>
      <w:r>
        <w:rPr>
          <w:rFonts w:ascii="宋体" w:eastAsia="宋体" w:hint="eastAsia"/>
          <w:spacing w:val="3"/>
          <w:sz w:val="16"/>
        </w:rPr>
        <w:t>）</w:t>
      </w:r>
      <w:r>
        <w:rPr>
          <w:rFonts w:ascii="宋体" w:eastAsia="宋体" w:hint="eastAsia"/>
          <w:spacing w:val="-9"/>
          <w:sz w:val="16"/>
        </w:rPr>
        <w:t>选择 </w:t>
      </w:r>
      <w:r>
        <w:rPr>
          <w:sz w:val="16"/>
        </w:rPr>
        <w:t>ROX</w:t>
      </w:r>
      <w:r>
        <w:rPr>
          <w:spacing w:val="9"/>
          <w:sz w:val="16"/>
        </w:rPr>
        <w:t> </w:t>
      </w:r>
      <w:r>
        <w:rPr>
          <w:rFonts w:ascii="宋体" w:eastAsia="宋体" w:hint="eastAsia"/>
          <w:spacing w:val="5"/>
          <w:sz w:val="16"/>
        </w:rPr>
        <w:t>通道</w:t>
      </w:r>
      <w:r>
        <w:rPr>
          <w:rFonts w:ascii="宋体" w:eastAsia="宋体" w:hint="eastAsia"/>
          <w:sz w:val="16"/>
        </w:rPr>
        <w:t>（</w:t>
      </w:r>
      <w:r>
        <w:rPr>
          <w:sz w:val="16"/>
        </w:rPr>
        <w:t>Reporter</w:t>
      </w:r>
      <w:r>
        <w:rPr>
          <w:spacing w:val="4"/>
          <w:sz w:val="16"/>
        </w:rPr>
        <w:t>: </w:t>
      </w:r>
      <w:r>
        <w:rPr>
          <w:sz w:val="16"/>
        </w:rPr>
        <w:t>ROX, Quencher</w:t>
      </w:r>
      <w:r>
        <w:rPr>
          <w:spacing w:val="-1"/>
          <w:sz w:val="16"/>
        </w:rPr>
        <w:t> :</w:t>
      </w:r>
      <w:r>
        <w:rPr>
          <w:sz w:val="16"/>
        </w:rPr>
        <w:t>none</w:t>
      </w:r>
      <w:r>
        <w:rPr>
          <w:rFonts w:ascii="宋体" w:eastAsia="宋体" w:hint="eastAsia"/>
          <w:sz w:val="16"/>
        </w:rPr>
        <w:t>）</w:t>
      </w:r>
      <w:r>
        <w:rPr>
          <w:rFonts w:ascii="宋体" w:eastAsia="宋体" w:hint="eastAsia"/>
          <w:spacing w:val="-3"/>
          <w:sz w:val="16"/>
        </w:rPr>
        <w:t>检测内标；</w:t>
      </w:r>
      <w:r>
        <w:rPr>
          <w:sz w:val="16"/>
        </w:rPr>
        <w:t>5</w:t>
      </w:r>
      <w:r>
        <w:rPr>
          <w:rFonts w:ascii="宋体" w:eastAsia="宋体" w:hint="eastAsia"/>
          <w:sz w:val="16"/>
        </w:rPr>
        <w:t>）</w:t>
      </w:r>
      <w:r>
        <w:rPr>
          <w:rFonts w:ascii="宋体" w:eastAsia="宋体" w:hint="eastAsia"/>
          <w:spacing w:val="-3"/>
          <w:sz w:val="16"/>
        </w:rPr>
        <w:t>参比荧光</w:t>
      </w:r>
      <w:r>
        <w:rPr>
          <w:rFonts w:ascii="宋体" w:eastAsia="宋体" w:hint="eastAsia"/>
          <w:sz w:val="16"/>
        </w:rPr>
        <w:t>（</w:t>
      </w:r>
      <w:r>
        <w:rPr>
          <w:sz w:val="16"/>
        </w:rPr>
        <w:t>Passive</w:t>
      </w:r>
      <w:r>
        <w:rPr>
          <w:spacing w:val="-3"/>
          <w:sz w:val="16"/>
        </w:rPr>
        <w:t> </w:t>
      </w:r>
      <w:r>
        <w:rPr>
          <w:sz w:val="16"/>
        </w:rPr>
        <w:t>Reference</w:t>
      </w:r>
      <w:r>
        <w:rPr>
          <w:rFonts w:ascii="宋体" w:eastAsia="宋体" w:hint="eastAsia"/>
          <w:sz w:val="16"/>
        </w:rPr>
        <w:t>）</w:t>
      </w:r>
      <w:r>
        <w:rPr>
          <w:rFonts w:ascii="宋体" w:eastAsia="宋体" w:hint="eastAsia"/>
          <w:spacing w:val="-12"/>
          <w:sz w:val="16"/>
        </w:rPr>
        <w:t>设置为 </w:t>
      </w:r>
      <w:r>
        <w:rPr>
          <w:sz w:val="16"/>
        </w:rPr>
        <w:t>none</w:t>
      </w:r>
      <w:r>
        <w:rPr>
          <w:rFonts w:ascii="宋体" w:eastAsia="宋体" w:hint="eastAsia"/>
          <w:spacing w:val="12"/>
          <w:sz w:val="16"/>
        </w:rPr>
        <w:t>。设置</w:t>
      </w:r>
      <w:r>
        <w:rPr>
          <w:sz w:val="16"/>
        </w:rPr>
        <w:t>Sample</w:t>
      </w:r>
      <w:r>
        <w:rPr>
          <w:spacing w:val="-5"/>
          <w:sz w:val="16"/>
        </w:rPr>
        <w:t> </w:t>
      </w:r>
      <w:r>
        <w:rPr>
          <w:spacing w:val="-4"/>
          <w:sz w:val="16"/>
        </w:rPr>
        <w:t>Volume</w:t>
      </w:r>
      <w:r>
        <w:rPr>
          <w:spacing w:val="-3"/>
          <w:sz w:val="16"/>
        </w:rPr>
        <w:t> </w:t>
      </w:r>
      <w:r>
        <w:rPr>
          <w:rFonts w:ascii="宋体" w:eastAsia="宋体" w:hint="eastAsia"/>
          <w:spacing w:val="-20"/>
          <w:sz w:val="16"/>
        </w:rPr>
        <w:t>为 </w:t>
      </w:r>
      <w:r>
        <w:rPr>
          <w:sz w:val="16"/>
        </w:rPr>
        <w:t>50</w:t>
      </w:r>
      <w:r>
        <w:rPr>
          <w:rFonts w:ascii="宋体" w:eastAsia="宋体" w:hint="eastAsia"/>
          <w:sz w:val="16"/>
        </w:rPr>
        <w:t>。</w:t>
      </w:r>
    </w:p>
    <w:p>
      <w:pPr>
        <w:pStyle w:val="ListParagraph"/>
        <w:numPr>
          <w:ilvl w:val="1"/>
          <w:numId w:val="3"/>
        </w:numPr>
        <w:tabs>
          <w:tab w:pos="405" w:val="left" w:leader="none"/>
        </w:tabs>
        <w:spacing w:line="184" w:lineRule="exact" w:before="0" w:after="0"/>
        <w:ind w:left="404" w:right="0" w:hanging="279"/>
        <w:jc w:val="left"/>
        <w:rPr>
          <w:rFonts w:ascii="宋体" w:eastAsia="宋体" w:hint="eastAsia"/>
          <w:sz w:val="16"/>
        </w:rPr>
      </w:pPr>
      <w:r>
        <w:rPr>
          <w:rFonts w:ascii="宋体" w:eastAsia="宋体" w:hint="eastAsia"/>
          <w:spacing w:val="-3"/>
          <w:sz w:val="16"/>
        </w:rPr>
        <w:t>循环参数设定：</w:t>
      </w:r>
    </w:p>
    <w:tbl>
      <w:tblPr>
        <w:tblW w:w="0" w:type="auto"/>
        <w:jc w:val="left"/>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004"/>
        <w:gridCol w:w="894"/>
        <w:gridCol w:w="2245"/>
        <w:gridCol w:w="916"/>
      </w:tblGrid>
      <w:tr>
        <w:trPr>
          <w:trHeight w:val="180" w:hRule="atLeast"/>
        </w:trPr>
        <w:tc>
          <w:tcPr>
            <w:tcW w:w="3340" w:type="dxa"/>
            <w:gridSpan w:val="2"/>
          </w:tcPr>
          <w:p>
            <w:pPr>
              <w:pStyle w:val="TableParagraph"/>
              <w:ind w:left="653"/>
              <w:rPr>
                <w:rFonts w:ascii="宋体" w:eastAsia="宋体" w:hint="eastAsia"/>
                <w:sz w:val="16"/>
              </w:rPr>
            </w:pPr>
            <w:r>
              <w:rPr>
                <w:rFonts w:ascii="宋体" w:eastAsia="宋体" w:hint="eastAsia"/>
                <w:sz w:val="16"/>
              </w:rPr>
              <w:t>步骤</w:t>
            </w:r>
          </w:p>
        </w:tc>
        <w:tc>
          <w:tcPr>
            <w:tcW w:w="894" w:type="dxa"/>
          </w:tcPr>
          <w:p>
            <w:pPr>
              <w:pStyle w:val="TableParagraph"/>
              <w:ind w:left="0" w:right="275"/>
              <w:jc w:val="right"/>
              <w:rPr>
                <w:rFonts w:ascii="宋体" w:eastAsia="宋体" w:hint="eastAsia"/>
                <w:sz w:val="16"/>
              </w:rPr>
            </w:pPr>
            <w:r>
              <w:rPr>
                <w:rFonts w:ascii="宋体" w:eastAsia="宋体" w:hint="eastAsia"/>
                <w:sz w:val="16"/>
              </w:rPr>
              <w:t>温度</w:t>
            </w:r>
          </w:p>
        </w:tc>
        <w:tc>
          <w:tcPr>
            <w:tcW w:w="2245" w:type="dxa"/>
          </w:tcPr>
          <w:p>
            <w:pPr>
              <w:pStyle w:val="TableParagraph"/>
              <w:ind w:left="943" w:right="931"/>
              <w:jc w:val="center"/>
              <w:rPr>
                <w:rFonts w:ascii="宋体" w:eastAsia="宋体" w:hint="eastAsia"/>
                <w:sz w:val="16"/>
              </w:rPr>
            </w:pPr>
            <w:r>
              <w:rPr>
                <w:rFonts w:ascii="宋体" w:eastAsia="宋体" w:hint="eastAsia"/>
                <w:sz w:val="16"/>
              </w:rPr>
              <w:t>时间</w:t>
            </w:r>
          </w:p>
        </w:tc>
        <w:tc>
          <w:tcPr>
            <w:tcW w:w="916" w:type="dxa"/>
          </w:tcPr>
          <w:p>
            <w:pPr>
              <w:pStyle w:val="TableParagraph"/>
              <w:ind w:left="199" w:right="187"/>
              <w:jc w:val="center"/>
              <w:rPr>
                <w:rFonts w:ascii="宋体" w:eastAsia="宋体" w:hint="eastAsia"/>
                <w:sz w:val="16"/>
              </w:rPr>
            </w:pPr>
            <w:r>
              <w:rPr>
                <w:rFonts w:ascii="宋体" w:eastAsia="宋体" w:hint="eastAsia"/>
                <w:sz w:val="16"/>
              </w:rPr>
              <w:t>循环数</w:t>
            </w:r>
          </w:p>
        </w:tc>
      </w:tr>
      <w:tr>
        <w:trPr>
          <w:trHeight w:val="188" w:hRule="atLeast"/>
        </w:trPr>
        <w:tc>
          <w:tcPr>
            <w:tcW w:w="336" w:type="dxa"/>
          </w:tcPr>
          <w:p>
            <w:pPr>
              <w:pStyle w:val="TableParagraph"/>
              <w:spacing w:line="168" w:lineRule="exact"/>
              <w:ind w:left="0" w:right="30"/>
              <w:jc w:val="center"/>
              <w:rPr>
                <w:sz w:val="16"/>
              </w:rPr>
            </w:pPr>
            <w:r>
              <w:rPr>
                <w:w w:val="100"/>
                <w:sz w:val="16"/>
              </w:rPr>
              <w:t>1</w:t>
            </w:r>
          </w:p>
        </w:tc>
        <w:tc>
          <w:tcPr>
            <w:tcW w:w="3004" w:type="dxa"/>
          </w:tcPr>
          <w:p>
            <w:pPr>
              <w:pStyle w:val="TableParagraph"/>
              <w:spacing w:line="168" w:lineRule="exact"/>
              <w:ind w:left="106"/>
              <w:rPr>
                <w:rFonts w:ascii="宋体" w:eastAsia="宋体" w:hint="eastAsia"/>
                <w:sz w:val="16"/>
              </w:rPr>
            </w:pPr>
            <w:r>
              <w:rPr>
                <w:sz w:val="16"/>
              </w:rPr>
              <w:t>UNG </w:t>
            </w:r>
            <w:r>
              <w:rPr>
                <w:rFonts w:ascii="宋体" w:eastAsia="宋体" w:hint="eastAsia"/>
                <w:sz w:val="16"/>
              </w:rPr>
              <w:t>酶反应</w:t>
            </w:r>
          </w:p>
        </w:tc>
        <w:tc>
          <w:tcPr>
            <w:tcW w:w="894" w:type="dxa"/>
          </w:tcPr>
          <w:p>
            <w:pPr>
              <w:pStyle w:val="TableParagraph"/>
              <w:spacing w:line="168" w:lineRule="exact"/>
              <w:ind w:left="0" w:right="275"/>
              <w:jc w:val="right"/>
              <w:rPr>
                <w:rFonts w:ascii="宋体" w:hAnsi="宋体"/>
                <w:sz w:val="16"/>
              </w:rPr>
            </w:pPr>
            <w:r>
              <w:rPr>
                <w:sz w:val="16"/>
              </w:rPr>
              <w:t>50</w:t>
            </w:r>
            <w:r>
              <w:rPr>
                <w:rFonts w:ascii="宋体" w:hAnsi="宋体"/>
                <w:sz w:val="16"/>
              </w:rPr>
              <w:t>℃</w:t>
            </w:r>
          </w:p>
        </w:tc>
        <w:tc>
          <w:tcPr>
            <w:tcW w:w="2245" w:type="dxa"/>
          </w:tcPr>
          <w:p>
            <w:pPr>
              <w:pStyle w:val="TableParagraph"/>
              <w:spacing w:line="168" w:lineRule="exact"/>
              <w:ind w:left="0" w:right="869"/>
              <w:jc w:val="right"/>
              <w:rPr>
                <w:rFonts w:ascii="宋体" w:eastAsia="宋体" w:hint="eastAsia"/>
                <w:sz w:val="16"/>
              </w:rPr>
            </w:pPr>
            <w:r>
              <w:rPr>
                <w:sz w:val="16"/>
              </w:rPr>
              <w:t>2 </w:t>
            </w:r>
            <w:r>
              <w:rPr>
                <w:rFonts w:ascii="宋体" w:eastAsia="宋体" w:hint="eastAsia"/>
                <w:sz w:val="16"/>
              </w:rPr>
              <w:t>分钟</w:t>
            </w:r>
          </w:p>
        </w:tc>
        <w:tc>
          <w:tcPr>
            <w:tcW w:w="916" w:type="dxa"/>
          </w:tcPr>
          <w:p>
            <w:pPr>
              <w:pStyle w:val="TableParagraph"/>
              <w:spacing w:line="168" w:lineRule="exact"/>
              <w:ind w:left="8"/>
              <w:jc w:val="center"/>
              <w:rPr>
                <w:sz w:val="16"/>
              </w:rPr>
            </w:pPr>
            <w:r>
              <w:rPr>
                <w:w w:val="100"/>
                <w:sz w:val="16"/>
              </w:rPr>
              <w:t>1</w:t>
            </w:r>
          </w:p>
        </w:tc>
      </w:tr>
      <w:tr>
        <w:trPr>
          <w:trHeight w:val="187" w:hRule="atLeast"/>
        </w:trPr>
        <w:tc>
          <w:tcPr>
            <w:tcW w:w="336" w:type="dxa"/>
          </w:tcPr>
          <w:p>
            <w:pPr>
              <w:pStyle w:val="TableParagraph"/>
              <w:spacing w:line="168" w:lineRule="exact"/>
              <w:ind w:left="0" w:right="30"/>
              <w:jc w:val="center"/>
              <w:rPr>
                <w:sz w:val="16"/>
              </w:rPr>
            </w:pPr>
            <w:r>
              <w:rPr>
                <w:w w:val="100"/>
                <w:sz w:val="16"/>
              </w:rPr>
              <w:t>2</w:t>
            </w:r>
          </w:p>
        </w:tc>
        <w:tc>
          <w:tcPr>
            <w:tcW w:w="3004" w:type="dxa"/>
          </w:tcPr>
          <w:p>
            <w:pPr>
              <w:pStyle w:val="TableParagraph"/>
              <w:spacing w:line="168" w:lineRule="exact"/>
              <w:ind w:left="106"/>
              <w:rPr>
                <w:rFonts w:ascii="宋体" w:eastAsia="宋体" w:hint="eastAsia"/>
                <w:sz w:val="16"/>
              </w:rPr>
            </w:pPr>
            <w:r>
              <w:rPr>
                <w:sz w:val="16"/>
              </w:rPr>
              <w:t>Taq </w:t>
            </w:r>
            <w:r>
              <w:rPr>
                <w:rFonts w:ascii="宋体" w:eastAsia="宋体" w:hint="eastAsia"/>
                <w:sz w:val="16"/>
              </w:rPr>
              <w:t>酶活化</w:t>
            </w:r>
          </w:p>
        </w:tc>
        <w:tc>
          <w:tcPr>
            <w:tcW w:w="894" w:type="dxa"/>
          </w:tcPr>
          <w:p>
            <w:pPr>
              <w:pStyle w:val="TableParagraph"/>
              <w:spacing w:line="168" w:lineRule="exact"/>
              <w:ind w:left="0" w:right="275"/>
              <w:jc w:val="right"/>
              <w:rPr>
                <w:rFonts w:ascii="宋体" w:hAnsi="宋体"/>
                <w:sz w:val="16"/>
              </w:rPr>
            </w:pPr>
            <w:r>
              <w:rPr>
                <w:sz w:val="16"/>
              </w:rPr>
              <w:t>94</w:t>
            </w:r>
            <w:r>
              <w:rPr>
                <w:rFonts w:ascii="宋体" w:hAnsi="宋体"/>
                <w:sz w:val="16"/>
              </w:rPr>
              <w:t>℃</w:t>
            </w:r>
          </w:p>
        </w:tc>
        <w:tc>
          <w:tcPr>
            <w:tcW w:w="2245" w:type="dxa"/>
          </w:tcPr>
          <w:p>
            <w:pPr>
              <w:pStyle w:val="TableParagraph"/>
              <w:spacing w:line="168" w:lineRule="exact"/>
              <w:ind w:left="0" w:right="869"/>
              <w:jc w:val="right"/>
              <w:rPr>
                <w:rFonts w:ascii="宋体" w:eastAsia="宋体" w:hint="eastAsia"/>
                <w:sz w:val="16"/>
              </w:rPr>
            </w:pPr>
            <w:r>
              <w:rPr>
                <w:sz w:val="16"/>
              </w:rPr>
              <w:t>5 </w:t>
            </w:r>
            <w:r>
              <w:rPr>
                <w:rFonts w:ascii="宋体" w:eastAsia="宋体" w:hint="eastAsia"/>
                <w:sz w:val="16"/>
              </w:rPr>
              <w:t>分钟</w:t>
            </w:r>
          </w:p>
        </w:tc>
        <w:tc>
          <w:tcPr>
            <w:tcW w:w="916" w:type="dxa"/>
          </w:tcPr>
          <w:p>
            <w:pPr>
              <w:pStyle w:val="TableParagraph"/>
              <w:spacing w:line="168" w:lineRule="exact"/>
              <w:ind w:left="8"/>
              <w:jc w:val="center"/>
              <w:rPr>
                <w:sz w:val="16"/>
              </w:rPr>
            </w:pPr>
            <w:r>
              <w:rPr>
                <w:w w:val="100"/>
                <w:sz w:val="16"/>
              </w:rPr>
              <w:t>1</w:t>
            </w:r>
          </w:p>
        </w:tc>
      </w:tr>
      <w:tr>
        <w:trPr>
          <w:trHeight w:val="188" w:hRule="atLeast"/>
        </w:trPr>
        <w:tc>
          <w:tcPr>
            <w:tcW w:w="336" w:type="dxa"/>
            <w:vMerge w:val="restart"/>
          </w:tcPr>
          <w:p>
            <w:pPr>
              <w:pStyle w:val="TableParagraph"/>
              <w:spacing w:line="240" w:lineRule="auto" w:before="85"/>
              <w:ind w:left="106"/>
              <w:rPr>
                <w:sz w:val="16"/>
              </w:rPr>
            </w:pPr>
            <w:r>
              <w:rPr>
                <w:w w:val="100"/>
                <w:sz w:val="16"/>
              </w:rPr>
              <w:t>3</w:t>
            </w:r>
          </w:p>
        </w:tc>
        <w:tc>
          <w:tcPr>
            <w:tcW w:w="3004" w:type="dxa"/>
          </w:tcPr>
          <w:p>
            <w:pPr>
              <w:pStyle w:val="TableParagraph"/>
              <w:spacing w:line="168" w:lineRule="exact"/>
              <w:ind w:left="106"/>
              <w:rPr>
                <w:rFonts w:ascii="宋体" w:eastAsia="宋体" w:hint="eastAsia"/>
                <w:sz w:val="16"/>
              </w:rPr>
            </w:pPr>
            <w:r>
              <w:rPr>
                <w:rFonts w:ascii="宋体" w:eastAsia="宋体" w:hint="eastAsia"/>
                <w:sz w:val="16"/>
              </w:rPr>
              <w:t>变性</w:t>
            </w:r>
          </w:p>
        </w:tc>
        <w:tc>
          <w:tcPr>
            <w:tcW w:w="894" w:type="dxa"/>
          </w:tcPr>
          <w:p>
            <w:pPr>
              <w:pStyle w:val="TableParagraph"/>
              <w:spacing w:line="168" w:lineRule="exact"/>
              <w:ind w:left="0" w:right="275"/>
              <w:jc w:val="right"/>
              <w:rPr>
                <w:rFonts w:ascii="宋体" w:hAnsi="宋体"/>
                <w:sz w:val="16"/>
              </w:rPr>
            </w:pPr>
            <w:r>
              <w:rPr>
                <w:sz w:val="16"/>
              </w:rPr>
              <w:t>94</w:t>
            </w:r>
            <w:r>
              <w:rPr>
                <w:rFonts w:ascii="宋体" w:hAnsi="宋体"/>
                <w:sz w:val="16"/>
              </w:rPr>
              <w:t>℃</w:t>
            </w:r>
          </w:p>
        </w:tc>
        <w:tc>
          <w:tcPr>
            <w:tcW w:w="2245" w:type="dxa"/>
          </w:tcPr>
          <w:p>
            <w:pPr>
              <w:pStyle w:val="TableParagraph"/>
              <w:spacing w:line="168" w:lineRule="exact"/>
              <w:ind w:left="746"/>
              <w:rPr>
                <w:rFonts w:ascii="宋体" w:eastAsia="宋体" w:hint="eastAsia"/>
                <w:sz w:val="16"/>
              </w:rPr>
            </w:pPr>
            <w:r>
              <w:rPr>
                <w:sz w:val="16"/>
              </w:rPr>
              <w:t>15 </w:t>
            </w:r>
            <w:r>
              <w:rPr>
                <w:rFonts w:ascii="宋体" w:eastAsia="宋体" w:hint="eastAsia"/>
                <w:sz w:val="16"/>
              </w:rPr>
              <w:t>秒</w:t>
            </w:r>
          </w:p>
        </w:tc>
        <w:tc>
          <w:tcPr>
            <w:tcW w:w="916" w:type="dxa"/>
            <w:vMerge w:val="restart"/>
          </w:tcPr>
          <w:p>
            <w:pPr>
              <w:pStyle w:val="TableParagraph"/>
              <w:spacing w:line="240" w:lineRule="auto" w:before="85"/>
              <w:ind w:left="198" w:right="187"/>
              <w:jc w:val="center"/>
              <w:rPr>
                <w:sz w:val="16"/>
              </w:rPr>
            </w:pPr>
            <w:r>
              <w:rPr>
                <w:sz w:val="16"/>
              </w:rPr>
              <w:t>45</w:t>
            </w:r>
          </w:p>
        </w:tc>
      </w:tr>
      <w:tr>
        <w:trPr>
          <w:trHeight w:val="180" w:hRule="atLeast"/>
        </w:trPr>
        <w:tc>
          <w:tcPr>
            <w:tcW w:w="336" w:type="dxa"/>
            <w:vMerge/>
            <w:tcBorders>
              <w:top w:val="nil"/>
            </w:tcBorders>
          </w:tcPr>
          <w:p>
            <w:pPr>
              <w:rPr>
                <w:sz w:val="2"/>
                <w:szCs w:val="2"/>
              </w:rPr>
            </w:pPr>
          </w:p>
        </w:tc>
        <w:tc>
          <w:tcPr>
            <w:tcW w:w="3004" w:type="dxa"/>
          </w:tcPr>
          <w:p>
            <w:pPr>
              <w:pStyle w:val="TableParagraph"/>
              <w:ind w:left="106"/>
              <w:rPr>
                <w:rFonts w:ascii="宋体" w:eastAsia="宋体" w:hint="eastAsia"/>
                <w:sz w:val="16"/>
              </w:rPr>
            </w:pPr>
            <w:r>
              <w:rPr>
                <w:rFonts w:ascii="宋体" w:eastAsia="宋体" w:hint="eastAsia"/>
                <w:sz w:val="16"/>
              </w:rPr>
              <w:t>退火，延伸，及荧光采集</w:t>
            </w:r>
          </w:p>
        </w:tc>
        <w:tc>
          <w:tcPr>
            <w:tcW w:w="894" w:type="dxa"/>
          </w:tcPr>
          <w:p>
            <w:pPr>
              <w:pStyle w:val="TableParagraph"/>
              <w:ind w:left="0" w:right="275"/>
              <w:jc w:val="right"/>
              <w:rPr>
                <w:rFonts w:ascii="宋体" w:hAnsi="宋体"/>
                <w:sz w:val="16"/>
              </w:rPr>
            </w:pPr>
            <w:r>
              <w:rPr>
                <w:sz w:val="16"/>
              </w:rPr>
              <w:t>57</w:t>
            </w:r>
            <w:r>
              <w:rPr>
                <w:rFonts w:ascii="宋体" w:hAnsi="宋体"/>
                <w:sz w:val="16"/>
              </w:rPr>
              <w:t>℃</w:t>
            </w:r>
          </w:p>
        </w:tc>
        <w:tc>
          <w:tcPr>
            <w:tcW w:w="2245" w:type="dxa"/>
          </w:tcPr>
          <w:p>
            <w:pPr>
              <w:pStyle w:val="TableParagraph"/>
              <w:ind w:left="0" w:right="870"/>
              <w:jc w:val="right"/>
              <w:rPr>
                <w:sz w:val="16"/>
              </w:rPr>
            </w:pPr>
            <w:r>
              <w:rPr>
                <w:sz w:val="16"/>
              </w:rPr>
              <w:t>30 </w:t>
            </w:r>
            <w:r>
              <w:rPr>
                <w:rFonts w:ascii="宋体" w:eastAsia="宋体" w:hint="eastAsia"/>
                <w:sz w:val="16"/>
              </w:rPr>
              <w:t>秒</w:t>
            </w:r>
            <w:r>
              <w:rPr>
                <w:sz w:val="16"/>
              </w:rPr>
              <w:t>*</w:t>
            </w:r>
          </w:p>
        </w:tc>
        <w:tc>
          <w:tcPr>
            <w:tcW w:w="916" w:type="dxa"/>
            <w:vMerge/>
            <w:tcBorders>
              <w:top w:val="nil"/>
            </w:tcBorders>
          </w:tcPr>
          <w:p>
            <w:pPr>
              <w:rPr>
                <w:sz w:val="2"/>
                <w:szCs w:val="2"/>
              </w:rPr>
            </w:pPr>
          </w:p>
        </w:tc>
      </w:tr>
      <w:tr>
        <w:trPr>
          <w:trHeight w:val="187" w:hRule="atLeast"/>
        </w:trPr>
        <w:tc>
          <w:tcPr>
            <w:tcW w:w="336" w:type="dxa"/>
          </w:tcPr>
          <w:p>
            <w:pPr>
              <w:pStyle w:val="TableParagraph"/>
              <w:spacing w:line="168" w:lineRule="exact"/>
              <w:ind w:left="0" w:right="30"/>
              <w:jc w:val="center"/>
              <w:rPr>
                <w:sz w:val="16"/>
              </w:rPr>
            </w:pPr>
            <w:r>
              <w:rPr>
                <w:w w:val="100"/>
                <w:sz w:val="16"/>
              </w:rPr>
              <w:t>4</w:t>
            </w:r>
          </w:p>
        </w:tc>
        <w:tc>
          <w:tcPr>
            <w:tcW w:w="3004" w:type="dxa"/>
          </w:tcPr>
          <w:p>
            <w:pPr>
              <w:pStyle w:val="TableParagraph"/>
              <w:spacing w:line="168" w:lineRule="exact"/>
              <w:ind w:left="106"/>
              <w:rPr>
                <w:rFonts w:ascii="宋体" w:eastAsia="宋体" w:hint="eastAsia"/>
                <w:sz w:val="16"/>
              </w:rPr>
            </w:pPr>
            <w:r>
              <w:rPr>
                <w:rFonts w:ascii="宋体" w:eastAsia="宋体" w:hint="eastAsia"/>
                <w:sz w:val="16"/>
              </w:rPr>
              <w:t>仪器冷却（可选）</w:t>
            </w:r>
          </w:p>
        </w:tc>
        <w:tc>
          <w:tcPr>
            <w:tcW w:w="894" w:type="dxa"/>
          </w:tcPr>
          <w:p>
            <w:pPr>
              <w:pStyle w:val="TableParagraph"/>
              <w:spacing w:line="168" w:lineRule="exact"/>
              <w:ind w:left="0" w:right="275"/>
              <w:jc w:val="right"/>
              <w:rPr>
                <w:rFonts w:ascii="宋体" w:hAnsi="宋体"/>
                <w:sz w:val="16"/>
              </w:rPr>
            </w:pPr>
            <w:r>
              <w:rPr>
                <w:sz w:val="16"/>
              </w:rPr>
              <w:t>25</w:t>
            </w:r>
            <w:r>
              <w:rPr>
                <w:rFonts w:ascii="宋体" w:hAnsi="宋体"/>
                <w:sz w:val="16"/>
              </w:rPr>
              <w:t>℃</w:t>
            </w:r>
          </w:p>
        </w:tc>
        <w:tc>
          <w:tcPr>
            <w:tcW w:w="2245" w:type="dxa"/>
          </w:tcPr>
          <w:p>
            <w:pPr>
              <w:pStyle w:val="TableParagraph"/>
              <w:spacing w:line="168" w:lineRule="exact"/>
              <w:ind w:left="746"/>
              <w:rPr>
                <w:rFonts w:ascii="宋体" w:eastAsia="宋体" w:hint="eastAsia"/>
                <w:sz w:val="16"/>
              </w:rPr>
            </w:pPr>
            <w:r>
              <w:rPr>
                <w:sz w:val="16"/>
              </w:rPr>
              <w:t>10 </w:t>
            </w:r>
            <w:r>
              <w:rPr>
                <w:rFonts w:ascii="宋体" w:eastAsia="宋体" w:hint="eastAsia"/>
                <w:sz w:val="16"/>
              </w:rPr>
              <w:t>秒</w:t>
            </w:r>
          </w:p>
        </w:tc>
        <w:tc>
          <w:tcPr>
            <w:tcW w:w="916" w:type="dxa"/>
          </w:tcPr>
          <w:p>
            <w:pPr>
              <w:pStyle w:val="TableParagraph"/>
              <w:spacing w:line="168" w:lineRule="exact"/>
              <w:ind w:left="8"/>
              <w:jc w:val="center"/>
              <w:rPr>
                <w:sz w:val="16"/>
              </w:rPr>
            </w:pPr>
            <w:r>
              <w:rPr>
                <w:w w:val="100"/>
                <w:sz w:val="16"/>
              </w:rPr>
              <w:t>1</w:t>
            </w:r>
          </w:p>
        </w:tc>
      </w:tr>
    </w:tbl>
    <w:p>
      <w:pPr>
        <w:pStyle w:val="BodyText"/>
        <w:spacing w:line="211" w:lineRule="auto"/>
        <w:ind w:left="606" w:right="1230" w:firstLine="688"/>
      </w:pPr>
      <w:r>
        <w:rPr>
          <w:rFonts w:ascii="Times New Roman" w:eastAsia="Times New Roman"/>
          <w:spacing w:val="-3"/>
        </w:rPr>
        <w:t>(*</w:t>
      </w:r>
      <w:r>
        <w:rPr>
          <w:spacing w:val="4"/>
        </w:rPr>
        <w:t>注：由于</w:t>
      </w:r>
      <w:r>
        <w:rPr>
          <w:rFonts w:ascii="Times New Roman" w:eastAsia="Times New Roman"/>
          <w:spacing w:val="-3"/>
        </w:rPr>
        <w:t>ABI7500 </w:t>
      </w:r>
      <w:r>
        <w:rPr>
          <w:spacing w:val="-9"/>
        </w:rPr>
        <w:t>仪器原因，不能设置为 </w:t>
      </w:r>
      <w:r>
        <w:rPr>
          <w:rFonts w:ascii="Times New Roman" w:eastAsia="Times New Roman"/>
        </w:rPr>
        <w:t>30 </w:t>
      </w:r>
      <w:r>
        <w:rPr>
          <w:spacing w:val="-10"/>
        </w:rPr>
        <w:t>秒，可以设置为 </w:t>
      </w:r>
      <w:r>
        <w:rPr>
          <w:rFonts w:ascii="Times New Roman" w:eastAsia="Times New Roman"/>
        </w:rPr>
        <w:t>31 </w:t>
      </w:r>
      <w:r>
        <w:rPr>
          <w:spacing w:val="-16"/>
        </w:rPr>
        <w:t>秒或 </w:t>
      </w:r>
      <w:r>
        <w:rPr>
          <w:rFonts w:ascii="Times New Roman" w:eastAsia="Times New Roman"/>
        </w:rPr>
        <w:t>32 </w:t>
      </w:r>
      <w:r>
        <w:rPr>
          <w:spacing w:val="-5"/>
        </w:rPr>
        <w:t>秒。</w:t>
      </w:r>
      <w:r>
        <w:rPr>
          <w:rFonts w:ascii="Times New Roman" w:eastAsia="Times New Roman"/>
        </w:rPr>
        <w:t>) </w:t>
      </w:r>
      <w:r>
        <w:rPr>
          <w:spacing w:val="-3"/>
        </w:rPr>
        <w:t>设置完毕，保存文件，运行反应程序。</w:t>
      </w:r>
    </w:p>
    <w:p>
      <w:pPr>
        <w:pStyle w:val="ListParagraph"/>
        <w:numPr>
          <w:ilvl w:val="0"/>
          <w:numId w:val="3"/>
        </w:numPr>
        <w:tabs>
          <w:tab w:pos="318" w:val="left" w:leader="none"/>
        </w:tabs>
        <w:spacing w:line="173" w:lineRule="exact" w:before="0" w:after="0"/>
        <w:ind w:left="318" w:right="0" w:hanging="192"/>
        <w:jc w:val="left"/>
        <w:rPr>
          <w:rFonts w:ascii="宋体" w:eastAsia="宋体" w:hint="eastAsia"/>
          <w:sz w:val="16"/>
        </w:rPr>
      </w:pPr>
      <w:r>
        <w:rPr>
          <w:rFonts w:ascii="宋体" w:eastAsia="宋体" w:hint="eastAsia"/>
          <w:b/>
          <w:spacing w:val="-6"/>
          <w:sz w:val="16"/>
        </w:rPr>
        <w:t>结果分析</w:t>
      </w:r>
      <w:r>
        <w:rPr>
          <w:rFonts w:ascii="宋体" w:eastAsia="宋体" w:hint="eastAsia"/>
          <w:spacing w:val="-5"/>
          <w:sz w:val="16"/>
        </w:rPr>
        <w:t>（</w:t>
      </w:r>
      <w:r>
        <w:rPr>
          <w:rFonts w:ascii="宋体" w:eastAsia="宋体" w:hint="eastAsia"/>
          <w:spacing w:val="-4"/>
          <w:sz w:val="16"/>
        </w:rPr>
        <w:t>请参照各仪器使用说明书进行设置，以下分析以</w:t>
      </w:r>
      <w:r>
        <w:rPr>
          <w:sz w:val="16"/>
        </w:rPr>
        <w:t>ABI</w:t>
      </w:r>
      <w:r>
        <w:rPr>
          <w:spacing w:val="-1"/>
          <w:sz w:val="16"/>
        </w:rPr>
        <w:t> </w:t>
      </w:r>
      <w:r>
        <w:rPr>
          <w:rFonts w:ascii="宋体" w:eastAsia="宋体" w:hint="eastAsia"/>
          <w:spacing w:val="-2"/>
          <w:sz w:val="16"/>
        </w:rPr>
        <w:t>系列仪器为例</w:t>
      </w:r>
      <w:r>
        <w:rPr>
          <w:rFonts w:ascii="宋体" w:eastAsia="宋体" w:hint="eastAsia"/>
          <w:sz w:val="16"/>
        </w:rPr>
        <w:t>）</w:t>
      </w:r>
    </w:p>
    <w:p>
      <w:pPr>
        <w:pStyle w:val="BodyText"/>
        <w:spacing w:line="211" w:lineRule="auto" w:before="6"/>
        <w:ind w:left="126" w:right="201" w:firstLine="312"/>
      </w:pPr>
      <w:r>
        <w:rPr>
          <w:spacing w:val="-5"/>
        </w:rPr>
        <w:t>反应结束后自动保存结果，根据分析后图像调节</w:t>
      </w:r>
      <w:r>
        <w:rPr>
          <w:rFonts w:ascii="Times New Roman" w:hAnsi="Times New Roman" w:eastAsia="Times New Roman"/>
          <w:spacing w:val="-4"/>
        </w:rPr>
        <w:t>Baseline</w:t>
      </w:r>
      <w:r>
        <w:rPr>
          <w:spacing w:val="-5"/>
        </w:rPr>
        <w:t>的</w:t>
      </w:r>
      <w:r>
        <w:rPr>
          <w:rFonts w:ascii="Times New Roman" w:hAnsi="Times New Roman" w:eastAsia="Times New Roman"/>
          <w:spacing w:val="-3"/>
        </w:rPr>
        <w:t>Start</w:t>
      </w:r>
      <w:r>
        <w:rPr>
          <w:spacing w:val="-6"/>
        </w:rPr>
        <w:t>值、</w:t>
      </w:r>
      <w:r>
        <w:rPr>
          <w:rFonts w:ascii="Times New Roman" w:hAnsi="Times New Roman" w:eastAsia="Times New Roman"/>
          <w:spacing w:val="-3"/>
        </w:rPr>
        <w:t>End</w:t>
      </w:r>
      <w:r>
        <w:rPr>
          <w:spacing w:val="-6"/>
        </w:rPr>
        <w:t>值以及</w:t>
      </w:r>
      <w:r>
        <w:rPr>
          <w:rFonts w:ascii="Times New Roman" w:hAnsi="Times New Roman" w:eastAsia="Times New Roman"/>
          <w:spacing w:val="-3"/>
        </w:rPr>
        <w:t>Threshold</w:t>
      </w:r>
      <w:r>
        <w:rPr>
          <w:spacing w:val="-5"/>
        </w:rPr>
        <w:t>值（用户可根据实际情况自行调整，</w:t>
      </w:r>
      <w:r>
        <w:rPr>
          <w:rFonts w:ascii="Times New Roman" w:hAnsi="Times New Roman" w:eastAsia="Times New Roman"/>
          <w:spacing w:val="-4"/>
        </w:rPr>
        <w:t>Start</w:t>
      </w:r>
      <w:r>
        <w:rPr>
          <w:spacing w:val="-5"/>
        </w:rPr>
        <w:t>值可以在</w:t>
      </w:r>
      <w:r>
        <w:rPr>
          <w:rFonts w:ascii="Times New Roman" w:hAnsi="Times New Roman" w:eastAsia="Times New Roman"/>
          <w:spacing w:val="-4"/>
        </w:rPr>
        <w:t>3</w:t>
      </w:r>
      <w:r>
        <w:rPr>
          <w:spacing w:val="-4"/>
        </w:rPr>
        <w:t>～</w:t>
      </w:r>
      <w:r>
        <w:rPr>
          <w:rFonts w:ascii="Times New Roman" w:hAnsi="Times New Roman" w:eastAsia="Times New Roman"/>
          <w:spacing w:val="-4"/>
        </w:rPr>
        <w:t>15</w:t>
      </w:r>
      <w:r>
        <w:rPr>
          <w:spacing w:val="-5"/>
        </w:rPr>
        <w:t>、</w:t>
      </w:r>
      <w:r>
        <w:rPr>
          <w:rFonts w:ascii="Times New Roman" w:hAnsi="Times New Roman" w:eastAsia="Times New Roman"/>
          <w:spacing w:val="-4"/>
        </w:rPr>
        <w:t>End</w:t>
      </w:r>
      <w:r>
        <w:rPr>
          <w:spacing w:val="-5"/>
        </w:rPr>
        <w:t>值可设在</w:t>
      </w:r>
      <w:r>
        <w:rPr>
          <w:rFonts w:ascii="Times New Roman" w:hAnsi="Times New Roman" w:eastAsia="Times New Roman"/>
          <w:spacing w:val="-4"/>
        </w:rPr>
        <w:t>5</w:t>
      </w:r>
      <w:r>
        <w:rPr>
          <w:spacing w:val="-4"/>
        </w:rPr>
        <w:t>～</w:t>
      </w:r>
      <w:r>
        <w:rPr>
          <w:rFonts w:ascii="Times New Roman" w:hAnsi="Times New Roman" w:eastAsia="Times New Roman"/>
          <w:spacing w:val="-4"/>
        </w:rPr>
        <w:t>20</w:t>
      </w:r>
      <w:r>
        <w:rPr>
          <w:spacing w:val="-5"/>
        </w:rPr>
        <w:t>，调整阴性对照的扩增曲线平直或低于阈值线），</w:t>
      </w:r>
      <w:r>
        <w:rPr>
          <w:spacing w:val="-3"/>
        </w:rPr>
        <w:t>点击</w:t>
      </w:r>
      <w:r>
        <w:rPr>
          <w:rFonts w:ascii="Times New Roman" w:hAnsi="Times New Roman" w:eastAsia="Times New Roman"/>
          <w:spacing w:val="-3"/>
        </w:rPr>
        <w:t>Analyze</w:t>
      </w:r>
      <w:r>
        <w:rPr>
          <w:spacing w:val="-5"/>
        </w:rPr>
        <w:t>进行分析，使各项参数符合下述“</w:t>
      </w:r>
      <w:r>
        <w:rPr>
          <w:spacing w:val="-4"/>
        </w:rPr>
        <w:t>5</w:t>
      </w:r>
      <w:r>
        <w:rPr>
          <w:spacing w:val="-5"/>
        </w:rPr>
        <w:t>.质量控制”中的要求，然后到</w:t>
      </w:r>
      <w:r>
        <w:rPr>
          <w:rFonts w:ascii="Times New Roman" w:hAnsi="Times New Roman" w:eastAsia="Times New Roman"/>
        </w:rPr>
        <w:t>Plate</w:t>
      </w:r>
      <w:r>
        <w:rPr>
          <w:spacing w:val="-3"/>
        </w:rPr>
        <w:t>窗口下记录</w:t>
      </w:r>
      <w:r>
        <w:rPr>
          <w:rFonts w:ascii="Times New Roman" w:hAnsi="Times New Roman" w:eastAsia="Times New Roman"/>
        </w:rPr>
        <w:t>Ct</w:t>
      </w:r>
      <w:r>
        <w:rPr>
          <w:spacing w:val="-4"/>
        </w:rPr>
        <w:t>值和定量结果。</w:t>
      </w:r>
    </w:p>
    <w:p>
      <w:pPr>
        <w:spacing w:after="0" w:line="211" w:lineRule="auto"/>
        <w:sectPr>
          <w:headerReference w:type="default" r:id="rId5"/>
          <w:footerReference w:type="default" r:id="rId6"/>
          <w:type w:val="continuous"/>
          <w:pgSz w:w="16840" w:h="11910" w:orient="landscape"/>
          <w:pgMar w:header="462" w:footer="465" w:top="660" w:bottom="660" w:left="420" w:right="360"/>
          <w:cols w:num="2" w:equalWidth="0">
            <w:col w:w="7918" w:space="169"/>
            <w:col w:w="7973"/>
          </w:cols>
        </w:sectPr>
      </w:pPr>
    </w:p>
    <w:p>
      <w:pPr>
        <w:pStyle w:val="Heading1"/>
        <w:numPr>
          <w:ilvl w:val="0"/>
          <w:numId w:val="3"/>
        </w:numPr>
        <w:tabs>
          <w:tab w:pos="339" w:val="left" w:leader="none"/>
        </w:tabs>
        <w:spacing w:line="193" w:lineRule="exact" w:before="42" w:after="0"/>
        <w:ind w:left="338" w:right="0" w:hanging="193"/>
        <w:jc w:val="left"/>
      </w:pPr>
      <w:r>
        <w:rPr/>
        <w:pict>
          <v:line style="position:absolute;mso-position-horizontal-relative:page;mso-position-vertical-relative:paragraph;z-index:251660288" from="28.35pt,2.559988pt" to="813.55pt,2.559988pt" stroked="true" strokeweight=".72pt" strokecolor="#000000">
            <v:stroke dashstyle="solid"/>
            <w10:wrap type="none"/>
          </v:line>
        </w:pict>
      </w:r>
      <w:r>
        <w:rPr>
          <w:spacing w:val="-4"/>
        </w:rPr>
        <w:t>质量控制</w:t>
      </w:r>
    </w:p>
    <w:p>
      <w:pPr>
        <w:pStyle w:val="ListParagraph"/>
        <w:numPr>
          <w:ilvl w:val="1"/>
          <w:numId w:val="3"/>
        </w:numPr>
        <w:tabs>
          <w:tab w:pos="380" w:val="left" w:leader="none"/>
        </w:tabs>
        <w:spacing w:line="211" w:lineRule="auto" w:before="7" w:after="0"/>
        <w:ind w:left="146" w:right="112" w:firstLine="0"/>
        <w:jc w:val="left"/>
        <w:rPr>
          <w:rFonts w:ascii="宋体" w:hAnsi="宋体" w:eastAsia="宋体" w:hint="eastAsia"/>
          <w:sz w:val="16"/>
        </w:rPr>
      </w:pPr>
      <w:r>
        <w:rPr>
          <w:rFonts w:ascii="宋体" w:hAnsi="宋体" w:eastAsia="宋体" w:hint="eastAsia"/>
          <w:spacing w:val="-6"/>
          <w:sz w:val="16"/>
        </w:rPr>
        <w:t>阴性对照：</w:t>
      </w:r>
      <w:r>
        <w:rPr>
          <w:spacing w:val="-9"/>
          <w:sz w:val="16"/>
        </w:rPr>
        <w:t>FAM</w:t>
      </w:r>
      <w:r>
        <w:rPr>
          <w:rFonts w:ascii="宋体" w:hAnsi="宋体" w:eastAsia="宋体" w:hint="eastAsia"/>
          <w:spacing w:val="-13"/>
          <w:sz w:val="16"/>
        </w:rPr>
        <w:t>、</w:t>
      </w:r>
      <w:r>
        <w:rPr>
          <w:spacing w:val="-4"/>
          <w:sz w:val="16"/>
        </w:rPr>
        <w:t>HEX/VIC</w:t>
      </w:r>
      <w:r>
        <w:rPr>
          <w:rFonts w:ascii="宋体" w:hAnsi="宋体" w:eastAsia="宋体" w:hint="eastAsia"/>
          <w:spacing w:val="-13"/>
          <w:sz w:val="16"/>
        </w:rPr>
        <w:t>、</w:t>
      </w:r>
      <w:r>
        <w:rPr>
          <w:spacing w:val="-2"/>
          <w:sz w:val="16"/>
        </w:rPr>
        <w:t>CY5</w:t>
      </w:r>
      <w:r>
        <w:rPr>
          <w:spacing w:val="12"/>
          <w:sz w:val="16"/>
        </w:rPr>
        <w:t> </w:t>
      </w:r>
      <w:r>
        <w:rPr>
          <w:rFonts w:ascii="宋体" w:hAnsi="宋体" w:eastAsia="宋体" w:hint="eastAsia"/>
          <w:spacing w:val="33"/>
          <w:sz w:val="16"/>
        </w:rPr>
        <w:t>和</w:t>
      </w:r>
      <w:r>
        <w:rPr>
          <w:spacing w:val="-2"/>
          <w:sz w:val="16"/>
        </w:rPr>
        <w:t>ROX</w:t>
      </w:r>
      <w:r>
        <w:rPr>
          <w:spacing w:val="12"/>
          <w:sz w:val="16"/>
        </w:rPr>
        <w:t> </w:t>
      </w:r>
      <w:r>
        <w:rPr>
          <w:rFonts w:ascii="宋体" w:hAnsi="宋体" w:eastAsia="宋体" w:hint="eastAsia"/>
          <w:spacing w:val="14"/>
          <w:sz w:val="16"/>
        </w:rPr>
        <w:t>通道</w:t>
      </w:r>
      <w:r>
        <w:rPr>
          <w:sz w:val="16"/>
        </w:rPr>
        <w:t>Ct</w:t>
      </w:r>
      <w:r>
        <w:rPr>
          <w:spacing w:val="11"/>
          <w:sz w:val="16"/>
        </w:rPr>
        <w:t> </w:t>
      </w:r>
      <w:r>
        <w:rPr>
          <w:rFonts w:ascii="宋体" w:hAnsi="宋体" w:eastAsia="宋体" w:hint="eastAsia"/>
          <w:spacing w:val="-8"/>
          <w:sz w:val="16"/>
        </w:rPr>
        <w:t>值无显示，同时监控目标基因及内源性内标基因</w:t>
      </w:r>
      <w:r>
        <w:rPr>
          <w:rFonts w:ascii="宋体" w:hAnsi="宋体" w:eastAsia="宋体" w:hint="eastAsia"/>
          <w:spacing w:val="-4"/>
          <w:sz w:val="16"/>
        </w:rPr>
        <w:t>（β</w:t>
      </w:r>
      <w:r>
        <w:rPr>
          <w:spacing w:val="-4"/>
          <w:sz w:val="16"/>
        </w:rPr>
        <w:t>-</w:t>
      </w:r>
      <w:r>
        <w:rPr>
          <w:rFonts w:ascii="宋体" w:hAnsi="宋体" w:eastAsia="宋体" w:hint="eastAsia"/>
          <w:spacing w:val="-3"/>
          <w:sz w:val="16"/>
        </w:rPr>
        <w:t>球蛋</w:t>
      </w:r>
      <w:r>
        <w:rPr>
          <w:rFonts w:ascii="宋体" w:hAnsi="宋体" w:eastAsia="宋体" w:hint="eastAsia"/>
          <w:spacing w:val="-5"/>
          <w:sz w:val="16"/>
        </w:rPr>
        <w:t>白）是否存在污染。</w:t>
      </w:r>
    </w:p>
    <w:p>
      <w:pPr>
        <w:pStyle w:val="ListParagraph"/>
        <w:numPr>
          <w:ilvl w:val="1"/>
          <w:numId w:val="3"/>
        </w:numPr>
        <w:tabs>
          <w:tab w:pos="380" w:val="left" w:leader="none"/>
        </w:tabs>
        <w:spacing w:line="173" w:lineRule="exact" w:before="0" w:after="0"/>
        <w:ind w:left="379" w:right="0" w:hanging="234"/>
        <w:jc w:val="left"/>
        <w:rPr>
          <w:rFonts w:ascii="宋体" w:hAnsi="宋体" w:eastAsia="宋体" w:hint="eastAsia"/>
          <w:sz w:val="16"/>
        </w:rPr>
      </w:pPr>
      <w:r>
        <w:rPr>
          <w:rFonts w:ascii="宋体" w:hAnsi="宋体" w:eastAsia="宋体" w:hint="eastAsia"/>
          <w:spacing w:val="-6"/>
          <w:sz w:val="16"/>
        </w:rPr>
        <w:t>阳性对照：</w:t>
      </w:r>
      <w:r>
        <w:rPr>
          <w:spacing w:val="-7"/>
          <w:sz w:val="16"/>
        </w:rPr>
        <w:t>FAM</w:t>
      </w:r>
      <w:r>
        <w:rPr>
          <w:rFonts w:ascii="宋体" w:hAnsi="宋体" w:eastAsia="宋体" w:hint="eastAsia"/>
          <w:spacing w:val="-5"/>
          <w:sz w:val="16"/>
        </w:rPr>
        <w:t>、</w:t>
      </w:r>
      <w:r>
        <w:rPr>
          <w:spacing w:val="-3"/>
          <w:sz w:val="16"/>
        </w:rPr>
        <w:t>HEX/VIC</w:t>
      </w:r>
      <w:r>
        <w:rPr>
          <w:rFonts w:ascii="宋体" w:hAnsi="宋体" w:eastAsia="宋体" w:hint="eastAsia"/>
          <w:spacing w:val="-5"/>
          <w:sz w:val="16"/>
        </w:rPr>
        <w:t>、</w:t>
      </w:r>
      <w:r>
        <w:rPr>
          <w:spacing w:val="-2"/>
          <w:sz w:val="16"/>
        </w:rPr>
        <w:t>CY5 </w:t>
      </w:r>
      <w:r>
        <w:rPr>
          <w:rFonts w:ascii="宋体" w:hAnsi="宋体" w:eastAsia="宋体" w:hint="eastAsia"/>
          <w:spacing w:val="33"/>
          <w:sz w:val="16"/>
        </w:rPr>
        <w:t>和</w:t>
      </w:r>
      <w:r>
        <w:rPr>
          <w:spacing w:val="-2"/>
          <w:sz w:val="16"/>
        </w:rPr>
        <w:t>ROX</w:t>
      </w:r>
      <w:r>
        <w:rPr>
          <w:spacing w:val="-5"/>
          <w:sz w:val="16"/>
        </w:rPr>
        <w:t> </w:t>
      </w:r>
      <w:r>
        <w:rPr>
          <w:rFonts w:ascii="宋体" w:hAnsi="宋体" w:eastAsia="宋体" w:hint="eastAsia"/>
          <w:sz w:val="16"/>
        </w:rPr>
        <w:t>通道均有典型的</w:t>
      </w:r>
      <w:r>
        <w:rPr>
          <w:sz w:val="16"/>
        </w:rPr>
        <w:t>S</w:t>
      </w:r>
      <w:r>
        <w:rPr>
          <w:spacing w:val="-2"/>
          <w:sz w:val="16"/>
        </w:rPr>
        <w:t> </w:t>
      </w:r>
      <w:r>
        <w:rPr>
          <w:rFonts w:ascii="宋体" w:hAnsi="宋体" w:eastAsia="宋体" w:hint="eastAsia"/>
          <w:spacing w:val="-1"/>
          <w:sz w:val="16"/>
        </w:rPr>
        <w:t>型扩增曲线，且检测</w:t>
      </w:r>
      <w:r>
        <w:rPr>
          <w:sz w:val="16"/>
        </w:rPr>
        <w:t>Ct</w:t>
      </w:r>
      <w:r>
        <w:rPr>
          <w:spacing w:val="-5"/>
          <w:sz w:val="16"/>
        </w:rPr>
        <w:t> </w:t>
      </w:r>
      <w:r>
        <w:rPr>
          <w:rFonts w:ascii="宋体" w:hAnsi="宋体" w:eastAsia="宋体" w:hint="eastAsia"/>
          <w:spacing w:val="-4"/>
          <w:sz w:val="16"/>
        </w:rPr>
        <w:t>值≤</w:t>
      </w:r>
      <w:r>
        <w:rPr>
          <w:spacing w:val="-3"/>
          <w:sz w:val="16"/>
        </w:rPr>
        <w:t>38</w:t>
      </w:r>
      <w:r>
        <w:rPr>
          <w:rFonts w:ascii="宋体" w:hAnsi="宋体" w:eastAsia="宋体" w:hint="eastAsia"/>
          <w:sz w:val="16"/>
        </w:rPr>
        <w:t>。</w:t>
      </w:r>
    </w:p>
    <w:p>
      <w:pPr>
        <w:pStyle w:val="ListParagraph"/>
        <w:numPr>
          <w:ilvl w:val="1"/>
          <w:numId w:val="3"/>
        </w:numPr>
        <w:tabs>
          <w:tab w:pos="418" w:val="left" w:leader="none"/>
        </w:tabs>
        <w:spacing w:line="180" w:lineRule="exact" w:before="0" w:after="0"/>
        <w:ind w:left="417" w:right="0" w:hanging="272"/>
        <w:jc w:val="left"/>
        <w:rPr>
          <w:rFonts w:ascii="宋体" w:eastAsia="宋体" w:hint="eastAsia"/>
          <w:sz w:val="16"/>
        </w:rPr>
      </w:pPr>
      <w:r>
        <w:rPr>
          <w:rFonts w:ascii="宋体" w:eastAsia="宋体" w:hint="eastAsia"/>
          <w:spacing w:val="-6"/>
          <w:sz w:val="16"/>
        </w:rPr>
        <w:t>四个阳性参照品：</w:t>
      </w:r>
      <w:r>
        <w:rPr>
          <w:spacing w:val="-8"/>
          <w:sz w:val="16"/>
        </w:rPr>
        <w:t>FAM</w:t>
      </w:r>
      <w:r>
        <w:rPr>
          <w:rFonts w:ascii="宋体" w:eastAsia="宋体" w:hint="eastAsia"/>
          <w:spacing w:val="-5"/>
          <w:sz w:val="16"/>
        </w:rPr>
        <w:t>、</w:t>
      </w:r>
      <w:r>
        <w:rPr>
          <w:spacing w:val="-3"/>
          <w:sz w:val="16"/>
        </w:rPr>
        <w:t>HEX/VIC</w:t>
      </w:r>
      <w:r>
        <w:rPr>
          <w:rFonts w:ascii="宋体" w:eastAsia="宋体" w:hint="eastAsia"/>
          <w:spacing w:val="-5"/>
          <w:sz w:val="16"/>
        </w:rPr>
        <w:t>、</w:t>
      </w:r>
      <w:r>
        <w:rPr>
          <w:spacing w:val="-2"/>
          <w:sz w:val="16"/>
        </w:rPr>
        <w:t>CY5</w:t>
      </w:r>
      <w:r>
        <w:rPr>
          <w:spacing w:val="-3"/>
          <w:sz w:val="16"/>
        </w:rPr>
        <w:t> </w:t>
      </w:r>
      <w:r>
        <w:rPr>
          <w:rFonts w:ascii="宋体" w:eastAsia="宋体" w:hint="eastAsia"/>
          <w:spacing w:val="33"/>
          <w:sz w:val="16"/>
        </w:rPr>
        <w:t>和</w:t>
      </w:r>
      <w:r>
        <w:rPr>
          <w:spacing w:val="-2"/>
          <w:sz w:val="16"/>
        </w:rPr>
        <w:t>ROX</w:t>
      </w:r>
      <w:r>
        <w:rPr>
          <w:spacing w:val="-6"/>
          <w:sz w:val="16"/>
        </w:rPr>
        <w:t> </w:t>
      </w:r>
      <w:r>
        <w:rPr>
          <w:rFonts w:ascii="宋体" w:eastAsia="宋体" w:hint="eastAsia"/>
          <w:spacing w:val="-4"/>
          <w:sz w:val="16"/>
        </w:rPr>
        <w:t>均为阳性。</w:t>
      </w:r>
    </w:p>
    <w:p>
      <w:pPr>
        <w:pStyle w:val="ListParagraph"/>
        <w:numPr>
          <w:ilvl w:val="1"/>
          <w:numId w:val="3"/>
        </w:numPr>
        <w:tabs>
          <w:tab w:pos="418" w:val="left" w:leader="none"/>
        </w:tabs>
        <w:spacing w:line="180" w:lineRule="exact" w:before="0" w:after="0"/>
        <w:ind w:left="417" w:right="0" w:hanging="272"/>
        <w:jc w:val="left"/>
        <w:rPr>
          <w:rFonts w:ascii="宋体" w:eastAsia="宋体" w:hint="eastAsia"/>
          <w:sz w:val="16"/>
        </w:rPr>
      </w:pPr>
      <w:r>
        <w:rPr>
          <w:rFonts w:ascii="宋体" w:eastAsia="宋体" w:hint="eastAsia"/>
          <w:spacing w:val="-5"/>
          <w:sz w:val="16"/>
        </w:rPr>
        <w:t>以上要求需在同一次实验中同时满足，否则，本次实验无效，需重新进行。</w:t>
      </w:r>
    </w:p>
    <w:p>
      <w:pPr>
        <w:pStyle w:val="Heading1"/>
      </w:pPr>
      <w:r>
        <w:rPr/>
        <w:t>【阳性判断值】</w:t>
      </w:r>
    </w:p>
    <w:p>
      <w:pPr>
        <w:pStyle w:val="BodyText"/>
        <w:ind w:left="458"/>
      </w:pPr>
      <w:r>
        <w:rPr/>
        <w:t>通过参考值的研究确定本试剂盒检测目标基因的</w:t>
      </w:r>
      <w:r>
        <w:rPr>
          <w:rFonts w:ascii="Times New Roman" w:eastAsia="Times New Roman"/>
        </w:rPr>
        <w:t>Ct </w:t>
      </w:r>
      <w:r>
        <w:rPr/>
        <w:t>阳性判断值为 </w:t>
      </w:r>
      <w:r>
        <w:rPr>
          <w:rFonts w:ascii="Times New Roman" w:eastAsia="Times New Roman"/>
        </w:rPr>
        <w:t>38</w:t>
      </w:r>
      <w:r>
        <w:rPr/>
        <w:t>，检测内标的</w:t>
      </w:r>
      <w:r>
        <w:rPr>
          <w:rFonts w:ascii="Times New Roman" w:eastAsia="Times New Roman"/>
        </w:rPr>
        <w:t>Ct </w:t>
      </w:r>
      <w:r>
        <w:rPr/>
        <w:t>阳性判断值为 </w:t>
      </w:r>
      <w:r>
        <w:rPr>
          <w:rFonts w:ascii="Times New Roman" w:eastAsia="Times New Roman"/>
        </w:rPr>
        <w:t>40</w:t>
      </w:r>
      <w:r>
        <w:rPr/>
        <w:t>。</w:t>
      </w:r>
    </w:p>
    <w:p>
      <w:pPr>
        <w:spacing w:line="193" w:lineRule="exact" w:before="0"/>
        <w:ind w:left="146" w:right="0" w:firstLine="0"/>
        <w:jc w:val="left"/>
        <w:rPr>
          <w:sz w:val="16"/>
        </w:rPr>
      </w:pPr>
      <w:r>
        <w:rPr>
          <w:b/>
          <w:sz w:val="16"/>
        </w:rPr>
        <w:t>【检验结果的解释】</w:t>
      </w:r>
      <w:r>
        <w:rPr>
          <w:sz w:val="16"/>
        </w:rPr>
        <w:t>待测样本按照下表进行结果判定：</w:t>
      </w:r>
    </w:p>
    <w:tbl>
      <w:tblPr>
        <w:tblW w:w="0" w:type="auto"/>
        <w:jc w:val="left"/>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53"/>
        <w:gridCol w:w="1155"/>
        <w:gridCol w:w="1185"/>
        <w:gridCol w:w="1155"/>
        <w:gridCol w:w="2920"/>
      </w:tblGrid>
      <w:tr>
        <w:trPr>
          <w:trHeight w:val="180" w:hRule="atLeast"/>
        </w:trPr>
        <w:tc>
          <w:tcPr>
            <w:tcW w:w="1153" w:type="dxa"/>
          </w:tcPr>
          <w:p>
            <w:pPr>
              <w:pStyle w:val="TableParagraph"/>
              <w:ind w:left="92" w:right="83"/>
              <w:jc w:val="center"/>
              <w:rPr>
                <w:rFonts w:ascii="宋体" w:eastAsia="宋体" w:hint="eastAsia"/>
                <w:sz w:val="15"/>
              </w:rPr>
            </w:pPr>
            <w:r>
              <w:rPr>
                <w:sz w:val="15"/>
              </w:rPr>
              <w:t>FAM </w:t>
            </w:r>
            <w:r>
              <w:rPr>
                <w:rFonts w:ascii="宋体" w:eastAsia="宋体" w:hint="eastAsia"/>
                <w:sz w:val="15"/>
              </w:rPr>
              <w:t>通道</w:t>
            </w:r>
          </w:p>
        </w:tc>
        <w:tc>
          <w:tcPr>
            <w:tcW w:w="1155" w:type="dxa"/>
          </w:tcPr>
          <w:p>
            <w:pPr>
              <w:pStyle w:val="TableParagraph"/>
              <w:ind w:left="93" w:right="85"/>
              <w:jc w:val="center"/>
              <w:rPr>
                <w:rFonts w:ascii="宋体" w:eastAsia="宋体" w:hint="eastAsia"/>
                <w:sz w:val="15"/>
              </w:rPr>
            </w:pPr>
            <w:r>
              <w:rPr>
                <w:sz w:val="15"/>
              </w:rPr>
              <w:t>HEX </w:t>
            </w:r>
            <w:r>
              <w:rPr>
                <w:rFonts w:ascii="宋体" w:eastAsia="宋体" w:hint="eastAsia"/>
                <w:sz w:val="15"/>
              </w:rPr>
              <w:t>通道</w:t>
            </w:r>
          </w:p>
        </w:tc>
        <w:tc>
          <w:tcPr>
            <w:tcW w:w="1185" w:type="dxa"/>
          </w:tcPr>
          <w:p>
            <w:pPr>
              <w:pStyle w:val="TableParagraph"/>
              <w:ind w:left="66" w:right="61"/>
              <w:jc w:val="center"/>
              <w:rPr>
                <w:rFonts w:ascii="宋体" w:eastAsia="宋体" w:hint="eastAsia"/>
                <w:sz w:val="15"/>
              </w:rPr>
            </w:pPr>
            <w:r>
              <w:rPr>
                <w:sz w:val="15"/>
              </w:rPr>
              <w:t>CY5 </w:t>
            </w:r>
            <w:r>
              <w:rPr>
                <w:rFonts w:ascii="宋体" w:eastAsia="宋体" w:hint="eastAsia"/>
                <w:sz w:val="15"/>
              </w:rPr>
              <w:t>通道</w:t>
            </w:r>
          </w:p>
        </w:tc>
        <w:tc>
          <w:tcPr>
            <w:tcW w:w="1155" w:type="dxa"/>
          </w:tcPr>
          <w:p>
            <w:pPr>
              <w:pStyle w:val="TableParagraph"/>
              <w:ind w:left="93" w:right="85"/>
              <w:jc w:val="center"/>
              <w:rPr>
                <w:rFonts w:ascii="宋体" w:eastAsia="宋体" w:hint="eastAsia"/>
                <w:sz w:val="15"/>
              </w:rPr>
            </w:pPr>
            <w:r>
              <w:rPr>
                <w:sz w:val="15"/>
              </w:rPr>
              <w:t>ROX </w:t>
            </w:r>
            <w:r>
              <w:rPr>
                <w:rFonts w:ascii="宋体" w:eastAsia="宋体" w:hint="eastAsia"/>
                <w:sz w:val="15"/>
              </w:rPr>
              <w:t>通道</w:t>
            </w:r>
          </w:p>
        </w:tc>
        <w:tc>
          <w:tcPr>
            <w:tcW w:w="2920" w:type="dxa"/>
          </w:tcPr>
          <w:p>
            <w:pPr>
              <w:pStyle w:val="TableParagraph"/>
              <w:ind w:left="49" w:right="43"/>
              <w:jc w:val="center"/>
              <w:rPr>
                <w:rFonts w:ascii="宋体" w:eastAsia="宋体" w:hint="eastAsia"/>
                <w:sz w:val="15"/>
              </w:rPr>
            </w:pPr>
            <w:r>
              <w:rPr>
                <w:rFonts w:ascii="宋体" w:eastAsia="宋体" w:hint="eastAsia"/>
                <w:sz w:val="15"/>
              </w:rPr>
              <w:t>结果判断</w:t>
            </w:r>
          </w:p>
        </w:tc>
      </w:tr>
      <w:tr>
        <w:trPr>
          <w:trHeight w:val="187" w:hRule="atLeast"/>
        </w:trPr>
        <w:tc>
          <w:tcPr>
            <w:tcW w:w="1153" w:type="dxa"/>
          </w:tcPr>
          <w:p>
            <w:pPr>
              <w:pStyle w:val="TableParagraph"/>
              <w:spacing w:line="168" w:lineRule="exact"/>
              <w:ind w:left="92" w:right="83"/>
              <w:jc w:val="center"/>
              <w:rPr>
                <w:sz w:val="15"/>
              </w:rPr>
            </w:pPr>
            <w:r>
              <w:rPr>
                <w:sz w:val="15"/>
              </w:rPr>
              <w:t>Ct≤38</w:t>
            </w:r>
          </w:p>
        </w:tc>
        <w:tc>
          <w:tcPr>
            <w:tcW w:w="1155" w:type="dxa"/>
          </w:tcPr>
          <w:p>
            <w:pPr>
              <w:pStyle w:val="TableParagraph"/>
              <w:spacing w:line="168" w:lineRule="exact"/>
              <w:ind w:left="93" w:right="85"/>
              <w:jc w:val="center"/>
              <w:rPr>
                <w:sz w:val="15"/>
              </w:rPr>
            </w:pPr>
            <w:r>
              <w:rPr>
                <w:sz w:val="15"/>
              </w:rPr>
              <w:t>Ct&gt;38 </w:t>
            </w:r>
            <w:r>
              <w:rPr>
                <w:rFonts w:ascii="宋体" w:eastAsia="宋体" w:hint="eastAsia"/>
                <w:sz w:val="15"/>
              </w:rPr>
              <w:t>或</w:t>
            </w:r>
            <w:r>
              <w:rPr>
                <w:sz w:val="15"/>
              </w:rPr>
              <w:t>No Ct</w:t>
            </w:r>
          </w:p>
        </w:tc>
        <w:tc>
          <w:tcPr>
            <w:tcW w:w="1185" w:type="dxa"/>
          </w:tcPr>
          <w:p>
            <w:pPr>
              <w:pStyle w:val="TableParagraph"/>
              <w:spacing w:line="168" w:lineRule="exact"/>
              <w:ind w:left="72" w:right="61"/>
              <w:jc w:val="center"/>
              <w:rPr>
                <w:sz w:val="15"/>
              </w:rPr>
            </w:pPr>
            <w:r>
              <w:rPr>
                <w:sz w:val="15"/>
              </w:rPr>
              <w:t>Ct&gt;38 </w:t>
            </w:r>
            <w:r>
              <w:rPr>
                <w:rFonts w:ascii="宋体" w:eastAsia="宋体" w:hint="eastAsia"/>
                <w:sz w:val="15"/>
              </w:rPr>
              <w:t>或 </w:t>
            </w:r>
            <w:r>
              <w:rPr>
                <w:sz w:val="15"/>
              </w:rPr>
              <w:t>No Ct</w:t>
            </w:r>
          </w:p>
        </w:tc>
        <w:tc>
          <w:tcPr>
            <w:tcW w:w="1155" w:type="dxa"/>
          </w:tcPr>
          <w:p>
            <w:pPr>
              <w:pStyle w:val="TableParagraph"/>
              <w:spacing w:line="168" w:lineRule="exact"/>
              <w:ind w:left="93" w:right="85"/>
              <w:jc w:val="center"/>
              <w:rPr>
                <w:sz w:val="15"/>
              </w:rPr>
            </w:pPr>
            <w:r>
              <w:rPr>
                <w:sz w:val="15"/>
              </w:rPr>
              <w:t>Ct≤45 </w:t>
            </w:r>
            <w:r>
              <w:rPr>
                <w:rFonts w:ascii="宋体" w:hAnsi="宋体" w:eastAsia="宋体" w:hint="eastAsia"/>
                <w:sz w:val="15"/>
              </w:rPr>
              <w:t>或</w:t>
            </w:r>
            <w:r>
              <w:rPr>
                <w:sz w:val="15"/>
              </w:rPr>
              <w:t>No Ct</w:t>
            </w:r>
          </w:p>
        </w:tc>
        <w:tc>
          <w:tcPr>
            <w:tcW w:w="2920" w:type="dxa"/>
          </w:tcPr>
          <w:p>
            <w:pPr>
              <w:pStyle w:val="TableParagraph"/>
              <w:spacing w:line="168" w:lineRule="exact"/>
              <w:ind w:left="51" w:right="43"/>
              <w:jc w:val="center"/>
              <w:rPr>
                <w:rFonts w:ascii="宋体" w:eastAsia="宋体" w:hint="eastAsia"/>
                <w:sz w:val="15"/>
              </w:rPr>
            </w:pPr>
            <w:r>
              <w:rPr>
                <w:rFonts w:ascii="宋体" w:eastAsia="宋体" w:hint="eastAsia"/>
                <w:sz w:val="15"/>
              </w:rPr>
              <w:t>解脲脲原体阳性、淋球菌/沙眼衣原体阴性</w:t>
            </w:r>
          </w:p>
        </w:tc>
      </w:tr>
      <w:tr>
        <w:trPr>
          <w:trHeight w:val="180" w:hRule="atLeast"/>
        </w:trPr>
        <w:tc>
          <w:tcPr>
            <w:tcW w:w="1153" w:type="dxa"/>
          </w:tcPr>
          <w:p>
            <w:pPr>
              <w:pStyle w:val="TableParagraph"/>
              <w:ind w:left="93" w:right="83"/>
              <w:jc w:val="center"/>
              <w:rPr>
                <w:sz w:val="15"/>
              </w:rPr>
            </w:pPr>
            <w:r>
              <w:rPr>
                <w:sz w:val="15"/>
              </w:rPr>
              <w:t>Ct&gt;38 </w:t>
            </w:r>
            <w:r>
              <w:rPr>
                <w:rFonts w:ascii="宋体" w:eastAsia="宋体" w:hint="eastAsia"/>
                <w:sz w:val="15"/>
              </w:rPr>
              <w:t>或</w:t>
            </w:r>
            <w:r>
              <w:rPr>
                <w:sz w:val="15"/>
              </w:rPr>
              <w:t>No Ct</w:t>
            </w:r>
          </w:p>
        </w:tc>
        <w:tc>
          <w:tcPr>
            <w:tcW w:w="1155" w:type="dxa"/>
          </w:tcPr>
          <w:p>
            <w:pPr>
              <w:pStyle w:val="TableParagraph"/>
              <w:ind w:left="93" w:right="83"/>
              <w:jc w:val="center"/>
              <w:rPr>
                <w:sz w:val="15"/>
              </w:rPr>
            </w:pPr>
            <w:r>
              <w:rPr>
                <w:sz w:val="15"/>
              </w:rPr>
              <w:t>Ct≤38</w:t>
            </w:r>
          </w:p>
        </w:tc>
        <w:tc>
          <w:tcPr>
            <w:tcW w:w="1185" w:type="dxa"/>
          </w:tcPr>
          <w:p>
            <w:pPr>
              <w:pStyle w:val="TableParagraph"/>
              <w:ind w:left="72" w:right="61"/>
              <w:jc w:val="center"/>
              <w:rPr>
                <w:sz w:val="15"/>
              </w:rPr>
            </w:pPr>
            <w:r>
              <w:rPr>
                <w:sz w:val="15"/>
              </w:rPr>
              <w:t>Ct&gt;38 </w:t>
            </w:r>
            <w:r>
              <w:rPr>
                <w:rFonts w:ascii="宋体" w:eastAsia="宋体" w:hint="eastAsia"/>
                <w:sz w:val="15"/>
              </w:rPr>
              <w:t>或 </w:t>
            </w:r>
            <w:r>
              <w:rPr>
                <w:sz w:val="15"/>
              </w:rPr>
              <w:t>No Ct</w:t>
            </w:r>
          </w:p>
        </w:tc>
        <w:tc>
          <w:tcPr>
            <w:tcW w:w="1155" w:type="dxa"/>
          </w:tcPr>
          <w:p>
            <w:pPr>
              <w:pStyle w:val="TableParagraph"/>
              <w:ind w:left="93" w:right="85"/>
              <w:jc w:val="center"/>
              <w:rPr>
                <w:sz w:val="15"/>
              </w:rPr>
            </w:pPr>
            <w:r>
              <w:rPr>
                <w:sz w:val="15"/>
              </w:rPr>
              <w:t>Ct≤45 </w:t>
            </w:r>
            <w:r>
              <w:rPr>
                <w:rFonts w:ascii="宋体" w:hAnsi="宋体" w:eastAsia="宋体" w:hint="eastAsia"/>
                <w:sz w:val="15"/>
              </w:rPr>
              <w:t>或</w:t>
            </w:r>
            <w:r>
              <w:rPr>
                <w:sz w:val="15"/>
              </w:rPr>
              <w:t>No Ct</w:t>
            </w:r>
          </w:p>
        </w:tc>
        <w:tc>
          <w:tcPr>
            <w:tcW w:w="2920" w:type="dxa"/>
          </w:tcPr>
          <w:p>
            <w:pPr>
              <w:pStyle w:val="TableParagraph"/>
              <w:ind w:left="51" w:right="43"/>
              <w:jc w:val="center"/>
              <w:rPr>
                <w:rFonts w:ascii="宋体" w:eastAsia="宋体" w:hint="eastAsia"/>
                <w:sz w:val="15"/>
              </w:rPr>
            </w:pPr>
            <w:r>
              <w:rPr>
                <w:rFonts w:ascii="宋体" w:eastAsia="宋体" w:hint="eastAsia"/>
                <w:sz w:val="15"/>
              </w:rPr>
              <w:t>沙眼衣原体阳性，淋球菌/解脲脲原体阴性</w:t>
            </w:r>
          </w:p>
        </w:tc>
      </w:tr>
      <w:tr>
        <w:trPr>
          <w:trHeight w:val="180" w:hRule="atLeast"/>
        </w:trPr>
        <w:tc>
          <w:tcPr>
            <w:tcW w:w="1153" w:type="dxa"/>
          </w:tcPr>
          <w:p>
            <w:pPr>
              <w:pStyle w:val="TableParagraph"/>
              <w:ind w:left="93" w:right="83"/>
              <w:jc w:val="center"/>
              <w:rPr>
                <w:sz w:val="15"/>
              </w:rPr>
            </w:pPr>
            <w:r>
              <w:rPr>
                <w:sz w:val="15"/>
              </w:rPr>
              <w:t>Ct&gt;38 </w:t>
            </w:r>
            <w:r>
              <w:rPr>
                <w:rFonts w:ascii="宋体" w:eastAsia="宋体" w:hint="eastAsia"/>
                <w:sz w:val="15"/>
              </w:rPr>
              <w:t>或</w:t>
            </w:r>
            <w:r>
              <w:rPr>
                <w:sz w:val="15"/>
              </w:rPr>
              <w:t>No Ct</w:t>
            </w:r>
          </w:p>
        </w:tc>
        <w:tc>
          <w:tcPr>
            <w:tcW w:w="1155" w:type="dxa"/>
          </w:tcPr>
          <w:p>
            <w:pPr>
              <w:pStyle w:val="TableParagraph"/>
              <w:ind w:left="93" w:right="85"/>
              <w:jc w:val="center"/>
              <w:rPr>
                <w:sz w:val="15"/>
              </w:rPr>
            </w:pPr>
            <w:r>
              <w:rPr>
                <w:sz w:val="15"/>
              </w:rPr>
              <w:t>Ct&gt;38 </w:t>
            </w:r>
            <w:r>
              <w:rPr>
                <w:rFonts w:ascii="宋体" w:eastAsia="宋体" w:hint="eastAsia"/>
                <w:sz w:val="15"/>
              </w:rPr>
              <w:t>或</w:t>
            </w:r>
            <w:r>
              <w:rPr>
                <w:sz w:val="15"/>
              </w:rPr>
              <w:t>No Ct</w:t>
            </w:r>
          </w:p>
        </w:tc>
        <w:tc>
          <w:tcPr>
            <w:tcW w:w="1185" w:type="dxa"/>
          </w:tcPr>
          <w:p>
            <w:pPr>
              <w:pStyle w:val="TableParagraph"/>
              <w:ind w:left="69" w:right="61"/>
              <w:jc w:val="center"/>
              <w:rPr>
                <w:sz w:val="15"/>
              </w:rPr>
            </w:pPr>
            <w:r>
              <w:rPr>
                <w:sz w:val="15"/>
              </w:rPr>
              <w:t>Ct≤38</w:t>
            </w:r>
          </w:p>
        </w:tc>
        <w:tc>
          <w:tcPr>
            <w:tcW w:w="1155" w:type="dxa"/>
          </w:tcPr>
          <w:p>
            <w:pPr>
              <w:pStyle w:val="TableParagraph"/>
              <w:ind w:left="93" w:right="85"/>
              <w:jc w:val="center"/>
              <w:rPr>
                <w:sz w:val="15"/>
              </w:rPr>
            </w:pPr>
            <w:r>
              <w:rPr>
                <w:sz w:val="15"/>
              </w:rPr>
              <w:t>Ct≤45 </w:t>
            </w:r>
            <w:r>
              <w:rPr>
                <w:rFonts w:ascii="宋体" w:hAnsi="宋体" w:eastAsia="宋体" w:hint="eastAsia"/>
                <w:sz w:val="15"/>
              </w:rPr>
              <w:t>或</w:t>
            </w:r>
            <w:r>
              <w:rPr>
                <w:sz w:val="15"/>
              </w:rPr>
              <w:t>No Ct</w:t>
            </w:r>
          </w:p>
        </w:tc>
        <w:tc>
          <w:tcPr>
            <w:tcW w:w="2920" w:type="dxa"/>
          </w:tcPr>
          <w:p>
            <w:pPr>
              <w:pStyle w:val="TableParagraph"/>
              <w:ind w:left="51" w:right="43"/>
              <w:jc w:val="center"/>
              <w:rPr>
                <w:rFonts w:ascii="宋体" w:eastAsia="宋体" w:hint="eastAsia"/>
                <w:sz w:val="15"/>
              </w:rPr>
            </w:pPr>
            <w:r>
              <w:rPr>
                <w:rFonts w:ascii="宋体" w:eastAsia="宋体" w:hint="eastAsia"/>
                <w:sz w:val="15"/>
              </w:rPr>
              <w:t>淋球菌阳性，解脲脲原体/沙眼衣原体阴性</w:t>
            </w:r>
          </w:p>
        </w:tc>
      </w:tr>
      <w:tr>
        <w:trPr>
          <w:trHeight w:val="180" w:hRule="atLeast"/>
        </w:trPr>
        <w:tc>
          <w:tcPr>
            <w:tcW w:w="1153" w:type="dxa"/>
          </w:tcPr>
          <w:p>
            <w:pPr>
              <w:pStyle w:val="TableParagraph"/>
              <w:ind w:left="92" w:right="83"/>
              <w:jc w:val="center"/>
              <w:rPr>
                <w:sz w:val="15"/>
              </w:rPr>
            </w:pPr>
            <w:r>
              <w:rPr>
                <w:sz w:val="15"/>
              </w:rPr>
              <w:t>Ct≤38</w:t>
            </w:r>
          </w:p>
        </w:tc>
        <w:tc>
          <w:tcPr>
            <w:tcW w:w="1155" w:type="dxa"/>
          </w:tcPr>
          <w:p>
            <w:pPr>
              <w:pStyle w:val="TableParagraph"/>
              <w:ind w:left="93" w:right="83"/>
              <w:jc w:val="center"/>
              <w:rPr>
                <w:sz w:val="15"/>
              </w:rPr>
            </w:pPr>
            <w:r>
              <w:rPr>
                <w:sz w:val="15"/>
              </w:rPr>
              <w:t>Ct≤38</w:t>
            </w:r>
          </w:p>
        </w:tc>
        <w:tc>
          <w:tcPr>
            <w:tcW w:w="1185" w:type="dxa"/>
          </w:tcPr>
          <w:p>
            <w:pPr>
              <w:pStyle w:val="TableParagraph"/>
              <w:ind w:left="72" w:right="61"/>
              <w:jc w:val="center"/>
              <w:rPr>
                <w:sz w:val="15"/>
              </w:rPr>
            </w:pPr>
            <w:r>
              <w:rPr>
                <w:sz w:val="15"/>
              </w:rPr>
              <w:t>Ct&gt;38 </w:t>
            </w:r>
            <w:r>
              <w:rPr>
                <w:rFonts w:ascii="宋体" w:eastAsia="宋体" w:hint="eastAsia"/>
                <w:sz w:val="15"/>
              </w:rPr>
              <w:t>或 </w:t>
            </w:r>
            <w:r>
              <w:rPr>
                <w:sz w:val="15"/>
              </w:rPr>
              <w:t>No Ct</w:t>
            </w:r>
          </w:p>
        </w:tc>
        <w:tc>
          <w:tcPr>
            <w:tcW w:w="1155" w:type="dxa"/>
          </w:tcPr>
          <w:p>
            <w:pPr>
              <w:pStyle w:val="TableParagraph"/>
              <w:ind w:left="93" w:right="85"/>
              <w:jc w:val="center"/>
              <w:rPr>
                <w:sz w:val="15"/>
              </w:rPr>
            </w:pPr>
            <w:r>
              <w:rPr>
                <w:sz w:val="15"/>
              </w:rPr>
              <w:t>Ct≤45 </w:t>
            </w:r>
            <w:r>
              <w:rPr>
                <w:rFonts w:ascii="宋体" w:hAnsi="宋体" w:eastAsia="宋体" w:hint="eastAsia"/>
                <w:sz w:val="15"/>
              </w:rPr>
              <w:t>或</w:t>
            </w:r>
            <w:r>
              <w:rPr>
                <w:sz w:val="15"/>
              </w:rPr>
              <w:t>No Ct</w:t>
            </w:r>
          </w:p>
        </w:tc>
        <w:tc>
          <w:tcPr>
            <w:tcW w:w="2920" w:type="dxa"/>
          </w:tcPr>
          <w:p>
            <w:pPr>
              <w:pStyle w:val="TableParagraph"/>
              <w:ind w:left="51" w:right="43"/>
              <w:jc w:val="center"/>
              <w:rPr>
                <w:rFonts w:ascii="宋体" w:eastAsia="宋体" w:hint="eastAsia"/>
                <w:sz w:val="15"/>
              </w:rPr>
            </w:pPr>
            <w:r>
              <w:rPr>
                <w:rFonts w:ascii="宋体" w:eastAsia="宋体" w:hint="eastAsia"/>
                <w:sz w:val="15"/>
              </w:rPr>
              <w:t>沙眼衣原体/解脲脲原体阳性，淋球菌阴性</w:t>
            </w:r>
          </w:p>
        </w:tc>
      </w:tr>
      <w:tr>
        <w:trPr>
          <w:trHeight w:val="180" w:hRule="atLeast"/>
        </w:trPr>
        <w:tc>
          <w:tcPr>
            <w:tcW w:w="1153" w:type="dxa"/>
          </w:tcPr>
          <w:p>
            <w:pPr>
              <w:pStyle w:val="TableParagraph"/>
              <w:ind w:left="93" w:right="83"/>
              <w:jc w:val="center"/>
              <w:rPr>
                <w:sz w:val="15"/>
              </w:rPr>
            </w:pPr>
            <w:r>
              <w:rPr>
                <w:sz w:val="15"/>
              </w:rPr>
              <w:t>Ct&gt;38 </w:t>
            </w:r>
            <w:r>
              <w:rPr>
                <w:rFonts w:ascii="宋体" w:eastAsia="宋体" w:hint="eastAsia"/>
                <w:sz w:val="15"/>
              </w:rPr>
              <w:t>或</w:t>
            </w:r>
            <w:r>
              <w:rPr>
                <w:sz w:val="15"/>
              </w:rPr>
              <w:t>No Ct</w:t>
            </w:r>
          </w:p>
        </w:tc>
        <w:tc>
          <w:tcPr>
            <w:tcW w:w="1155" w:type="dxa"/>
          </w:tcPr>
          <w:p>
            <w:pPr>
              <w:pStyle w:val="TableParagraph"/>
              <w:ind w:left="93" w:right="83"/>
              <w:jc w:val="center"/>
              <w:rPr>
                <w:sz w:val="15"/>
              </w:rPr>
            </w:pPr>
            <w:r>
              <w:rPr>
                <w:sz w:val="15"/>
              </w:rPr>
              <w:t>Ct≤38</w:t>
            </w:r>
          </w:p>
        </w:tc>
        <w:tc>
          <w:tcPr>
            <w:tcW w:w="1185" w:type="dxa"/>
          </w:tcPr>
          <w:p>
            <w:pPr>
              <w:pStyle w:val="TableParagraph"/>
              <w:ind w:left="69" w:right="61"/>
              <w:jc w:val="center"/>
              <w:rPr>
                <w:sz w:val="15"/>
              </w:rPr>
            </w:pPr>
            <w:r>
              <w:rPr>
                <w:sz w:val="15"/>
              </w:rPr>
              <w:t>Ct≤38</w:t>
            </w:r>
          </w:p>
        </w:tc>
        <w:tc>
          <w:tcPr>
            <w:tcW w:w="1155" w:type="dxa"/>
          </w:tcPr>
          <w:p>
            <w:pPr>
              <w:pStyle w:val="TableParagraph"/>
              <w:ind w:left="93" w:right="85"/>
              <w:jc w:val="center"/>
              <w:rPr>
                <w:sz w:val="15"/>
              </w:rPr>
            </w:pPr>
            <w:r>
              <w:rPr>
                <w:sz w:val="15"/>
              </w:rPr>
              <w:t>Ct≤45 </w:t>
            </w:r>
            <w:r>
              <w:rPr>
                <w:rFonts w:ascii="宋体" w:hAnsi="宋体" w:eastAsia="宋体" w:hint="eastAsia"/>
                <w:sz w:val="15"/>
              </w:rPr>
              <w:t>或</w:t>
            </w:r>
            <w:r>
              <w:rPr>
                <w:sz w:val="15"/>
              </w:rPr>
              <w:t>No Ct</w:t>
            </w:r>
          </w:p>
        </w:tc>
        <w:tc>
          <w:tcPr>
            <w:tcW w:w="2920" w:type="dxa"/>
          </w:tcPr>
          <w:p>
            <w:pPr>
              <w:pStyle w:val="TableParagraph"/>
              <w:ind w:left="51" w:right="43"/>
              <w:jc w:val="center"/>
              <w:rPr>
                <w:rFonts w:ascii="宋体" w:eastAsia="宋体" w:hint="eastAsia"/>
                <w:sz w:val="15"/>
              </w:rPr>
            </w:pPr>
            <w:r>
              <w:rPr>
                <w:rFonts w:ascii="宋体" w:eastAsia="宋体" w:hint="eastAsia"/>
                <w:sz w:val="15"/>
              </w:rPr>
              <w:t>沙眼衣原体/淋球菌阳性，解脲脲原体阴性</w:t>
            </w:r>
          </w:p>
        </w:tc>
      </w:tr>
      <w:tr>
        <w:trPr>
          <w:trHeight w:val="180" w:hRule="atLeast"/>
        </w:trPr>
        <w:tc>
          <w:tcPr>
            <w:tcW w:w="1153" w:type="dxa"/>
          </w:tcPr>
          <w:p>
            <w:pPr>
              <w:pStyle w:val="TableParagraph"/>
              <w:ind w:left="92" w:right="83"/>
              <w:jc w:val="center"/>
              <w:rPr>
                <w:sz w:val="15"/>
              </w:rPr>
            </w:pPr>
            <w:r>
              <w:rPr>
                <w:sz w:val="15"/>
              </w:rPr>
              <w:t>Ct≤38</w:t>
            </w:r>
          </w:p>
        </w:tc>
        <w:tc>
          <w:tcPr>
            <w:tcW w:w="1155" w:type="dxa"/>
          </w:tcPr>
          <w:p>
            <w:pPr>
              <w:pStyle w:val="TableParagraph"/>
              <w:ind w:left="93" w:right="85"/>
              <w:jc w:val="center"/>
              <w:rPr>
                <w:sz w:val="15"/>
              </w:rPr>
            </w:pPr>
            <w:r>
              <w:rPr>
                <w:sz w:val="15"/>
              </w:rPr>
              <w:t>Ct&gt;38 </w:t>
            </w:r>
            <w:r>
              <w:rPr>
                <w:rFonts w:ascii="宋体" w:eastAsia="宋体" w:hint="eastAsia"/>
                <w:sz w:val="15"/>
              </w:rPr>
              <w:t>或</w:t>
            </w:r>
            <w:r>
              <w:rPr>
                <w:sz w:val="15"/>
              </w:rPr>
              <w:t>No Ct</w:t>
            </w:r>
          </w:p>
        </w:tc>
        <w:tc>
          <w:tcPr>
            <w:tcW w:w="1185" w:type="dxa"/>
          </w:tcPr>
          <w:p>
            <w:pPr>
              <w:pStyle w:val="TableParagraph"/>
              <w:ind w:left="69" w:right="61"/>
              <w:jc w:val="center"/>
              <w:rPr>
                <w:sz w:val="15"/>
              </w:rPr>
            </w:pPr>
            <w:r>
              <w:rPr>
                <w:sz w:val="15"/>
              </w:rPr>
              <w:t>Ct≤38</w:t>
            </w:r>
          </w:p>
        </w:tc>
        <w:tc>
          <w:tcPr>
            <w:tcW w:w="1155" w:type="dxa"/>
          </w:tcPr>
          <w:p>
            <w:pPr>
              <w:pStyle w:val="TableParagraph"/>
              <w:ind w:left="93" w:right="85"/>
              <w:jc w:val="center"/>
              <w:rPr>
                <w:sz w:val="15"/>
              </w:rPr>
            </w:pPr>
            <w:r>
              <w:rPr>
                <w:sz w:val="15"/>
              </w:rPr>
              <w:t>Ct≤45 </w:t>
            </w:r>
            <w:r>
              <w:rPr>
                <w:rFonts w:ascii="宋体" w:hAnsi="宋体" w:eastAsia="宋体" w:hint="eastAsia"/>
                <w:sz w:val="15"/>
              </w:rPr>
              <w:t>或</w:t>
            </w:r>
            <w:r>
              <w:rPr>
                <w:sz w:val="15"/>
              </w:rPr>
              <w:t>No Ct</w:t>
            </w:r>
          </w:p>
        </w:tc>
        <w:tc>
          <w:tcPr>
            <w:tcW w:w="2920" w:type="dxa"/>
          </w:tcPr>
          <w:p>
            <w:pPr>
              <w:pStyle w:val="TableParagraph"/>
              <w:ind w:left="51" w:right="43"/>
              <w:jc w:val="center"/>
              <w:rPr>
                <w:rFonts w:ascii="宋体" w:eastAsia="宋体" w:hint="eastAsia"/>
                <w:sz w:val="15"/>
              </w:rPr>
            </w:pPr>
            <w:r>
              <w:rPr>
                <w:rFonts w:ascii="宋体" w:eastAsia="宋体" w:hint="eastAsia"/>
                <w:sz w:val="15"/>
              </w:rPr>
              <w:t>解脲脲原体/淋球菌阳性，沙眼衣原体阴性</w:t>
            </w:r>
          </w:p>
        </w:tc>
      </w:tr>
      <w:tr>
        <w:trPr>
          <w:trHeight w:val="180" w:hRule="atLeast"/>
        </w:trPr>
        <w:tc>
          <w:tcPr>
            <w:tcW w:w="1153" w:type="dxa"/>
          </w:tcPr>
          <w:p>
            <w:pPr>
              <w:pStyle w:val="TableParagraph"/>
              <w:ind w:left="92" w:right="83"/>
              <w:jc w:val="center"/>
              <w:rPr>
                <w:sz w:val="15"/>
              </w:rPr>
            </w:pPr>
            <w:r>
              <w:rPr>
                <w:sz w:val="15"/>
              </w:rPr>
              <w:t>Ct≤38</w:t>
            </w:r>
          </w:p>
        </w:tc>
        <w:tc>
          <w:tcPr>
            <w:tcW w:w="1155" w:type="dxa"/>
          </w:tcPr>
          <w:p>
            <w:pPr>
              <w:pStyle w:val="TableParagraph"/>
              <w:ind w:left="93" w:right="83"/>
              <w:jc w:val="center"/>
              <w:rPr>
                <w:sz w:val="15"/>
              </w:rPr>
            </w:pPr>
            <w:r>
              <w:rPr>
                <w:sz w:val="15"/>
              </w:rPr>
              <w:t>Ct≤38</w:t>
            </w:r>
          </w:p>
        </w:tc>
        <w:tc>
          <w:tcPr>
            <w:tcW w:w="1185" w:type="dxa"/>
          </w:tcPr>
          <w:p>
            <w:pPr>
              <w:pStyle w:val="TableParagraph"/>
              <w:ind w:left="69" w:right="61"/>
              <w:jc w:val="center"/>
              <w:rPr>
                <w:sz w:val="15"/>
              </w:rPr>
            </w:pPr>
            <w:r>
              <w:rPr>
                <w:sz w:val="15"/>
              </w:rPr>
              <w:t>Ct≤38</w:t>
            </w:r>
          </w:p>
        </w:tc>
        <w:tc>
          <w:tcPr>
            <w:tcW w:w="1155" w:type="dxa"/>
          </w:tcPr>
          <w:p>
            <w:pPr>
              <w:pStyle w:val="TableParagraph"/>
              <w:ind w:left="93" w:right="85"/>
              <w:jc w:val="center"/>
              <w:rPr>
                <w:sz w:val="15"/>
              </w:rPr>
            </w:pPr>
            <w:r>
              <w:rPr>
                <w:sz w:val="15"/>
              </w:rPr>
              <w:t>Ct≤45 </w:t>
            </w:r>
            <w:r>
              <w:rPr>
                <w:rFonts w:ascii="宋体" w:hAnsi="宋体" w:eastAsia="宋体" w:hint="eastAsia"/>
                <w:sz w:val="15"/>
              </w:rPr>
              <w:t>或</w:t>
            </w:r>
            <w:r>
              <w:rPr>
                <w:sz w:val="15"/>
              </w:rPr>
              <w:t>No Ct</w:t>
            </w:r>
          </w:p>
        </w:tc>
        <w:tc>
          <w:tcPr>
            <w:tcW w:w="2920" w:type="dxa"/>
          </w:tcPr>
          <w:p>
            <w:pPr>
              <w:pStyle w:val="TableParagraph"/>
              <w:ind w:left="51" w:right="43"/>
              <w:jc w:val="center"/>
              <w:rPr>
                <w:rFonts w:ascii="宋体" w:eastAsia="宋体" w:hint="eastAsia"/>
                <w:sz w:val="15"/>
              </w:rPr>
            </w:pPr>
            <w:r>
              <w:rPr>
                <w:rFonts w:ascii="宋体" w:eastAsia="宋体" w:hint="eastAsia"/>
                <w:sz w:val="15"/>
              </w:rPr>
              <w:t>解脲脲原体、沙眼衣原体、淋球菌均阳性</w:t>
            </w:r>
          </w:p>
        </w:tc>
      </w:tr>
      <w:tr>
        <w:trPr>
          <w:trHeight w:val="180" w:hRule="atLeast"/>
        </w:trPr>
        <w:tc>
          <w:tcPr>
            <w:tcW w:w="1153" w:type="dxa"/>
          </w:tcPr>
          <w:p>
            <w:pPr>
              <w:pStyle w:val="TableParagraph"/>
              <w:ind w:left="93" w:right="83"/>
              <w:jc w:val="center"/>
              <w:rPr>
                <w:sz w:val="15"/>
              </w:rPr>
            </w:pPr>
            <w:r>
              <w:rPr>
                <w:sz w:val="15"/>
              </w:rPr>
              <w:t>Ct&gt;38 </w:t>
            </w:r>
            <w:r>
              <w:rPr>
                <w:rFonts w:ascii="宋体" w:eastAsia="宋体" w:hint="eastAsia"/>
                <w:sz w:val="15"/>
              </w:rPr>
              <w:t>或</w:t>
            </w:r>
            <w:r>
              <w:rPr>
                <w:sz w:val="15"/>
              </w:rPr>
              <w:t>No Ct</w:t>
            </w:r>
          </w:p>
        </w:tc>
        <w:tc>
          <w:tcPr>
            <w:tcW w:w="1155" w:type="dxa"/>
          </w:tcPr>
          <w:p>
            <w:pPr>
              <w:pStyle w:val="TableParagraph"/>
              <w:ind w:left="93" w:right="85"/>
              <w:jc w:val="center"/>
              <w:rPr>
                <w:sz w:val="15"/>
              </w:rPr>
            </w:pPr>
            <w:r>
              <w:rPr>
                <w:sz w:val="15"/>
              </w:rPr>
              <w:t>Ct&gt;38 </w:t>
            </w:r>
            <w:r>
              <w:rPr>
                <w:rFonts w:ascii="宋体" w:eastAsia="宋体" w:hint="eastAsia"/>
                <w:sz w:val="15"/>
              </w:rPr>
              <w:t>或</w:t>
            </w:r>
            <w:r>
              <w:rPr>
                <w:sz w:val="15"/>
              </w:rPr>
              <w:t>No Ct</w:t>
            </w:r>
          </w:p>
        </w:tc>
        <w:tc>
          <w:tcPr>
            <w:tcW w:w="1185" w:type="dxa"/>
          </w:tcPr>
          <w:p>
            <w:pPr>
              <w:pStyle w:val="TableParagraph"/>
              <w:ind w:left="72" w:right="61"/>
              <w:jc w:val="center"/>
              <w:rPr>
                <w:sz w:val="15"/>
              </w:rPr>
            </w:pPr>
            <w:r>
              <w:rPr>
                <w:sz w:val="15"/>
              </w:rPr>
              <w:t>Ct&gt;38 </w:t>
            </w:r>
            <w:r>
              <w:rPr>
                <w:rFonts w:ascii="宋体" w:eastAsia="宋体" w:hint="eastAsia"/>
                <w:sz w:val="15"/>
              </w:rPr>
              <w:t>或 </w:t>
            </w:r>
            <w:r>
              <w:rPr>
                <w:sz w:val="15"/>
              </w:rPr>
              <w:t>No Ct</w:t>
            </w:r>
          </w:p>
        </w:tc>
        <w:tc>
          <w:tcPr>
            <w:tcW w:w="1155" w:type="dxa"/>
          </w:tcPr>
          <w:p>
            <w:pPr>
              <w:pStyle w:val="TableParagraph"/>
              <w:ind w:left="93" w:right="83"/>
              <w:jc w:val="center"/>
              <w:rPr>
                <w:sz w:val="15"/>
              </w:rPr>
            </w:pPr>
            <w:r>
              <w:rPr>
                <w:sz w:val="15"/>
              </w:rPr>
              <w:t>Ct≤40</w:t>
            </w:r>
          </w:p>
        </w:tc>
        <w:tc>
          <w:tcPr>
            <w:tcW w:w="2920" w:type="dxa"/>
          </w:tcPr>
          <w:p>
            <w:pPr>
              <w:pStyle w:val="TableParagraph"/>
              <w:ind w:left="51" w:right="43"/>
              <w:jc w:val="center"/>
              <w:rPr>
                <w:rFonts w:ascii="宋体" w:eastAsia="宋体" w:hint="eastAsia"/>
                <w:sz w:val="15"/>
              </w:rPr>
            </w:pPr>
            <w:r>
              <w:rPr>
                <w:rFonts w:ascii="宋体" w:eastAsia="宋体" w:hint="eastAsia"/>
                <w:sz w:val="15"/>
              </w:rPr>
              <w:t>解脲脲原体、沙眼衣原体、淋球菌均阴性</w:t>
            </w:r>
          </w:p>
        </w:tc>
      </w:tr>
      <w:tr>
        <w:trPr>
          <w:trHeight w:val="1080" w:hRule="atLeast"/>
        </w:trPr>
        <w:tc>
          <w:tcPr>
            <w:tcW w:w="1153" w:type="dxa"/>
          </w:tcPr>
          <w:p>
            <w:pPr>
              <w:pStyle w:val="TableParagraph"/>
              <w:spacing w:line="240" w:lineRule="auto"/>
              <w:ind w:left="0"/>
              <w:rPr>
                <w:rFonts w:ascii="宋体"/>
                <w:sz w:val="16"/>
              </w:rPr>
            </w:pPr>
          </w:p>
          <w:p>
            <w:pPr>
              <w:pStyle w:val="TableParagraph"/>
              <w:spacing w:line="240" w:lineRule="auto" w:before="1"/>
              <w:ind w:left="0"/>
              <w:rPr>
                <w:rFonts w:ascii="宋体"/>
                <w:sz w:val="18"/>
              </w:rPr>
            </w:pPr>
          </w:p>
          <w:p>
            <w:pPr>
              <w:pStyle w:val="TableParagraph"/>
              <w:spacing w:line="240" w:lineRule="auto"/>
              <w:ind w:left="93" w:right="83"/>
              <w:jc w:val="center"/>
              <w:rPr>
                <w:sz w:val="15"/>
              </w:rPr>
            </w:pPr>
            <w:r>
              <w:rPr>
                <w:sz w:val="15"/>
              </w:rPr>
              <w:t>Ct&gt;38 </w:t>
            </w:r>
            <w:r>
              <w:rPr>
                <w:rFonts w:ascii="宋体" w:eastAsia="宋体" w:hint="eastAsia"/>
                <w:sz w:val="15"/>
              </w:rPr>
              <w:t>或</w:t>
            </w:r>
            <w:r>
              <w:rPr>
                <w:sz w:val="15"/>
              </w:rPr>
              <w:t>No Ct</w:t>
            </w:r>
          </w:p>
        </w:tc>
        <w:tc>
          <w:tcPr>
            <w:tcW w:w="1155" w:type="dxa"/>
          </w:tcPr>
          <w:p>
            <w:pPr>
              <w:pStyle w:val="TableParagraph"/>
              <w:spacing w:line="240" w:lineRule="auto"/>
              <w:ind w:left="0"/>
              <w:rPr>
                <w:rFonts w:ascii="宋体"/>
                <w:sz w:val="16"/>
              </w:rPr>
            </w:pPr>
          </w:p>
          <w:p>
            <w:pPr>
              <w:pStyle w:val="TableParagraph"/>
              <w:spacing w:line="240" w:lineRule="auto" w:before="1"/>
              <w:ind w:left="0"/>
              <w:rPr>
                <w:rFonts w:ascii="宋体"/>
                <w:sz w:val="18"/>
              </w:rPr>
            </w:pPr>
          </w:p>
          <w:p>
            <w:pPr>
              <w:pStyle w:val="TableParagraph"/>
              <w:spacing w:line="240" w:lineRule="auto"/>
              <w:ind w:left="93" w:right="85"/>
              <w:jc w:val="center"/>
              <w:rPr>
                <w:sz w:val="15"/>
              </w:rPr>
            </w:pPr>
            <w:r>
              <w:rPr>
                <w:sz w:val="15"/>
              </w:rPr>
              <w:t>Ct&gt;38 </w:t>
            </w:r>
            <w:r>
              <w:rPr>
                <w:rFonts w:ascii="宋体" w:eastAsia="宋体" w:hint="eastAsia"/>
                <w:sz w:val="15"/>
              </w:rPr>
              <w:t>或</w:t>
            </w:r>
            <w:r>
              <w:rPr>
                <w:sz w:val="15"/>
              </w:rPr>
              <w:t>No Ct</w:t>
            </w:r>
          </w:p>
        </w:tc>
        <w:tc>
          <w:tcPr>
            <w:tcW w:w="1185" w:type="dxa"/>
          </w:tcPr>
          <w:p>
            <w:pPr>
              <w:pStyle w:val="TableParagraph"/>
              <w:spacing w:line="240" w:lineRule="auto"/>
              <w:ind w:left="0"/>
              <w:rPr>
                <w:rFonts w:ascii="宋体"/>
                <w:sz w:val="16"/>
              </w:rPr>
            </w:pPr>
          </w:p>
          <w:p>
            <w:pPr>
              <w:pStyle w:val="TableParagraph"/>
              <w:spacing w:line="240" w:lineRule="auto" w:before="1"/>
              <w:ind w:left="0"/>
              <w:rPr>
                <w:rFonts w:ascii="宋体"/>
                <w:sz w:val="18"/>
              </w:rPr>
            </w:pPr>
          </w:p>
          <w:p>
            <w:pPr>
              <w:pStyle w:val="TableParagraph"/>
              <w:spacing w:line="240" w:lineRule="auto"/>
              <w:ind w:left="72" w:right="61"/>
              <w:jc w:val="center"/>
              <w:rPr>
                <w:sz w:val="15"/>
              </w:rPr>
            </w:pPr>
            <w:r>
              <w:rPr>
                <w:sz w:val="15"/>
              </w:rPr>
              <w:t>Ct&gt;38 </w:t>
            </w:r>
            <w:r>
              <w:rPr>
                <w:rFonts w:ascii="宋体" w:eastAsia="宋体" w:hint="eastAsia"/>
                <w:sz w:val="15"/>
              </w:rPr>
              <w:t>或 </w:t>
            </w:r>
            <w:r>
              <w:rPr>
                <w:sz w:val="15"/>
              </w:rPr>
              <w:t>No Ct</w:t>
            </w:r>
          </w:p>
        </w:tc>
        <w:tc>
          <w:tcPr>
            <w:tcW w:w="1155" w:type="dxa"/>
          </w:tcPr>
          <w:p>
            <w:pPr>
              <w:pStyle w:val="TableParagraph"/>
              <w:spacing w:line="240" w:lineRule="auto"/>
              <w:ind w:left="0"/>
              <w:rPr>
                <w:rFonts w:ascii="宋体"/>
                <w:sz w:val="16"/>
              </w:rPr>
            </w:pPr>
          </w:p>
          <w:p>
            <w:pPr>
              <w:pStyle w:val="TableParagraph"/>
              <w:spacing w:line="240" w:lineRule="auto" w:before="1"/>
              <w:ind w:left="0"/>
              <w:rPr>
                <w:rFonts w:ascii="宋体"/>
                <w:sz w:val="18"/>
              </w:rPr>
            </w:pPr>
          </w:p>
          <w:p>
            <w:pPr>
              <w:pStyle w:val="TableParagraph"/>
              <w:spacing w:line="240" w:lineRule="auto"/>
              <w:ind w:left="93" w:right="85"/>
              <w:jc w:val="center"/>
              <w:rPr>
                <w:sz w:val="15"/>
              </w:rPr>
            </w:pPr>
            <w:r>
              <w:rPr>
                <w:sz w:val="15"/>
              </w:rPr>
              <w:t>Ct&gt;40 </w:t>
            </w:r>
            <w:r>
              <w:rPr>
                <w:rFonts w:ascii="宋体" w:eastAsia="宋体" w:hint="eastAsia"/>
                <w:sz w:val="15"/>
              </w:rPr>
              <w:t>或</w:t>
            </w:r>
            <w:r>
              <w:rPr>
                <w:sz w:val="15"/>
              </w:rPr>
              <w:t>No Ct</w:t>
            </w:r>
          </w:p>
        </w:tc>
        <w:tc>
          <w:tcPr>
            <w:tcW w:w="2920" w:type="dxa"/>
          </w:tcPr>
          <w:p>
            <w:pPr>
              <w:pStyle w:val="TableParagraph"/>
              <w:spacing w:line="225" w:lineRule="auto"/>
              <w:ind w:right="97"/>
              <w:jc w:val="both"/>
              <w:rPr>
                <w:rFonts w:ascii="宋体" w:eastAsia="宋体" w:hint="eastAsia"/>
                <w:sz w:val="15"/>
              </w:rPr>
            </w:pPr>
            <w:r>
              <w:rPr>
                <w:rFonts w:ascii="宋体" w:eastAsia="宋体" w:hint="eastAsia"/>
                <w:sz w:val="15"/>
              </w:rPr>
              <w:t>1.</w:t>
            </w:r>
            <w:r>
              <w:rPr>
                <w:sz w:val="15"/>
              </w:rPr>
              <w:t>PCR </w:t>
            </w:r>
            <w:r>
              <w:rPr>
                <w:rFonts w:ascii="宋体" w:eastAsia="宋体" w:hint="eastAsia"/>
                <w:spacing w:val="-5"/>
                <w:sz w:val="15"/>
              </w:rPr>
              <w:t>反应失败，可能是 </w:t>
            </w:r>
            <w:r>
              <w:rPr>
                <w:sz w:val="15"/>
              </w:rPr>
              <w:t>DNA </w:t>
            </w:r>
            <w:r>
              <w:rPr>
                <w:rFonts w:ascii="宋体" w:eastAsia="宋体" w:hint="eastAsia"/>
                <w:sz w:val="15"/>
              </w:rPr>
              <w:t>样品制备</w:t>
            </w:r>
            <w:r>
              <w:rPr>
                <w:rFonts w:ascii="宋体" w:eastAsia="宋体" w:hint="eastAsia"/>
                <w:spacing w:val="-7"/>
                <w:sz w:val="15"/>
              </w:rPr>
              <w:t>过程中有抑制物，建议将 </w:t>
            </w:r>
            <w:r>
              <w:rPr>
                <w:sz w:val="15"/>
              </w:rPr>
              <w:t>DNA </w:t>
            </w:r>
            <w:r>
              <w:rPr>
                <w:rFonts w:ascii="宋体" w:eastAsia="宋体" w:hint="eastAsia"/>
                <w:spacing w:val="-13"/>
                <w:sz w:val="15"/>
              </w:rPr>
              <w:t>稀释 </w:t>
            </w:r>
            <w:r>
              <w:rPr>
                <w:sz w:val="15"/>
              </w:rPr>
              <w:t>10 </w:t>
            </w:r>
            <w:r>
              <w:rPr>
                <w:rFonts w:ascii="宋体" w:eastAsia="宋体" w:hint="eastAsia"/>
                <w:sz w:val="15"/>
              </w:rPr>
              <w:t>或</w:t>
            </w:r>
            <w:r>
              <w:rPr>
                <w:rFonts w:ascii="宋体" w:eastAsia="宋体" w:hint="eastAsia"/>
                <w:spacing w:val="-22"/>
                <w:sz w:val="15"/>
              </w:rPr>
              <w:t>者 </w:t>
            </w:r>
            <w:r>
              <w:rPr>
                <w:sz w:val="15"/>
              </w:rPr>
              <w:t>100 </w:t>
            </w:r>
            <w:r>
              <w:rPr>
                <w:rFonts w:ascii="宋体" w:eastAsia="宋体" w:hint="eastAsia"/>
                <w:sz w:val="15"/>
              </w:rPr>
              <w:t>倍后重复测定，如果有荧光信号， 则按上述判定结果，否则重新进行采样。</w:t>
            </w:r>
            <w:r>
              <w:rPr>
                <w:rFonts w:ascii="宋体" w:eastAsia="宋体" w:hint="eastAsia"/>
                <w:w w:val="95"/>
                <w:sz w:val="15"/>
              </w:rPr>
              <w:t>2.表明该标本内脱落细胞数量不足，建议</w:t>
            </w:r>
          </w:p>
          <w:p>
            <w:pPr>
              <w:pStyle w:val="TableParagraph"/>
              <w:spacing w:line="162" w:lineRule="exact"/>
              <w:rPr>
                <w:rFonts w:ascii="宋体" w:eastAsia="宋体" w:hint="eastAsia"/>
                <w:sz w:val="15"/>
              </w:rPr>
            </w:pPr>
            <w:r>
              <w:rPr>
                <w:rFonts w:ascii="宋体" w:eastAsia="宋体" w:hint="eastAsia"/>
                <w:sz w:val="15"/>
              </w:rPr>
              <w:t>重新进行采样。</w:t>
            </w:r>
          </w:p>
        </w:tc>
      </w:tr>
    </w:tbl>
    <w:p>
      <w:pPr>
        <w:pStyle w:val="Heading1"/>
        <w:spacing w:line="170" w:lineRule="exact"/>
      </w:pPr>
      <w:r>
        <w:rPr/>
        <w:t>【检验方法的局限性】</w:t>
      </w:r>
    </w:p>
    <w:p>
      <w:pPr>
        <w:pStyle w:val="ListParagraph"/>
        <w:numPr>
          <w:ilvl w:val="0"/>
          <w:numId w:val="4"/>
        </w:numPr>
        <w:tabs>
          <w:tab w:pos="300" w:val="left" w:leader="none"/>
        </w:tabs>
        <w:spacing w:line="211" w:lineRule="auto" w:before="6" w:after="0"/>
        <w:ind w:left="146" w:right="123" w:firstLine="0"/>
        <w:jc w:val="left"/>
        <w:rPr>
          <w:rFonts w:ascii="宋体" w:eastAsia="宋体" w:hint="eastAsia"/>
          <w:sz w:val="16"/>
        </w:rPr>
      </w:pPr>
      <w:r>
        <w:rPr>
          <w:rFonts w:ascii="宋体" w:eastAsia="宋体" w:hint="eastAsia"/>
          <w:spacing w:val="-6"/>
          <w:sz w:val="16"/>
        </w:rPr>
        <w:t>本试剂盒的检测结果仅供临床参考，对患者的临床诊治应结合其症状、病史、其他实验室检查及治疗反应等情</w:t>
      </w:r>
      <w:r>
        <w:rPr>
          <w:rFonts w:ascii="宋体" w:eastAsia="宋体" w:hint="eastAsia"/>
          <w:spacing w:val="-5"/>
          <w:sz w:val="16"/>
        </w:rPr>
        <w:t>况综合考虑。</w:t>
      </w:r>
    </w:p>
    <w:p>
      <w:pPr>
        <w:pStyle w:val="ListParagraph"/>
        <w:numPr>
          <w:ilvl w:val="0"/>
          <w:numId w:val="4"/>
        </w:numPr>
        <w:tabs>
          <w:tab w:pos="300" w:val="left" w:leader="none"/>
        </w:tabs>
        <w:spacing w:line="173" w:lineRule="exact" w:before="0" w:after="0"/>
        <w:ind w:left="300" w:right="0" w:hanging="154"/>
        <w:jc w:val="left"/>
        <w:rPr>
          <w:rFonts w:ascii="宋体" w:eastAsia="宋体" w:hint="eastAsia"/>
          <w:sz w:val="16"/>
        </w:rPr>
      </w:pPr>
      <w:r>
        <w:rPr>
          <w:rFonts w:ascii="宋体" w:eastAsia="宋体" w:hint="eastAsia"/>
          <w:spacing w:val="-5"/>
          <w:sz w:val="16"/>
        </w:rPr>
        <w:t>有关假阴性结果的可能性分析</w:t>
      </w:r>
    </w:p>
    <w:p>
      <w:pPr>
        <w:pStyle w:val="BodyText"/>
        <w:ind w:left="302"/>
      </w:pPr>
      <w:r>
        <w:rPr/>
        <w:t>①不合理的样本采集、转运及处理、样本中病原体滴度过低均有可能导致假阴性结果。</w:t>
      </w:r>
    </w:p>
    <w:p>
      <w:pPr>
        <w:pStyle w:val="BodyText"/>
        <w:ind w:left="302"/>
      </w:pPr>
      <w:r>
        <w:rPr/>
        <w:t>②待测靶序列的变异或其他原因导致的序列改变可能会导致假阴性结果。</w:t>
      </w:r>
    </w:p>
    <w:p>
      <w:pPr>
        <w:pStyle w:val="BodyText"/>
        <w:ind w:left="302"/>
      </w:pPr>
      <w:r>
        <w:rPr/>
        <w:t>③不合理的试剂保存、不当的试验操作和实验环境可能会导致假阴性结果。</w:t>
      </w:r>
    </w:p>
    <w:p>
      <w:pPr>
        <w:pStyle w:val="BodyText"/>
        <w:ind w:left="302"/>
      </w:pPr>
      <w:r>
        <w:rPr/>
        <w:t>④未经验证的其他干扰或</w:t>
      </w:r>
      <w:r>
        <w:rPr>
          <w:rFonts w:ascii="Times New Roman" w:hAnsi="Times New Roman" w:eastAsia="Times New Roman"/>
        </w:rPr>
        <w:t>PCR </w:t>
      </w:r>
      <w:r>
        <w:rPr/>
        <w:t>抑制因子，可能会导致假阴性结果。</w:t>
      </w:r>
    </w:p>
    <w:p>
      <w:pPr>
        <w:pStyle w:val="ListParagraph"/>
        <w:numPr>
          <w:ilvl w:val="0"/>
          <w:numId w:val="4"/>
        </w:numPr>
        <w:tabs>
          <w:tab w:pos="300" w:val="left" w:leader="none"/>
        </w:tabs>
        <w:spacing w:line="180" w:lineRule="exact" w:before="0" w:after="0"/>
        <w:ind w:left="300" w:right="0" w:hanging="154"/>
        <w:jc w:val="left"/>
        <w:rPr>
          <w:rFonts w:ascii="宋体" w:eastAsia="宋体" w:hint="eastAsia"/>
          <w:sz w:val="16"/>
        </w:rPr>
      </w:pPr>
      <w:r>
        <w:rPr>
          <w:rFonts w:ascii="宋体" w:eastAsia="宋体" w:hint="eastAsia"/>
          <w:spacing w:val="-5"/>
          <w:sz w:val="16"/>
        </w:rPr>
        <w:t>样本处理过程出现交叉污染，会造成假阳性结果。</w:t>
      </w:r>
    </w:p>
    <w:p>
      <w:pPr>
        <w:pStyle w:val="Heading1"/>
      </w:pPr>
      <w:r>
        <w:rPr/>
        <w:t>【产品性能指标】</w:t>
      </w:r>
    </w:p>
    <w:p>
      <w:pPr>
        <w:pStyle w:val="ListParagraph"/>
        <w:numPr>
          <w:ilvl w:val="0"/>
          <w:numId w:val="5"/>
        </w:numPr>
        <w:tabs>
          <w:tab w:pos="300" w:val="left" w:leader="none"/>
        </w:tabs>
        <w:spacing w:line="211" w:lineRule="auto" w:before="7" w:after="0"/>
        <w:ind w:left="146" w:right="38" w:firstLine="0"/>
        <w:jc w:val="left"/>
        <w:rPr>
          <w:rFonts w:ascii="宋体" w:eastAsia="宋体" w:hint="eastAsia"/>
          <w:sz w:val="16"/>
        </w:rPr>
      </w:pPr>
      <w:r>
        <w:rPr>
          <w:rFonts w:ascii="宋体" w:eastAsia="宋体" w:hint="eastAsia"/>
          <w:spacing w:val="-4"/>
          <w:sz w:val="16"/>
        </w:rPr>
        <w:t>准确性：检测企业阳性参考品、人脲原体核酸检测国家参考品及淋病</w:t>
      </w:r>
      <w:r>
        <w:rPr>
          <w:sz w:val="16"/>
        </w:rPr>
        <w:t>PCR</w:t>
      </w:r>
      <w:r>
        <w:rPr>
          <w:spacing w:val="20"/>
          <w:sz w:val="16"/>
        </w:rPr>
        <w:t> </w:t>
      </w:r>
      <w:r>
        <w:rPr>
          <w:rFonts w:ascii="宋体" w:eastAsia="宋体" w:hint="eastAsia"/>
          <w:spacing w:val="-5"/>
          <w:sz w:val="16"/>
        </w:rPr>
        <w:t>试剂盒国家参考品中的阳性参考品， </w:t>
      </w:r>
      <w:r>
        <w:rPr>
          <w:rFonts w:ascii="宋体" w:eastAsia="宋体" w:hint="eastAsia"/>
          <w:spacing w:val="-5"/>
          <w:w w:val="100"/>
          <w:sz w:val="16"/>
        </w:rPr>
        <w:t>结果均为阳性且鉴别准确，无交叉反应；检测</w:t>
      </w:r>
      <w:r>
        <w:rPr>
          <w:rFonts w:ascii="宋体" w:eastAsia="宋体" w:hint="eastAsia"/>
          <w:spacing w:val="-47"/>
          <w:sz w:val="16"/>
        </w:rPr>
        <w:t> </w:t>
      </w:r>
      <w:r>
        <w:rPr>
          <w:w w:val="100"/>
          <w:sz w:val="16"/>
        </w:rPr>
        <w:t>8</w:t>
      </w:r>
      <w:r>
        <w:rPr>
          <w:spacing w:val="-3"/>
          <w:sz w:val="16"/>
        </w:rPr>
        <w:t> </w:t>
      </w:r>
      <w:r>
        <w:rPr>
          <w:rFonts w:ascii="宋体" w:eastAsia="宋体" w:hint="eastAsia"/>
          <w:spacing w:val="-5"/>
          <w:w w:val="100"/>
          <w:sz w:val="16"/>
        </w:rPr>
        <w:t>种沙眼衣原体血清型样本</w:t>
      </w:r>
      <w:r>
        <w:rPr>
          <w:rFonts w:ascii="宋体" w:eastAsia="宋体" w:hint="eastAsia"/>
          <w:spacing w:val="-3"/>
          <w:w w:val="100"/>
          <w:sz w:val="16"/>
        </w:rPr>
        <w:t>（</w:t>
      </w:r>
      <w:r>
        <w:rPr>
          <w:spacing w:val="-2"/>
          <w:w w:val="100"/>
          <w:sz w:val="16"/>
        </w:rPr>
        <w:t>D</w:t>
      </w:r>
      <w:r>
        <w:rPr>
          <w:rFonts w:ascii="宋体" w:eastAsia="宋体" w:hint="eastAsia"/>
          <w:spacing w:val="-3"/>
          <w:w w:val="100"/>
          <w:sz w:val="16"/>
        </w:rPr>
        <w:t>、</w:t>
      </w:r>
      <w:r>
        <w:rPr>
          <w:spacing w:val="-3"/>
          <w:w w:val="100"/>
          <w:sz w:val="16"/>
        </w:rPr>
        <w:t>E</w:t>
      </w:r>
      <w:r>
        <w:rPr>
          <w:rFonts w:ascii="宋体" w:eastAsia="宋体" w:hint="eastAsia"/>
          <w:spacing w:val="-3"/>
          <w:w w:val="100"/>
          <w:sz w:val="16"/>
        </w:rPr>
        <w:t>、</w:t>
      </w:r>
      <w:r>
        <w:rPr>
          <w:spacing w:val="-1"/>
          <w:w w:val="100"/>
          <w:sz w:val="16"/>
        </w:rPr>
        <w:t>F</w:t>
      </w:r>
      <w:r>
        <w:rPr>
          <w:rFonts w:ascii="宋体" w:eastAsia="宋体" w:hint="eastAsia"/>
          <w:spacing w:val="-5"/>
          <w:w w:val="100"/>
          <w:sz w:val="16"/>
        </w:rPr>
        <w:t>、</w:t>
      </w:r>
      <w:r>
        <w:rPr>
          <w:spacing w:val="-2"/>
          <w:w w:val="100"/>
          <w:sz w:val="16"/>
        </w:rPr>
        <w:t>G</w:t>
      </w:r>
      <w:r>
        <w:rPr>
          <w:rFonts w:ascii="宋体" w:eastAsia="宋体" w:hint="eastAsia"/>
          <w:spacing w:val="-5"/>
          <w:w w:val="100"/>
          <w:sz w:val="16"/>
        </w:rPr>
        <w:t>、</w:t>
      </w:r>
      <w:r>
        <w:rPr>
          <w:spacing w:val="-2"/>
          <w:w w:val="100"/>
          <w:sz w:val="16"/>
        </w:rPr>
        <w:t>H</w:t>
      </w:r>
      <w:r>
        <w:rPr>
          <w:rFonts w:ascii="宋体" w:eastAsia="宋体" w:hint="eastAsia"/>
          <w:spacing w:val="-3"/>
          <w:w w:val="100"/>
          <w:sz w:val="16"/>
        </w:rPr>
        <w:t>、</w:t>
      </w:r>
      <w:r>
        <w:rPr>
          <w:spacing w:val="-1"/>
          <w:w w:val="100"/>
          <w:sz w:val="16"/>
        </w:rPr>
        <w:t>I</w:t>
      </w:r>
      <w:r>
        <w:rPr>
          <w:rFonts w:ascii="宋体" w:eastAsia="宋体" w:hint="eastAsia"/>
          <w:spacing w:val="-3"/>
          <w:w w:val="100"/>
          <w:sz w:val="16"/>
        </w:rPr>
        <w:t>、</w:t>
      </w:r>
      <w:r>
        <w:rPr>
          <w:spacing w:val="-3"/>
          <w:w w:val="100"/>
          <w:sz w:val="16"/>
        </w:rPr>
        <w:t>J</w:t>
      </w:r>
      <w:r>
        <w:rPr>
          <w:rFonts w:ascii="宋体" w:eastAsia="宋体" w:hint="eastAsia"/>
          <w:spacing w:val="-3"/>
          <w:w w:val="100"/>
          <w:sz w:val="16"/>
        </w:rPr>
        <w:t>、</w:t>
      </w:r>
      <w:r>
        <w:rPr>
          <w:spacing w:val="-2"/>
          <w:w w:val="100"/>
          <w:sz w:val="16"/>
        </w:rPr>
        <w:t>K</w:t>
      </w:r>
      <w:r>
        <w:rPr>
          <w:rFonts w:ascii="宋体" w:eastAsia="宋体" w:hint="eastAsia"/>
          <w:spacing w:val="-82"/>
          <w:w w:val="100"/>
          <w:sz w:val="16"/>
        </w:rPr>
        <w:t>）</w:t>
      </w:r>
      <w:r>
        <w:rPr>
          <w:rFonts w:ascii="宋体" w:eastAsia="宋体" w:hint="eastAsia"/>
          <w:spacing w:val="-3"/>
          <w:w w:val="100"/>
          <w:sz w:val="16"/>
        </w:rPr>
        <w:t>、</w:t>
      </w:r>
      <w:r>
        <w:rPr>
          <w:spacing w:val="-2"/>
          <w:w w:val="100"/>
          <w:sz w:val="16"/>
        </w:rPr>
        <w:t>1</w:t>
      </w:r>
      <w:r>
        <w:rPr>
          <w:w w:val="100"/>
          <w:sz w:val="16"/>
        </w:rPr>
        <w:t>4</w:t>
      </w:r>
      <w:r>
        <w:rPr>
          <w:spacing w:val="-6"/>
          <w:sz w:val="16"/>
        </w:rPr>
        <w:t> </w:t>
      </w:r>
      <w:r>
        <w:rPr>
          <w:rFonts w:ascii="宋体" w:eastAsia="宋体" w:hint="eastAsia"/>
          <w:w w:val="100"/>
          <w:sz w:val="16"/>
        </w:rPr>
        <w:t>种</w:t>
      </w:r>
      <w:r>
        <w:rPr>
          <w:rFonts w:ascii="宋体" w:eastAsia="宋体" w:hint="eastAsia"/>
          <w:spacing w:val="-7"/>
          <w:sz w:val="16"/>
        </w:rPr>
        <w:t>解脲脲原体血清型样本（</w:t>
      </w:r>
      <w:r>
        <w:rPr>
          <w:spacing w:val="-7"/>
          <w:sz w:val="16"/>
        </w:rPr>
        <w:t>1-14</w:t>
      </w:r>
      <w:r>
        <w:rPr>
          <w:rFonts w:ascii="宋体" w:eastAsia="宋体" w:hint="eastAsia"/>
          <w:spacing w:val="-7"/>
          <w:sz w:val="16"/>
        </w:rPr>
        <w:t>）</w:t>
      </w:r>
      <w:r>
        <w:rPr>
          <w:rFonts w:ascii="宋体" w:eastAsia="宋体" w:hint="eastAsia"/>
          <w:spacing w:val="-16"/>
          <w:sz w:val="16"/>
        </w:rPr>
        <w:t>及 </w:t>
      </w:r>
      <w:r>
        <w:rPr>
          <w:sz w:val="16"/>
        </w:rPr>
        <w:t>10</w:t>
      </w:r>
      <w:r>
        <w:rPr>
          <w:spacing w:val="6"/>
          <w:sz w:val="16"/>
        </w:rPr>
        <w:t> </w:t>
      </w:r>
      <w:r>
        <w:rPr>
          <w:rFonts w:ascii="宋体" w:eastAsia="宋体" w:hint="eastAsia"/>
          <w:spacing w:val="-5"/>
          <w:sz w:val="16"/>
        </w:rPr>
        <w:t>种淋球菌菌株</w:t>
      </w:r>
      <w:r>
        <w:rPr>
          <w:sz w:val="16"/>
        </w:rPr>
        <w:t>(CMCC</w:t>
      </w:r>
      <w:r>
        <w:rPr>
          <w:spacing w:val="3"/>
          <w:sz w:val="16"/>
        </w:rPr>
        <w:t> </w:t>
      </w:r>
      <w:r>
        <w:rPr>
          <w:spacing w:val="-3"/>
          <w:sz w:val="16"/>
        </w:rPr>
        <w:t>29105</w:t>
      </w:r>
      <w:r>
        <w:rPr>
          <w:rFonts w:ascii="宋体" w:eastAsia="宋体" w:hint="eastAsia"/>
          <w:spacing w:val="-22"/>
          <w:sz w:val="16"/>
        </w:rPr>
        <w:t>、</w:t>
      </w:r>
      <w:r>
        <w:rPr>
          <w:spacing w:val="-3"/>
          <w:sz w:val="16"/>
        </w:rPr>
        <w:t>29106</w:t>
      </w:r>
      <w:r>
        <w:rPr>
          <w:rFonts w:ascii="宋体" w:eastAsia="宋体" w:hint="eastAsia"/>
          <w:spacing w:val="-22"/>
          <w:sz w:val="16"/>
        </w:rPr>
        <w:t>、</w:t>
      </w:r>
      <w:r>
        <w:rPr>
          <w:spacing w:val="-3"/>
          <w:sz w:val="16"/>
        </w:rPr>
        <w:t>29400</w:t>
      </w:r>
      <w:r>
        <w:rPr>
          <w:rFonts w:ascii="宋体" w:eastAsia="宋体" w:hint="eastAsia"/>
          <w:spacing w:val="-22"/>
          <w:sz w:val="16"/>
        </w:rPr>
        <w:t>、</w:t>
      </w:r>
      <w:r>
        <w:rPr>
          <w:spacing w:val="-4"/>
          <w:sz w:val="16"/>
        </w:rPr>
        <w:t>29403</w:t>
      </w:r>
      <w:r>
        <w:rPr>
          <w:rFonts w:ascii="宋体" w:eastAsia="宋体" w:hint="eastAsia"/>
          <w:spacing w:val="-20"/>
          <w:sz w:val="16"/>
        </w:rPr>
        <w:t>、</w:t>
      </w:r>
      <w:r>
        <w:rPr>
          <w:spacing w:val="-4"/>
          <w:sz w:val="16"/>
        </w:rPr>
        <w:t>29805</w:t>
      </w:r>
      <w:r>
        <w:rPr>
          <w:rFonts w:ascii="宋体" w:eastAsia="宋体" w:hint="eastAsia"/>
          <w:spacing w:val="-20"/>
          <w:sz w:val="16"/>
        </w:rPr>
        <w:t>、</w:t>
      </w:r>
      <w:r>
        <w:rPr>
          <w:spacing w:val="-4"/>
          <w:sz w:val="16"/>
        </w:rPr>
        <w:t>29806</w:t>
      </w:r>
      <w:r>
        <w:rPr>
          <w:rFonts w:ascii="宋体" w:eastAsia="宋体" w:hint="eastAsia"/>
          <w:spacing w:val="-22"/>
          <w:sz w:val="16"/>
        </w:rPr>
        <w:t>、</w:t>
      </w:r>
      <w:r>
        <w:rPr>
          <w:spacing w:val="-3"/>
          <w:sz w:val="16"/>
        </w:rPr>
        <w:t>29807</w:t>
      </w:r>
      <w:r>
        <w:rPr>
          <w:rFonts w:ascii="宋体" w:eastAsia="宋体" w:hint="eastAsia"/>
          <w:sz w:val="16"/>
        </w:rPr>
        <w:t>、</w:t>
      </w:r>
      <w:r>
        <w:rPr>
          <w:spacing w:val="-3"/>
          <w:sz w:val="16"/>
        </w:rPr>
        <w:t>29808</w:t>
      </w:r>
      <w:r>
        <w:rPr>
          <w:rFonts w:ascii="宋体" w:eastAsia="宋体" w:hint="eastAsia"/>
          <w:spacing w:val="-5"/>
          <w:sz w:val="16"/>
        </w:rPr>
        <w:t>、</w:t>
      </w:r>
      <w:r>
        <w:rPr>
          <w:spacing w:val="-4"/>
          <w:sz w:val="16"/>
        </w:rPr>
        <w:t>29816</w:t>
      </w:r>
      <w:r>
        <w:rPr>
          <w:rFonts w:ascii="宋体" w:eastAsia="宋体" w:hint="eastAsia"/>
          <w:spacing w:val="-5"/>
          <w:sz w:val="16"/>
        </w:rPr>
        <w:t>、</w:t>
      </w:r>
      <w:r>
        <w:rPr>
          <w:spacing w:val="-4"/>
          <w:sz w:val="16"/>
        </w:rPr>
        <w:t>29818)</w:t>
      </w:r>
      <w:r>
        <w:rPr>
          <w:rFonts w:ascii="宋体" w:eastAsia="宋体" w:hint="eastAsia"/>
          <w:spacing w:val="-5"/>
          <w:sz w:val="16"/>
        </w:rPr>
        <w:t>，结果均为阳性且鉴别准确，无交叉反应。</w:t>
      </w:r>
    </w:p>
    <w:p>
      <w:pPr>
        <w:pStyle w:val="ListParagraph"/>
        <w:numPr>
          <w:ilvl w:val="0"/>
          <w:numId w:val="5"/>
        </w:numPr>
        <w:tabs>
          <w:tab w:pos="300" w:val="left" w:leader="none"/>
        </w:tabs>
        <w:spacing w:line="184" w:lineRule="exact" w:before="0" w:after="0"/>
        <w:ind w:left="300" w:right="0" w:hanging="154"/>
        <w:jc w:val="left"/>
        <w:rPr>
          <w:rFonts w:ascii="宋体" w:eastAsia="宋体" w:hint="eastAsia"/>
          <w:sz w:val="16"/>
        </w:rPr>
      </w:pPr>
      <w:r>
        <w:rPr>
          <w:rFonts w:ascii="宋体" w:eastAsia="宋体" w:hint="eastAsia"/>
          <w:spacing w:val="-5"/>
          <w:w w:val="100"/>
          <w:sz w:val="16"/>
        </w:rPr>
        <w:t>分析特异性：经验证的其他相关病原体的交叉反应性及其验证浓度水平如下（经本试剂盒检测均为阴性</w:t>
      </w:r>
      <w:r>
        <w:rPr>
          <w:rFonts w:ascii="宋体" w:eastAsia="宋体" w:hint="eastAsia"/>
          <w:spacing w:val="-82"/>
          <w:w w:val="100"/>
          <w:sz w:val="16"/>
        </w:rPr>
        <w:t>）</w:t>
      </w:r>
      <w:r>
        <w:rPr>
          <w:rFonts w:ascii="宋体" w:eastAsia="宋体" w:hint="eastAsia"/>
          <w:w w:val="100"/>
          <w:sz w:val="16"/>
        </w:rPr>
        <w:t>：</w:t>
      </w:r>
    </w:p>
    <w:tbl>
      <w:tblPr>
        <w:tblW w:w="0" w:type="auto"/>
        <w:jc w:val="left"/>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9"/>
        <w:gridCol w:w="1701"/>
        <w:gridCol w:w="1817"/>
        <w:gridCol w:w="1842"/>
      </w:tblGrid>
      <w:tr>
        <w:trPr>
          <w:trHeight w:val="245" w:hRule="atLeast"/>
        </w:trPr>
        <w:tc>
          <w:tcPr>
            <w:tcW w:w="1719" w:type="dxa"/>
          </w:tcPr>
          <w:p>
            <w:pPr>
              <w:pStyle w:val="TableParagraph"/>
              <w:spacing w:line="183" w:lineRule="exact" w:before="42"/>
              <w:rPr>
                <w:rFonts w:ascii="宋体" w:eastAsia="宋体" w:hint="eastAsia"/>
                <w:sz w:val="16"/>
              </w:rPr>
            </w:pPr>
            <w:r>
              <w:rPr>
                <w:rFonts w:ascii="宋体" w:eastAsia="宋体" w:hint="eastAsia"/>
                <w:sz w:val="16"/>
              </w:rPr>
              <w:t>微生物名称</w:t>
            </w:r>
          </w:p>
        </w:tc>
        <w:tc>
          <w:tcPr>
            <w:tcW w:w="1701" w:type="dxa"/>
          </w:tcPr>
          <w:p>
            <w:pPr>
              <w:pStyle w:val="TableParagraph"/>
              <w:spacing w:line="183" w:lineRule="exact" w:before="42"/>
              <w:rPr>
                <w:rFonts w:ascii="宋体" w:eastAsia="宋体" w:hint="eastAsia"/>
                <w:sz w:val="16"/>
              </w:rPr>
            </w:pPr>
            <w:r>
              <w:rPr>
                <w:rFonts w:ascii="宋体" w:eastAsia="宋体" w:hint="eastAsia"/>
                <w:sz w:val="16"/>
              </w:rPr>
              <w:t>交叉反应浓度</w:t>
            </w:r>
          </w:p>
        </w:tc>
        <w:tc>
          <w:tcPr>
            <w:tcW w:w="1817" w:type="dxa"/>
          </w:tcPr>
          <w:p>
            <w:pPr>
              <w:pStyle w:val="TableParagraph"/>
              <w:spacing w:line="183" w:lineRule="exact" w:before="42"/>
              <w:rPr>
                <w:rFonts w:ascii="宋体" w:eastAsia="宋体" w:hint="eastAsia"/>
                <w:sz w:val="16"/>
              </w:rPr>
            </w:pPr>
            <w:r>
              <w:rPr>
                <w:rFonts w:ascii="宋体" w:eastAsia="宋体" w:hint="eastAsia"/>
                <w:sz w:val="16"/>
              </w:rPr>
              <w:t>微生物名称</w:t>
            </w:r>
          </w:p>
        </w:tc>
        <w:tc>
          <w:tcPr>
            <w:tcW w:w="1842" w:type="dxa"/>
          </w:tcPr>
          <w:p>
            <w:pPr>
              <w:pStyle w:val="TableParagraph"/>
              <w:spacing w:line="183" w:lineRule="exact" w:before="42"/>
              <w:rPr>
                <w:rFonts w:ascii="宋体" w:eastAsia="宋体" w:hint="eastAsia"/>
                <w:sz w:val="16"/>
              </w:rPr>
            </w:pPr>
            <w:r>
              <w:rPr>
                <w:rFonts w:ascii="宋体" w:eastAsia="宋体" w:hint="eastAsia"/>
                <w:sz w:val="16"/>
              </w:rPr>
              <w:t>交叉反应浓度</w:t>
            </w:r>
          </w:p>
        </w:tc>
      </w:tr>
      <w:tr>
        <w:trPr>
          <w:trHeight w:val="245" w:hRule="atLeast"/>
        </w:trPr>
        <w:tc>
          <w:tcPr>
            <w:tcW w:w="1719" w:type="dxa"/>
          </w:tcPr>
          <w:p>
            <w:pPr>
              <w:pStyle w:val="TableParagraph"/>
              <w:spacing w:line="181" w:lineRule="exact" w:before="44"/>
              <w:rPr>
                <w:rFonts w:ascii="宋体" w:eastAsia="宋体" w:hint="eastAsia"/>
                <w:sz w:val="16"/>
              </w:rPr>
            </w:pPr>
            <w:r>
              <w:rPr>
                <w:rFonts w:ascii="宋体" w:eastAsia="宋体" w:hint="eastAsia"/>
                <w:sz w:val="16"/>
              </w:rPr>
              <w:t>铜绿假单胞菌株</w:t>
            </w:r>
          </w:p>
        </w:tc>
        <w:tc>
          <w:tcPr>
            <w:tcW w:w="1701" w:type="dxa"/>
          </w:tcPr>
          <w:p>
            <w:pPr>
              <w:pStyle w:val="TableParagraph"/>
              <w:spacing w:line="170" w:lineRule="exact" w:before="55"/>
              <w:rPr>
                <w:sz w:val="16"/>
              </w:rPr>
            </w:pPr>
            <w:r>
              <w:rPr>
                <w:sz w:val="16"/>
              </w:rPr>
              <w:t>1.00E+06 CFU/mL</w:t>
            </w:r>
          </w:p>
        </w:tc>
        <w:tc>
          <w:tcPr>
            <w:tcW w:w="1817" w:type="dxa"/>
          </w:tcPr>
          <w:p>
            <w:pPr>
              <w:pStyle w:val="TableParagraph"/>
              <w:spacing w:line="181" w:lineRule="exact" w:before="44"/>
              <w:rPr>
                <w:rFonts w:ascii="宋体" w:eastAsia="宋体" w:hint="eastAsia"/>
                <w:sz w:val="16"/>
              </w:rPr>
            </w:pPr>
            <w:r>
              <w:rPr>
                <w:rFonts w:ascii="宋体" w:eastAsia="宋体" w:hint="eastAsia"/>
                <w:sz w:val="16"/>
              </w:rPr>
              <w:t>鹦鹉热衣原体</w:t>
            </w:r>
          </w:p>
        </w:tc>
        <w:tc>
          <w:tcPr>
            <w:tcW w:w="1842" w:type="dxa"/>
          </w:tcPr>
          <w:p>
            <w:pPr>
              <w:pStyle w:val="TableParagraph"/>
              <w:spacing w:line="170" w:lineRule="exact" w:before="55"/>
              <w:rPr>
                <w:sz w:val="16"/>
              </w:rPr>
            </w:pPr>
            <w:r>
              <w:rPr>
                <w:sz w:val="16"/>
              </w:rPr>
              <w:t>1.00E+06 copies/mL</w:t>
            </w:r>
          </w:p>
        </w:tc>
      </w:tr>
      <w:tr>
        <w:trPr>
          <w:trHeight w:val="245" w:hRule="atLeast"/>
        </w:trPr>
        <w:tc>
          <w:tcPr>
            <w:tcW w:w="1719" w:type="dxa"/>
          </w:tcPr>
          <w:p>
            <w:pPr>
              <w:pStyle w:val="TableParagraph"/>
              <w:spacing w:line="181" w:lineRule="exact" w:before="43"/>
              <w:rPr>
                <w:rFonts w:ascii="宋体" w:eastAsia="宋体" w:hint="eastAsia"/>
                <w:sz w:val="16"/>
              </w:rPr>
            </w:pPr>
            <w:r>
              <w:rPr>
                <w:rFonts w:ascii="宋体" w:eastAsia="宋体" w:hint="eastAsia"/>
                <w:sz w:val="16"/>
              </w:rPr>
              <w:t>金黄色葡萄球菌</w:t>
            </w:r>
          </w:p>
        </w:tc>
        <w:tc>
          <w:tcPr>
            <w:tcW w:w="1701" w:type="dxa"/>
          </w:tcPr>
          <w:p>
            <w:pPr>
              <w:pStyle w:val="TableParagraph"/>
              <w:spacing w:line="171" w:lineRule="exact" w:before="54"/>
              <w:rPr>
                <w:sz w:val="16"/>
              </w:rPr>
            </w:pPr>
            <w:r>
              <w:rPr>
                <w:sz w:val="16"/>
              </w:rPr>
              <w:t>1.00E+06 CFU/mL</w:t>
            </w:r>
          </w:p>
        </w:tc>
        <w:tc>
          <w:tcPr>
            <w:tcW w:w="1817" w:type="dxa"/>
          </w:tcPr>
          <w:p>
            <w:pPr>
              <w:pStyle w:val="TableParagraph"/>
              <w:spacing w:line="181" w:lineRule="exact" w:before="43"/>
              <w:rPr>
                <w:rFonts w:ascii="宋体" w:eastAsia="宋体" w:hint="eastAsia"/>
                <w:sz w:val="16"/>
              </w:rPr>
            </w:pPr>
            <w:r>
              <w:rPr>
                <w:rFonts w:ascii="宋体" w:eastAsia="宋体" w:hint="eastAsia"/>
                <w:sz w:val="16"/>
              </w:rPr>
              <w:t>人型支原体</w:t>
            </w:r>
          </w:p>
        </w:tc>
        <w:tc>
          <w:tcPr>
            <w:tcW w:w="1842" w:type="dxa"/>
          </w:tcPr>
          <w:p>
            <w:pPr>
              <w:pStyle w:val="TableParagraph"/>
              <w:spacing w:line="171" w:lineRule="exact" w:before="54"/>
              <w:rPr>
                <w:sz w:val="16"/>
              </w:rPr>
            </w:pPr>
            <w:r>
              <w:rPr>
                <w:sz w:val="16"/>
              </w:rPr>
              <w:t>1.00E+06 CCU/mL</w:t>
            </w:r>
          </w:p>
        </w:tc>
      </w:tr>
      <w:tr>
        <w:trPr>
          <w:trHeight w:val="245" w:hRule="atLeast"/>
        </w:trPr>
        <w:tc>
          <w:tcPr>
            <w:tcW w:w="1719" w:type="dxa"/>
          </w:tcPr>
          <w:p>
            <w:pPr>
              <w:pStyle w:val="TableParagraph"/>
              <w:spacing w:line="182" w:lineRule="exact" w:before="43"/>
              <w:rPr>
                <w:rFonts w:ascii="宋体" w:eastAsia="宋体" w:hint="eastAsia"/>
                <w:sz w:val="16"/>
              </w:rPr>
            </w:pPr>
            <w:r>
              <w:rPr>
                <w:rFonts w:ascii="宋体" w:eastAsia="宋体" w:hint="eastAsia"/>
                <w:sz w:val="16"/>
              </w:rPr>
              <w:t>变形杆菌</w:t>
            </w:r>
          </w:p>
        </w:tc>
        <w:tc>
          <w:tcPr>
            <w:tcW w:w="1701" w:type="dxa"/>
          </w:tcPr>
          <w:p>
            <w:pPr>
              <w:pStyle w:val="TableParagraph"/>
              <w:spacing w:line="171" w:lineRule="exact" w:before="53"/>
              <w:rPr>
                <w:sz w:val="16"/>
              </w:rPr>
            </w:pPr>
            <w:r>
              <w:rPr>
                <w:sz w:val="16"/>
              </w:rPr>
              <w:t>1.00E+06 CFU/mL</w:t>
            </w:r>
          </w:p>
        </w:tc>
        <w:tc>
          <w:tcPr>
            <w:tcW w:w="1817" w:type="dxa"/>
          </w:tcPr>
          <w:p>
            <w:pPr>
              <w:pStyle w:val="TableParagraph"/>
              <w:spacing w:line="182" w:lineRule="exact" w:before="43"/>
              <w:rPr>
                <w:rFonts w:ascii="宋体" w:eastAsia="宋体" w:hint="eastAsia"/>
                <w:sz w:val="16"/>
              </w:rPr>
            </w:pPr>
            <w:r>
              <w:rPr>
                <w:rFonts w:ascii="宋体" w:eastAsia="宋体" w:hint="eastAsia"/>
                <w:sz w:val="16"/>
              </w:rPr>
              <w:t>生殖支原体</w:t>
            </w:r>
          </w:p>
        </w:tc>
        <w:tc>
          <w:tcPr>
            <w:tcW w:w="1842" w:type="dxa"/>
          </w:tcPr>
          <w:p>
            <w:pPr>
              <w:pStyle w:val="TableParagraph"/>
              <w:spacing w:line="171" w:lineRule="exact" w:before="53"/>
              <w:rPr>
                <w:sz w:val="16"/>
              </w:rPr>
            </w:pPr>
            <w:r>
              <w:rPr>
                <w:sz w:val="16"/>
              </w:rPr>
              <w:t>1.00E+06 CCU/mL</w:t>
            </w:r>
          </w:p>
        </w:tc>
      </w:tr>
      <w:tr>
        <w:trPr>
          <w:trHeight w:val="245" w:hRule="atLeast"/>
        </w:trPr>
        <w:tc>
          <w:tcPr>
            <w:tcW w:w="1719" w:type="dxa"/>
          </w:tcPr>
          <w:p>
            <w:pPr>
              <w:pStyle w:val="TableParagraph"/>
              <w:spacing w:line="183" w:lineRule="exact" w:before="42"/>
              <w:rPr>
                <w:rFonts w:ascii="宋体" w:eastAsia="宋体" w:hint="eastAsia"/>
                <w:sz w:val="16"/>
              </w:rPr>
            </w:pPr>
            <w:r>
              <w:rPr>
                <w:rFonts w:ascii="宋体" w:eastAsia="宋体" w:hint="eastAsia"/>
                <w:sz w:val="16"/>
              </w:rPr>
              <w:t>大肠埃希氏菌</w:t>
            </w:r>
          </w:p>
        </w:tc>
        <w:tc>
          <w:tcPr>
            <w:tcW w:w="1701" w:type="dxa"/>
          </w:tcPr>
          <w:p>
            <w:pPr>
              <w:pStyle w:val="TableParagraph"/>
              <w:spacing w:line="172" w:lineRule="exact" w:before="53"/>
              <w:rPr>
                <w:sz w:val="16"/>
              </w:rPr>
            </w:pPr>
            <w:r>
              <w:rPr>
                <w:sz w:val="16"/>
              </w:rPr>
              <w:t>1.00E+06 CFU/mL</w:t>
            </w:r>
          </w:p>
        </w:tc>
        <w:tc>
          <w:tcPr>
            <w:tcW w:w="1817" w:type="dxa"/>
          </w:tcPr>
          <w:p>
            <w:pPr>
              <w:pStyle w:val="TableParagraph"/>
              <w:spacing w:line="183" w:lineRule="exact" w:before="42"/>
              <w:rPr>
                <w:rFonts w:ascii="宋体" w:eastAsia="宋体" w:hint="eastAsia"/>
                <w:sz w:val="16"/>
              </w:rPr>
            </w:pPr>
            <w:r>
              <w:rPr>
                <w:rFonts w:ascii="宋体" w:eastAsia="宋体" w:hint="eastAsia"/>
                <w:sz w:val="16"/>
              </w:rPr>
              <w:t>肺炎支原体</w:t>
            </w:r>
          </w:p>
        </w:tc>
        <w:tc>
          <w:tcPr>
            <w:tcW w:w="1842" w:type="dxa"/>
          </w:tcPr>
          <w:p>
            <w:pPr>
              <w:pStyle w:val="TableParagraph"/>
              <w:spacing w:line="172" w:lineRule="exact" w:before="53"/>
              <w:rPr>
                <w:sz w:val="16"/>
              </w:rPr>
            </w:pPr>
            <w:r>
              <w:rPr>
                <w:sz w:val="16"/>
              </w:rPr>
              <w:t>1.00E+06 CCU/mL</w:t>
            </w:r>
          </w:p>
        </w:tc>
      </w:tr>
      <w:tr>
        <w:trPr>
          <w:trHeight w:val="245" w:hRule="atLeast"/>
        </w:trPr>
        <w:tc>
          <w:tcPr>
            <w:tcW w:w="1719" w:type="dxa"/>
          </w:tcPr>
          <w:p>
            <w:pPr>
              <w:pStyle w:val="TableParagraph"/>
              <w:spacing w:line="181" w:lineRule="exact" w:before="44"/>
              <w:rPr>
                <w:rFonts w:ascii="宋体" w:eastAsia="宋体" w:hint="eastAsia"/>
                <w:sz w:val="16"/>
              </w:rPr>
            </w:pPr>
            <w:r>
              <w:rPr>
                <w:rFonts w:ascii="宋体" w:eastAsia="宋体" w:hint="eastAsia"/>
                <w:sz w:val="16"/>
              </w:rPr>
              <w:t>干酪乳杆菌</w:t>
            </w:r>
          </w:p>
        </w:tc>
        <w:tc>
          <w:tcPr>
            <w:tcW w:w="1701" w:type="dxa"/>
          </w:tcPr>
          <w:p>
            <w:pPr>
              <w:pStyle w:val="TableParagraph"/>
              <w:spacing w:line="170" w:lineRule="exact" w:before="55"/>
              <w:rPr>
                <w:sz w:val="16"/>
              </w:rPr>
            </w:pPr>
            <w:r>
              <w:rPr>
                <w:sz w:val="16"/>
              </w:rPr>
              <w:t>1.00E+06 CFU/mL</w:t>
            </w:r>
          </w:p>
        </w:tc>
        <w:tc>
          <w:tcPr>
            <w:tcW w:w="1817" w:type="dxa"/>
          </w:tcPr>
          <w:p>
            <w:pPr>
              <w:pStyle w:val="TableParagraph"/>
              <w:spacing w:line="181" w:lineRule="exact" w:before="44"/>
              <w:rPr>
                <w:rFonts w:ascii="宋体" w:eastAsia="宋体" w:hint="eastAsia"/>
                <w:sz w:val="16"/>
              </w:rPr>
            </w:pPr>
            <w:r>
              <w:rPr>
                <w:rFonts w:ascii="宋体" w:eastAsia="宋体" w:hint="eastAsia"/>
                <w:sz w:val="16"/>
              </w:rPr>
              <w:t>梅毒螺旋体</w:t>
            </w:r>
          </w:p>
        </w:tc>
        <w:tc>
          <w:tcPr>
            <w:tcW w:w="1842" w:type="dxa"/>
          </w:tcPr>
          <w:p>
            <w:pPr>
              <w:pStyle w:val="TableParagraph"/>
              <w:spacing w:line="170" w:lineRule="exact" w:before="55"/>
              <w:rPr>
                <w:sz w:val="16"/>
              </w:rPr>
            </w:pPr>
            <w:r>
              <w:rPr>
                <w:sz w:val="16"/>
              </w:rPr>
              <w:t>1.00E+06 copies/mL</w:t>
            </w:r>
          </w:p>
        </w:tc>
      </w:tr>
      <w:tr>
        <w:trPr>
          <w:trHeight w:val="245" w:hRule="atLeast"/>
        </w:trPr>
        <w:tc>
          <w:tcPr>
            <w:tcW w:w="1719" w:type="dxa"/>
          </w:tcPr>
          <w:p>
            <w:pPr>
              <w:pStyle w:val="TableParagraph"/>
              <w:spacing w:line="181" w:lineRule="exact" w:before="43"/>
              <w:rPr>
                <w:rFonts w:ascii="宋体" w:eastAsia="宋体" w:hint="eastAsia"/>
                <w:sz w:val="16"/>
              </w:rPr>
            </w:pPr>
            <w:r>
              <w:rPr>
                <w:rFonts w:ascii="宋体" w:eastAsia="宋体" w:hint="eastAsia"/>
                <w:sz w:val="16"/>
              </w:rPr>
              <w:t>伤寒沙门氏菌</w:t>
            </w:r>
          </w:p>
        </w:tc>
        <w:tc>
          <w:tcPr>
            <w:tcW w:w="1701" w:type="dxa"/>
          </w:tcPr>
          <w:p>
            <w:pPr>
              <w:pStyle w:val="TableParagraph"/>
              <w:spacing w:line="171" w:lineRule="exact" w:before="54"/>
              <w:rPr>
                <w:sz w:val="16"/>
              </w:rPr>
            </w:pPr>
            <w:r>
              <w:rPr>
                <w:sz w:val="16"/>
              </w:rPr>
              <w:t>1.00E+06 CFU/mL</w:t>
            </w:r>
          </w:p>
        </w:tc>
        <w:tc>
          <w:tcPr>
            <w:tcW w:w="1817" w:type="dxa"/>
          </w:tcPr>
          <w:p>
            <w:pPr>
              <w:pStyle w:val="TableParagraph"/>
              <w:spacing w:line="181" w:lineRule="exact" w:before="43"/>
              <w:rPr>
                <w:rFonts w:ascii="宋体" w:eastAsia="宋体" w:hint="eastAsia"/>
                <w:sz w:val="16"/>
              </w:rPr>
            </w:pPr>
            <w:r>
              <w:rPr>
                <w:rFonts w:ascii="宋体" w:eastAsia="宋体" w:hint="eastAsia"/>
                <w:sz w:val="16"/>
              </w:rPr>
              <w:t>阴道毛滴虫</w:t>
            </w:r>
          </w:p>
        </w:tc>
        <w:tc>
          <w:tcPr>
            <w:tcW w:w="1842" w:type="dxa"/>
          </w:tcPr>
          <w:p>
            <w:pPr>
              <w:pStyle w:val="TableParagraph"/>
              <w:spacing w:line="171" w:lineRule="exact" w:before="54"/>
              <w:rPr>
                <w:sz w:val="16"/>
              </w:rPr>
            </w:pPr>
            <w:r>
              <w:rPr>
                <w:sz w:val="16"/>
              </w:rPr>
              <w:t>1.00E+06 cells/mL</w:t>
            </w:r>
          </w:p>
        </w:tc>
      </w:tr>
      <w:tr>
        <w:trPr>
          <w:trHeight w:val="245" w:hRule="atLeast"/>
        </w:trPr>
        <w:tc>
          <w:tcPr>
            <w:tcW w:w="1719" w:type="dxa"/>
          </w:tcPr>
          <w:p>
            <w:pPr>
              <w:pStyle w:val="TableParagraph"/>
              <w:spacing w:line="182" w:lineRule="exact" w:before="43"/>
              <w:rPr>
                <w:rFonts w:ascii="宋体" w:eastAsia="宋体" w:hint="eastAsia"/>
                <w:sz w:val="16"/>
              </w:rPr>
            </w:pPr>
            <w:r>
              <w:rPr>
                <w:rFonts w:ascii="宋体" w:eastAsia="宋体" w:hint="eastAsia"/>
                <w:sz w:val="16"/>
              </w:rPr>
              <w:t>白色念珠菌</w:t>
            </w:r>
          </w:p>
        </w:tc>
        <w:tc>
          <w:tcPr>
            <w:tcW w:w="1701" w:type="dxa"/>
          </w:tcPr>
          <w:p>
            <w:pPr>
              <w:pStyle w:val="TableParagraph"/>
              <w:spacing w:line="171" w:lineRule="exact" w:before="53"/>
              <w:rPr>
                <w:sz w:val="16"/>
              </w:rPr>
            </w:pPr>
            <w:r>
              <w:rPr>
                <w:sz w:val="16"/>
              </w:rPr>
              <w:t>1.00E+06 CFU/mL</w:t>
            </w:r>
          </w:p>
        </w:tc>
        <w:tc>
          <w:tcPr>
            <w:tcW w:w="1817" w:type="dxa"/>
          </w:tcPr>
          <w:p>
            <w:pPr>
              <w:pStyle w:val="TableParagraph"/>
              <w:spacing w:line="182" w:lineRule="exact" w:before="43"/>
              <w:rPr>
                <w:rFonts w:ascii="宋体" w:eastAsia="宋体" w:hint="eastAsia"/>
                <w:sz w:val="16"/>
              </w:rPr>
            </w:pPr>
            <w:r>
              <w:rPr>
                <w:rFonts w:ascii="宋体" w:eastAsia="宋体" w:hint="eastAsia"/>
                <w:sz w:val="16"/>
              </w:rPr>
              <w:t>单纯疱疹病毒 </w:t>
            </w:r>
            <w:r>
              <w:rPr>
                <w:sz w:val="16"/>
              </w:rPr>
              <w:t>2 </w:t>
            </w:r>
            <w:r>
              <w:rPr>
                <w:rFonts w:ascii="宋体" w:eastAsia="宋体" w:hint="eastAsia"/>
                <w:sz w:val="16"/>
              </w:rPr>
              <w:t>型</w:t>
            </w:r>
          </w:p>
        </w:tc>
        <w:tc>
          <w:tcPr>
            <w:tcW w:w="1842" w:type="dxa"/>
          </w:tcPr>
          <w:p>
            <w:pPr>
              <w:pStyle w:val="TableParagraph"/>
              <w:spacing w:line="171" w:lineRule="exact" w:before="53"/>
              <w:rPr>
                <w:sz w:val="16"/>
              </w:rPr>
            </w:pPr>
            <w:r>
              <w:rPr>
                <w:sz w:val="16"/>
              </w:rPr>
              <w:t>1.00E+06 copies/mL</w:t>
            </w:r>
          </w:p>
        </w:tc>
      </w:tr>
      <w:tr>
        <w:trPr>
          <w:trHeight w:val="245" w:hRule="atLeast"/>
        </w:trPr>
        <w:tc>
          <w:tcPr>
            <w:tcW w:w="1719" w:type="dxa"/>
          </w:tcPr>
          <w:p>
            <w:pPr>
              <w:pStyle w:val="TableParagraph"/>
              <w:spacing w:line="183" w:lineRule="exact" w:before="42"/>
              <w:rPr>
                <w:rFonts w:ascii="宋体" w:eastAsia="宋体" w:hint="eastAsia"/>
                <w:sz w:val="16"/>
              </w:rPr>
            </w:pPr>
            <w:r>
              <w:rPr>
                <w:rFonts w:ascii="宋体" w:eastAsia="宋体" w:hint="eastAsia"/>
                <w:sz w:val="16"/>
              </w:rPr>
              <w:t>福氏志贺氏菌</w:t>
            </w:r>
          </w:p>
        </w:tc>
        <w:tc>
          <w:tcPr>
            <w:tcW w:w="1701" w:type="dxa"/>
          </w:tcPr>
          <w:p>
            <w:pPr>
              <w:pStyle w:val="TableParagraph"/>
              <w:spacing w:line="172" w:lineRule="exact" w:before="53"/>
              <w:rPr>
                <w:sz w:val="16"/>
              </w:rPr>
            </w:pPr>
            <w:r>
              <w:rPr>
                <w:sz w:val="16"/>
              </w:rPr>
              <w:t>1.00E+06 CFU/mL</w:t>
            </w:r>
          </w:p>
        </w:tc>
        <w:tc>
          <w:tcPr>
            <w:tcW w:w="1817" w:type="dxa"/>
          </w:tcPr>
          <w:p>
            <w:pPr>
              <w:pStyle w:val="TableParagraph"/>
              <w:spacing w:line="183" w:lineRule="exact" w:before="42"/>
              <w:rPr>
                <w:rFonts w:ascii="宋体" w:eastAsia="宋体" w:hint="eastAsia"/>
                <w:sz w:val="16"/>
              </w:rPr>
            </w:pPr>
            <w:r>
              <w:rPr>
                <w:rFonts w:ascii="宋体" w:eastAsia="宋体" w:hint="eastAsia"/>
                <w:sz w:val="16"/>
              </w:rPr>
              <w:t>人乳头瘤病毒 </w:t>
            </w:r>
            <w:r>
              <w:rPr>
                <w:sz w:val="16"/>
              </w:rPr>
              <w:t>6 </w:t>
            </w:r>
            <w:r>
              <w:rPr>
                <w:rFonts w:ascii="宋体" w:eastAsia="宋体" w:hint="eastAsia"/>
                <w:sz w:val="16"/>
              </w:rPr>
              <w:t>型</w:t>
            </w:r>
          </w:p>
        </w:tc>
        <w:tc>
          <w:tcPr>
            <w:tcW w:w="1842" w:type="dxa"/>
          </w:tcPr>
          <w:p>
            <w:pPr>
              <w:pStyle w:val="TableParagraph"/>
              <w:spacing w:line="172" w:lineRule="exact" w:before="53"/>
              <w:rPr>
                <w:sz w:val="16"/>
              </w:rPr>
            </w:pPr>
            <w:r>
              <w:rPr>
                <w:sz w:val="16"/>
              </w:rPr>
              <w:t>1.00E+06 copies/mL</w:t>
            </w:r>
          </w:p>
        </w:tc>
      </w:tr>
      <w:tr>
        <w:trPr>
          <w:trHeight w:val="245" w:hRule="atLeast"/>
        </w:trPr>
        <w:tc>
          <w:tcPr>
            <w:tcW w:w="1719" w:type="dxa"/>
          </w:tcPr>
          <w:p>
            <w:pPr>
              <w:pStyle w:val="TableParagraph"/>
              <w:spacing w:line="181" w:lineRule="exact" w:before="44"/>
              <w:rPr>
                <w:rFonts w:ascii="宋体" w:eastAsia="宋体" w:hint="eastAsia"/>
                <w:sz w:val="16"/>
              </w:rPr>
            </w:pPr>
            <w:r>
              <w:rPr>
                <w:rFonts w:ascii="宋体" w:eastAsia="宋体" w:hint="eastAsia"/>
                <w:sz w:val="16"/>
              </w:rPr>
              <w:t>脑膜炎奈瑟氏菌</w:t>
            </w:r>
          </w:p>
        </w:tc>
        <w:tc>
          <w:tcPr>
            <w:tcW w:w="1701" w:type="dxa"/>
          </w:tcPr>
          <w:p>
            <w:pPr>
              <w:pStyle w:val="TableParagraph"/>
              <w:spacing w:line="170" w:lineRule="exact" w:before="55"/>
              <w:rPr>
                <w:sz w:val="16"/>
              </w:rPr>
            </w:pPr>
            <w:r>
              <w:rPr>
                <w:sz w:val="16"/>
              </w:rPr>
              <w:t>1.00E+06 CFU/mL</w:t>
            </w:r>
          </w:p>
        </w:tc>
        <w:tc>
          <w:tcPr>
            <w:tcW w:w="1817" w:type="dxa"/>
          </w:tcPr>
          <w:p>
            <w:pPr>
              <w:pStyle w:val="TableParagraph"/>
              <w:spacing w:line="181" w:lineRule="exact" w:before="44"/>
              <w:rPr>
                <w:rFonts w:ascii="宋体" w:eastAsia="宋体" w:hint="eastAsia"/>
                <w:sz w:val="16"/>
              </w:rPr>
            </w:pPr>
            <w:r>
              <w:rPr>
                <w:rFonts w:ascii="宋体" w:eastAsia="宋体" w:hint="eastAsia"/>
                <w:sz w:val="16"/>
              </w:rPr>
              <w:t>人乳头瘤病毒 </w:t>
            </w:r>
            <w:r>
              <w:rPr>
                <w:sz w:val="16"/>
              </w:rPr>
              <w:t>16 </w:t>
            </w:r>
            <w:r>
              <w:rPr>
                <w:rFonts w:ascii="宋体" w:eastAsia="宋体" w:hint="eastAsia"/>
                <w:sz w:val="16"/>
              </w:rPr>
              <w:t>型</w:t>
            </w:r>
          </w:p>
        </w:tc>
        <w:tc>
          <w:tcPr>
            <w:tcW w:w="1842" w:type="dxa"/>
          </w:tcPr>
          <w:p>
            <w:pPr>
              <w:pStyle w:val="TableParagraph"/>
              <w:spacing w:line="170" w:lineRule="exact" w:before="55"/>
              <w:rPr>
                <w:sz w:val="16"/>
              </w:rPr>
            </w:pPr>
            <w:r>
              <w:rPr>
                <w:sz w:val="16"/>
              </w:rPr>
              <w:t>1.00E+06 copies/mL</w:t>
            </w:r>
          </w:p>
        </w:tc>
      </w:tr>
      <w:tr>
        <w:trPr>
          <w:trHeight w:val="245" w:hRule="atLeast"/>
        </w:trPr>
        <w:tc>
          <w:tcPr>
            <w:tcW w:w="1719" w:type="dxa"/>
          </w:tcPr>
          <w:p>
            <w:pPr>
              <w:pStyle w:val="TableParagraph"/>
              <w:spacing w:line="181" w:lineRule="exact" w:before="43"/>
              <w:rPr>
                <w:rFonts w:ascii="宋体" w:eastAsia="宋体" w:hint="eastAsia"/>
                <w:sz w:val="16"/>
              </w:rPr>
            </w:pPr>
            <w:r>
              <w:rPr>
                <w:rFonts w:ascii="宋体" w:eastAsia="宋体" w:hint="eastAsia"/>
                <w:sz w:val="16"/>
              </w:rPr>
              <w:t>肺炎衣原体</w:t>
            </w:r>
          </w:p>
        </w:tc>
        <w:tc>
          <w:tcPr>
            <w:tcW w:w="1701" w:type="dxa"/>
          </w:tcPr>
          <w:p>
            <w:pPr>
              <w:pStyle w:val="TableParagraph"/>
              <w:spacing w:line="171" w:lineRule="exact" w:before="54"/>
              <w:rPr>
                <w:sz w:val="16"/>
              </w:rPr>
            </w:pPr>
            <w:r>
              <w:rPr>
                <w:sz w:val="16"/>
              </w:rPr>
              <w:t>1.00E+06 copies/mL</w:t>
            </w:r>
          </w:p>
        </w:tc>
        <w:tc>
          <w:tcPr>
            <w:tcW w:w="1817" w:type="dxa"/>
          </w:tcPr>
          <w:p>
            <w:pPr>
              <w:pStyle w:val="TableParagraph"/>
              <w:spacing w:line="181" w:lineRule="exact" w:before="43"/>
              <w:rPr>
                <w:rFonts w:ascii="宋体" w:eastAsia="宋体" w:hint="eastAsia"/>
                <w:sz w:val="16"/>
              </w:rPr>
            </w:pPr>
            <w:r>
              <w:rPr>
                <w:rFonts w:ascii="宋体" w:eastAsia="宋体" w:hint="eastAsia"/>
                <w:sz w:val="16"/>
              </w:rPr>
              <w:t>人巨细胞病毒</w:t>
            </w:r>
          </w:p>
        </w:tc>
        <w:tc>
          <w:tcPr>
            <w:tcW w:w="1842" w:type="dxa"/>
          </w:tcPr>
          <w:p>
            <w:pPr>
              <w:pStyle w:val="TableParagraph"/>
              <w:spacing w:line="171" w:lineRule="exact" w:before="54"/>
              <w:rPr>
                <w:sz w:val="16"/>
              </w:rPr>
            </w:pPr>
            <w:r>
              <w:rPr>
                <w:sz w:val="16"/>
              </w:rPr>
              <w:t>1.00E+06 copies/mL</w:t>
            </w:r>
          </w:p>
        </w:tc>
      </w:tr>
    </w:tbl>
    <w:p>
      <w:pPr>
        <w:pStyle w:val="ListParagraph"/>
        <w:numPr>
          <w:ilvl w:val="0"/>
          <w:numId w:val="5"/>
        </w:numPr>
        <w:tabs>
          <w:tab w:pos="300" w:val="left" w:leader="none"/>
        </w:tabs>
        <w:spacing w:line="166" w:lineRule="exact" w:before="0" w:after="0"/>
        <w:ind w:left="300" w:right="0" w:hanging="154"/>
        <w:jc w:val="left"/>
        <w:rPr>
          <w:rFonts w:ascii="宋体" w:hAnsi="宋体" w:eastAsia="宋体" w:hint="eastAsia"/>
          <w:sz w:val="16"/>
        </w:rPr>
      </w:pPr>
      <w:r>
        <w:rPr>
          <w:rFonts w:ascii="宋体" w:hAnsi="宋体" w:eastAsia="宋体" w:hint="eastAsia"/>
          <w:spacing w:val="-1"/>
          <w:sz w:val="16"/>
        </w:rPr>
        <w:t>精密度：批内精密度</w:t>
      </w:r>
      <w:r>
        <w:rPr>
          <w:sz w:val="16"/>
        </w:rPr>
        <w:t>Ct</w:t>
      </w:r>
      <w:r>
        <w:rPr>
          <w:spacing w:val="-6"/>
          <w:sz w:val="16"/>
        </w:rPr>
        <w:t> </w:t>
      </w:r>
      <w:r>
        <w:rPr>
          <w:rFonts w:ascii="宋体" w:hAnsi="宋体" w:eastAsia="宋体" w:hint="eastAsia"/>
          <w:spacing w:val="-5"/>
          <w:sz w:val="16"/>
        </w:rPr>
        <w:t>值的变异系数</w:t>
      </w:r>
      <w:r>
        <w:rPr>
          <w:rFonts w:ascii="宋体" w:hAnsi="宋体" w:eastAsia="宋体" w:hint="eastAsia"/>
          <w:spacing w:val="-6"/>
          <w:sz w:val="16"/>
        </w:rPr>
        <w:t>（</w:t>
      </w:r>
      <w:r>
        <w:rPr>
          <w:spacing w:val="-6"/>
          <w:sz w:val="16"/>
        </w:rPr>
        <w:t>CV,%</w:t>
      </w:r>
      <w:r>
        <w:rPr>
          <w:rFonts w:ascii="宋体" w:hAnsi="宋体" w:eastAsia="宋体" w:hint="eastAsia"/>
          <w:spacing w:val="-6"/>
          <w:sz w:val="16"/>
        </w:rPr>
        <w:t>）</w:t>
      </w:r>
      <w:r>
        <w:rPr>
          <w:spacing w:val="-6"/>
          <w:sz w:val="16"/>
        </w:rPr>
        <w:t>≤5%</w:t>
      </w:r>
      <w:r>
        <w:rPr>
          <w:rFonts w:ascii="宋体" w:hAnsi="宋体" w:eastAsia="宋体" w:hint="eastAsia"/>
          <w:sz w:val="16"/>
        </w:rPr>
        <w:t>。</w:t>
      </w:r>
    </w:p>
    <w:p>
      <w:pPr>
        <w:pStyle w:val="ListParagraph"/>
        <w:numPr>
          <w:ilvl w:val="0"/>
          <w:numId w:val="5"/>
        </w:numPr>
        <w:tabs>
          <w:tab w:pos="300" w:val="left" w:leader="none"/>
        </w:tabs>
        <w:spacing w:line="193" w:lineRule="exact" w:before="0" w:after="0"/>
        <w:ind w:left="300" w:right="0" w:hanging="154"/>
        <w:jc w:val="left"/>
        <w:rPr>
          <w:rFonts w:ascii="宋体" w:eastAsia="宋体" w:hint="eastAsia"/>
          <w:sz w:val="16"/>
        </w:rPr>
      </w:pPr>
      <w:r>
        <w:rPr>
          <w:rFonts w:ascii="宋体" w:eastAsia="宋体" w:hint="eastAsia"/>
          <w:spacing w:val="-7"/>
          <w:sz w:val="16"/>
        </w:rPr>
        <w:t>最低检测限：沙眼衣原体、解脲脲原体及淋球菌的最低检出限均为 </w:t>
      </w:r>
      <w:r>
        <w:rPr>
          <w:spacing w:val="-3"/>
          <w:sz w:val="16"/>
        </w:rPr>
        <w:t>400copies/mL</w:t>
      </w:r>
      <w:r>
        <w:rPr>
          <w:rFonts w:ascii="宋体" w:eastAsia="宋体" w:hint="eastAsia"/>
          <w:sz w:val="16"/>
        </w:rPr>
        <w:t>。</w:t>
      </w:r>
    </w:p>
    <w:p>
      <w:pPr>
        <w:pStyle w:val="ListParagraph"/>
        <w:numPr>
          <w:ilvl w:val="0"/>
          <w:numId w:val="5"/>
        </w:numPr>
        <w:tabs>
          <w:tab w:pos="300" w:val="left" w:leader="none"/>
        </w:tabs>
        <w:spacing w:line="193" w:lineRule="exact" w:before="42" w:after="0"/>
        <w:ind w:left="300" w:right="0" w:hanging="154"/>
        <w:jc w:val="left"/>
        <w:rPr>
          <w:rFonts w:ascii="宋体" w:eastAsia="宋体" w:hint="eastAsia"/>
          <w:sz w:val="16"/>
        </w:rPr>
      </w:pPr>
      <w:r>
        <w:rPr>
          <w:rFonts w:ascii="宋体" w:eastAsia="宋体" w:hint="eastAsia"/>
          <w:spacing w:val="-5"/>
          <w:w w:val="100"/>
          <w:sz w:val="16"/>
        </w:rPr>
        <w:br w:type="column"/>
      </w:r>
      <w:r>
        <w:rPr>
          <w:rFonts w:ascii="宋体" w:eastAsia="宋体" w:hint="eastAsia"/>
          <w:spacing w:val="-10"/>
          <w:sz w:val="16"/>
        </w:rPr>
        <w:t>干扰物质：样本含有 </w:t>
      </w:r>
      <w:r>
        <w:rPr>
          <w:sz w:val="16"/>
        </w:rPr>
        <w:t>2g/L</w:t>
      </w:r>
      <w:r>
        <w:rPr>
          <w:spacing w:val="-7"/>
          <w:sz w:val="16"/>
        </w:rPr>
        <w:t> </w:t>
      </w:r>
      <w:r>
        <w:rPr>
          <w:rFonts w:ascii="宋体" w:eastAsia="宋体" w:hint="eastAsia"/>
          <w:spacing w:val="-5"/>
          <w:sz w:val="16"/>
        </w:rPr>
        <w:t>血红蛋白、</w:t>
      </w:r>
      <w:r>
        <w:rPr>
          <w:sz w:val="16"/>
        </w:rPr>
        <w:t>10</w:t>
      </w:r>
      <w:r>
        <w:rPr>
          <w:spacing w:val="15"/>
          <w:sz w:val="16"/>
        </w:rPr>
        <w:t>% </w:t>
      </w:r>
      <w:r>
        <w:rPr>
          <w:rFonts w:ascii="宋体" w:eastAsia="宋体" w:hint="eastAsia"/>
          <w:spacing w:val="-5"/>
          <w:sz w:val="16"/>
        </w:rPr>
        <w:t>粘液对本试剂盒的检测无明显影响。</w:t>
      </w:r>
    </w:p>
    <w:p>
      <w:pPr>
        <w:pStyle w:val="ListParagraph"/>
        <w:numPr>
          <w:ilvl w:val="0"/>
          <w:numId w:val="5"/>
        </w:numPr>
        <w:tabs>
          <w:tab w:pos="300" w:val="left" w:leader="none"/>
        </w:tabs>
        <w:spacing w:line="211" w:lineRule="auto" w:before="7" w:after="0"/>
        <w:ind w:left="146" w:right="122" w:firstLine="0"/>
        <w:jc w:val="left"/>
        <w:rPr>
          <w:rFonts w:ascii="宋体" w:eastAsia="宋体" w:hint="eastAsia"/>
          <w:sz w:val="16"/>
        </w:rPr>
      </w:pPr>
      <w:r>
        <w:rPr>
          <w:rFonts w:ascii="宋体" w:eastAsia="宋体" w:hint="eastAsia"/>
          <w:spacing w:val="-4"/>
          <w:sz w:val="16"/>
        </w:rPr>
        <w:t>临床试验研究结果：临床研究中，对比试剂为国内上市的同类荧光</w:t>
      </w:r>
      <w:r>
        <w:rPr>
          <w:sz w:val="16"/>
        </w:rPr>
        <w:t>PCR</w:t>
      </w:r>
      <w:r>
        <w:rPr>
          <w:spacing w:val="6"/>
          <w:sz w:val="16"/>
        </w:rPr>
        <w:t> </w:t>
      </w:r>
      <w:r>
        <w:rPr>
          <w:rFonts w:ascii="宋体" w:eastAsia="宋体" w:hint="eastAsia"/>
          <w:spacing w:val="-5"/>
          <w:sz w:val="16"/>
        </w:rPr>
        <w:t>检测试剂盒，沙眼衣原体阳性符合率</w:t>
      </w:r>
      <w:r>
        <w:rPr>
          <w:rFonts w:ascii="宋体" w:eastAsia="宋体" w:hint="eastAsia"/>
          <w:spacing w:val="-21"/>
          <w:sz w:val="16"/>
        </w:rPr>
        <w:t>为 </w:t>
      </w:r>
      <w:r>
        <w:rPr>
          <w:spacing w:val="-9"/>
          <w:sz w:val="16"/>
        </w:rPr>
        <w:t>100%</w:t>
      </w:r>
      <w:r>
        <w:rPr>
          <w:rFonts w:ascii="宋体" w:eastAsia="宋体" w:hint="eastAsia"/>
          <w:spacing w:val="-8"/>
          <w:sz w:val="16"/>
        </w:rPr>
        <w:t>，阴性符合率为 </w:t>
      </w:r>
      <w:r>
        <w:rPr>
          <w:spacing w:val="-7"/>
          <w:sz w:val="16"/>
        </w:rPr>
        <w:t>99.46%</w:t>
      </w:r>
      <w:r>
        <w:rPr>
          <w:rFonts w:ascii="宋体" w:eastAsia="宋体" w:hint="eastAsia"/>
          <w:spacing w:val="-8"/>
          <w:sz w:val="16"/>
        </w:rPr>
        <w:t>，总符合率为 </w:t>
      </w:r>
      <w:r>
        <w:rPr>
          <w:spacing w:val="-7"/>
          <w:sz w:val="16"/>
        </w:rPr>
        <w:t>99.63%</w:t>
      </w:r>
      <w:r>
        <w:rPr>
          <w:rFonts w:ascii="宋体" w:eastAsia="宋体" w:hint="eastAsia"/>
          <w:spacing w:val="-6"/>
          <w:sz w:val="16"/>
        </w:rPr>
        <w:t>；解脲脲原体阳性符合率为 </w:t>
      </w:r>
      <w:r>
        <w:rPr>
          <w:spacing w:val="-8"/>
          <w:sz w:val="16"/>
        </w:rPr>
        <w:t>100%</w:t>
      </w:r>
      <w:r>
        <w:rPr>
          <w:rFonts w:ascii="宋体" w:eastAsia="宋体" w:hint="eastAsia"/>
          <w:spacing w:val="-8"/>
          <w:sz w:val="16"/>
        </w:rPr>
        <w:t>，阴性符合率为 </w:t>
      </w:r>
      <w:r>
        <w:rPr>
          <w:sz w:val="16"/>
        </w:rPr>
        <w:t>98.03%</w:t>
      </w:r>
      <w:r>
        <w:rPr>
          <w:rFonts w:ascii="宋体" w:eastAsia="宋体" w:hint="eastAsia"/>
          <w:sz w:val="16"/>
        </w:rPr>
        <w:t>， </w:t>
      </w:r>
      <w:r>
        <w:rPr>
          <w:rFonts w:ascii="宋体" w:eastAsia="宋体" w:hint="eastAsia"/>
          <w:spacing w:val="-8"/>
          <w:sz w:val="16"/>
        </w:rPr>
        <w:t>总符合率为 </w:t>
      </w:r>
      <w:r>
        <w:rPr>
          <w:sz w:val="16"/>
        </w:rPr>
        <w:t>99.13%</w:t>
      </w:r>
      <w:r>
        <w:rPr>
          <w:rFonts w:ascii="宋体" w:eastAsia="宋体" w:hint="eastAsia"/>
          <w:spacing w:val="-4"/>
          <w:sz w:val="16"/>
        </w:rPr>
        <w:t>；淋球菌阳性符合率为 </w:t>
      </w:r>
      <w:r>
        <w:rPr>
          <w:sz w:val="16"/>
        </w:rPr>
        <w:t>98.47%</w:t>
      </w:r>
      <w:r>
        <w:rPr>
          <w:rFonts w:ascii="宋体" w:eastAsia="宋体" w:hint="eastAsia"/>
          <w:spacing w:val="-6"/>
          <w:sz w:val="16"/>
        </w:rPr>
        <w:t>，阴性符合率为 </w:t>
      </w:r>
      <w:r>
        <w:rPr>
          <w:sz w:val="16"/>
        </w:rPr>
        <w:t>100%</w:t>
      </w:r>
      <w:r>
        <w:rPr>
          <w:rFonts w:ascii="宋体" w:eastAsia="宋体" w:hint="eastAsia"/>
          <w:spacing w:val="-6"/>
          <w:sz w:val="16"/>
        </w:rPr>
        <w:t>，总符合率为 </w:t>
      </w:r>
      <w:r>
        <w:rPr>
          <w:sz w:val="16"/>
        </w:rPr>
        <w:t>99.75%</w:t>
      </w:r>
      <w:r>
        <w:rPr>
          <w:rFonts w:ascii="宋体" w:eastAsia="宋体" w:hint="eastAsia"/>
          <w:sz w:val="16"/>
        </w:rPr>
        <w:t>。对检测结果进</w:t>
      </w:r>
      <w:r>
        <w:rPr>
          <w:rFonts w:ascii="宋体" w:eastAsia="宋体" w:hint="eastAsia"/>
          <w:spacing w:val="38"/>
          <w:sz w:val="16"/>
        </w:rPr>
        <w:t>行</w:t>
      </w:r>
      <w:r>
        <w:rPr>
          <w:sz w:val="16"/>
        </w:rPr>
        <w:t>kappa</w:t>
      </w:r>
      <w:r>
        <w:rPr>
          <w:spacing w:val="-2"/>
          <w:sz w:val="16"/>
        </w:rPr>
        <w:t> </w:t>
      </w:r>
      <w:r>
        <w:rPr>
          <w:rFonts w:ascii="宋体" w:eastAsia="宋体" w:hint="eastAsia"/>
          <w:spacing w:val="1"/>
          <w:sz w:val="16"/>
        </w:rPr>
        <w:t>检验一致性分析，结果</w:t>
      </w:r>
      <w:r>
        <w:rPr>
          <w:sz w:val="16"/>
        </w:rPr>
        <w:t>Kappa</w:t>
      </w:r>
      <w:r>
        <w:rPr>
          <w:spacing w:val="-2"/>
          <w:sz w:val="16"/>
        </w:rPr>
        <w:t> </w:t>
      </w:r>
      <w:r>
        <w:rPr>
          <w:rFonts w:ascii="宋体" w:eastAsia="宋体" w:hint="eastAsia"/>
          <w:spacing w:val="-10"/>
          <w:sz w:val="16"/>
        </w:rPr>
        <w:t>值分别为 </w:t>
      </w:r>
      <w:r>
        <w:rPr>
          <w:sz w:val="16"/>
        </w:rPr>
        <w:t>0.991</w:t>
      </w:r>
      <w:r>
        <w:rPr>
          <w:rFonts w:ascii="宋体" w:eastAsia="宋体" w:hint="eastAsia"/>
          <w:sz w:val="16"/>
        </w:rPr>
        <w:t>、</w:t>
      </w:r>
      <w:r>
        <w:rPr>
          <w:sz w:val="16"/>
        </w:rPr>
        <w:t>0.982</w:t>
      </w:r>
      <w:r>
        <w:rPr>
          <w:rFonts w:ascii="宋体" w:eastAsia="宋体" w:hint="eastAsia"/>
          <w:spacing w:val="-3"/>
          <w:sz w:val="16"/>
        </w:rPr>
        <w:t>、</w:t>
      </w:r>
      <w:r>
        <w:rPr>
          <w:sz w:val="16"/>
        </w:rPr>
        <w:t>0.991</w:t>
      </w:r>
      <w:r>
        <w:rPr>
          <w:rFonts w:ascii="宋体" w:eastAsia="宋体" w:hint="eastAsia"/>
          <w:sz w:val="16"/>
        </w:rPr>
        <w:t>。</w:t>
      </w:r>
    </w:p>
    <w:p>
      <w:pPr>
        <w:pStyle w:val="Heading1"/>
        <w:spacing w:line="172" w:lineRule="exact"/>
      </w:pPr>
      <w:r>
        <w:rPr/>
        <w:t>【注意事项】</w:t>
      </w:r>
    </w:p>
    <w:p>
      <w:pPr>
        <w:pStyle w:val="ListParagraph"/>
        <w:numPr>
          <w:ilvl w:val="0"/>
          <w:numId w:val="6"/>
        </w:numPr>
        <w:tabs>
          <w:tab w:pos="339" w:val="left" w:leader="none"/>
        </w:tabs>
        <w:spacing w:line="180" w:lineRule="exact" w:before="0" w:after="0"/>
        <w:ind w:left="338" w:right="0" w:hanging="193"/>
        <w:jc w:val="left"/>
        <w:rPr>
          <w:rFonts w:ascii="宋体" w:eastAsia="宋体" w:hint="eastAsia"/>
          <w:sz w:val="16"/>
        </w:rPr>
      </w:pPr>
      <w:r>
        <w:rPr>
          <w:rFonts w:ascii="宋体" w:eastAsia="宋体" w:hint="eastAsia"/>
          <w:spacing w:val="-5"/>
          <w:sz w:val="16"/>
        </w:rPr>
        <w:t>本品仅用于体外诊断，使用前请仔细阅读本说明书。</w:t>
      </w:r>
    </w:p>
    <w:p>
      <w:pPr>
        <w:pStyle w:val="ListParagraph"/>
        <w:numPr>
          <w:ilvl w:val="0"/>
          <w:numId w:val="6"/>
        </w:numPr>
        <w:tabs>
          <w:tab w:pos="339" w:val="left" w:leader="none"/>
        </w:tabs>
        <w:spacing w:line="180" w:lineRule="exact" w:before="0" w:after="0"/>
        <w:ind w:left="338" w:right="0" w:hanging="193"/>
        <w:jc w:val="left"/>
        <w:rPr>
          <w:rFonts w:ascii="宋体" w:eastAsia="宋体" w:hint="eastAsia"/>
          <w:sz w:val="16"/>
        </w:rPr>
      </w:pPr>
      <w:r>
        <w:rPr>
          <w:rFonts w:ascii="宋体" w:eastAsia="宋体" w:hint="eastAsia"/>
          <w:spacing w:val="-5"/>
          <w:sz w:val="16"/>
        </w:rPr>
        <w:t>试验前请熟悉和掌握需使用的各种仪器的操作方法和注意事项，对每次实验进行质量控制。</w:t>
      </w:r>
    </w:p>
    <w:p>
      <w:pPr>
        <w:pStyle w:val="ListParagraph"/>
        <w:numPr>
          <w:ilvl w:val="0"/>
          <w:numId w:val="6"/>
        </w:numPr>
        <w:tabs>
          <w:tab w:pos="339" w:val="left" w:leader="none"/>
        </w:tabs>
        <w:spacing w:line="211" w:lineRule="auto" w:before="7" w:after="0"/>
        <w:ind w:left="460" w:right="119" w:hanging="315"/>
        <w:jc w:val="left"/>
        <w:rPr>
          <w:rFonts w:ascii="宋体" w:eastAsia="宋体" w:hint="eastAsia"/>
          <w:sz w:val="16"/>
        </w:rPr>
      </w:pPr>
      <w:r>
        <w:rPr>
          <w:rFonts w:ascii="宋体" w:eastAsia="宋体" w:hint="eastAsia"/>
          <w:spacing w:val="-8"/>
          <w:sz w:val="16"/>
        </w:rPr>
        <w:t>临床实验室应严格按照《医疗机构临床基因扩增实验室管理办法</w:t>
      </w:r>
      <w:r>
        <w:rPr>
          <w:rFonts w:ascii="宋体" w:eastAsia="宋体" w:hint="eastAsia"/>
          <w:spacing w:val="-111"/>
          <w:sz w:val="16"/>
        </w:rPr>
        <w:t>》</w:t>
      </w:r>
      <w:r>
        <w:rPr>
          <w:rFonts w:ascii="宋体" w:eastAsia="宋体" w:hint="eastAsia"/>
          <w:spacing w:val="-8"/>
          <w:sz w:val="16"/>
        </w:rPr>
        <w:t>（</w:t>
      </w:r>
      <w:r>
        <w:rPr>
          <w:rFonts w:ascii="宋体" w:eastAsia="宋体" w:hint="eastAsia"/>
          <w:spacing w:val="-10"/>
          <w:sz w:val="16"/>
        </w:rPr>
        <w:t>卫办医政发〔</w:t>
      </w:r>
      <w:r>
        <w:rPr>
          <w:spacing w:val="-4"/>
          <w:sz w:val="16"/>
        </w:rPr>
        <w:t>2010</w:t>
      </w:r>
      <w:r>
        <w:rPr>
          <w:rFonts w:ascii="宋体" w:eastAsia="宋体" w:hint="eastAsia"/>
          <w:spacing w:val="-37"/>
          <w:sz w:val="16"/>
        </w:rPr>
        <w:t>〕</w:t>
      </w:r>
      <w:r>
        <w:rPr>
          <w:spacing w:val="-3"/>
          <w:sz w:val="16"/>
        </w:rPr>
        <w:t>194</w:t>
      </w:r>
      <w:r>
        <w:rPr>
          <w:rFonts w:ascii="宋体" w:eastAsia="宋体" w:hint="eastAsia"/>
          <w:spacing w:val="-5"/>
          <w:sz w:val="16"/>
        </w:rPr>
        <w:t>号或现行有效版本</w:t>
      </w:r>
      <w:r>
        <w:rPr>
          <w:rFonts w:ascii="宋体" w:eastAsia="宋体" w:hint="eastAsia"/>
          <w:sz w:val="16"/>
        </w:rPr>
        <w:t>） </w:t>
      </w:r>
      <w:r>
        <w:rPr>
          <w:rFonts w:ascii="宋体" w:eastAsia="宋体" w:hint="eastAsia"/>
          <w:spacing w:val="-5"/>
          <w:sz w:val="16"/>
        </w:rPr>
        <w:t>等有关分子生物学实</w:t>
      </w:r>
    </w:p>
    <w:p>
      <w:pPr>
        <w:pStyle w:val="BodyText"/>
        <w:spacing w:line="173" w:lineRule="exact"/>
        <w:ind w:left="300"/>
      </w:pPr>
      <w:r>
        <w:rPr/>
        <w:t>验室、临床基因扩增实验室的管理规范执行。</w:t>
      </w:r>
    </w:p>
    <w:p>
      <w:pPr>
        <w:pStyle w:val="ListParagraph"/>
        <w:numPr>
          <w:ilvl w:val="0"/>
          <w:numId w:val="6"/>
        </w:numPr>
        <w:tabs>
          <w:tab w:pos="339" w:val="left" w:leader="none"/>
        </w:tabs>
        <w:spacing w:line="211" w:lineRule="auto" w:before="6" w:after="0"/>
        <w:ind w:left="460" w:right="199" w:hanging="315"/>
        <w:jc w:val="left"/>
        <w:rPr>
          <w:rFonts w:ascii="宋体" w:eastAsia="宋体" w:hint="eastAsia"/>
          <w:sz w:val="16"/>
        </w:rPr>
      </w:pPr>
      <w:r>
        <w:rPr>
          <w:rFonts w:ascii="宋体" w:eastAsia="宋体" w:hint="eastAsia"/>
          <w:spacing w:val="-9"/>
          <w:sz w:val="16"/>
        </w:rPr>
        <w:t>所有检测样品应视为具有传染性物质，实验过程中穿工作服，戴一次性手套并经常替换手套以避免样品间的交</w:t>
      </w:r>
      <w:r>
        <w:rPr>
          <w:rFonts w:ascii="宋体" w:eastAsia="宋体" w:hint="eastAsia"/>
          <w:spacing w:val="-5"/>
          <w:sz w:val="16"/>
        </w:rPr>
        <w:t>叉污染；样本操作、</w:t>
      </w:r>
    </w:p>
    <w:p>
      <w:pPr>
        <w:pStyle w:val="BodyText"/>
        <w:spacing w:line="173" w:lineRule="exact"/>
        <w:ind w:left="300"/>
      </w:pPr>
      <w:r>
        <w:rPr>
          <w:spacing w:val="-15"/>
        </w:rPr>
        <w:t>弃物处理均需符合相关法规要求：卫生部《微生物生物医学实验室生物安全通用准则》和《医疗废物管理条例》。</w:t>
      </w:r>
    </w:p>
    <w:p>
      <w:pPr>
        <w:pStyle w:val="ListParagraph"/>
        <w:numPr>
          <w:ilvl w:val="0"/>
          <w:numId w:val="6"/>
        </w:numPr>
        <w:tabs>
          <w:tab w:pos="339" w:val="left" w:leader="none"/>
        </w:tabs>
        <w:spacing w:line="180" w:lineRule="exact" w:before="0" w:after="0"/>
        <w:ind w:left="338" w:right="0" w:hanging="193"/>
        <w:jc w:val="left"/>
        <w:rPr>
          <w:rFonts w:ascii="宋体" w:eastAsia="宋体" w:hint="eastAsia"/>
          <w:sz w:val="16"/>
        </w:rPr>
      </w:pPr>
      <w:r>
        <w:rPr>
          <w:rFonts w:ascii="宋体" w:eastAsia="宋体" w:hint="eastAsia"/>
          <w:spacing w:val="-5"/>
          <w:sz w:val="16"/>
        </w:rPr>
        <w:t>所有的试剂在使用前，均需在室温下充分融化、混匀后使用。</w:t>
      </w:r>
    </w:p>
    <w:p>
      <w:pPr>
        <w:pStyle w:val="ListParagraph"/>
        <w:numPr>
          <w:ilvl w:val="0"/>
          <w:numId w:val="6"/>
        </w:numPr>
        <w:tabs>
          <w:tab w:pos="339" w:val="left" w:leader="none"/>
        </w:tabs>
        <w:spacing w:line="180" w:lineRule="exact" w:before="0" w:after="0"/>
        <w:ind w:left="338" w:right="0" w:hanging="193"/>
        <w:jc w:val="left"/>
        <w:rPr>
          <w:rFonts w:ascii="宋体" w:hAnsi="宋体" w:eastAsia="宋体" w:hint="eastAsia"/>
          <w:sz w:val="16"/>
        </w:rPr>
      </w:pPr>
      <w:r>
        <w:rPr>
          <w:rFonts w:ascii="宋体" w:hAnsi="宋体" w:eastAsia="宋体" w:hint="eastAsia"/>
          <w:spacing w:val="-5"/>
          <w:sz w:val="16"/>
        </w:rPr>
        <w:t>泡沫箱加冰袋运输</w:t>
      </w:r>
      <w:r>
        <w:rPr>
          <w:sz w:val="16"/>
        </w:rPr>
        <w:t>5</w:t>
      </w:r>
      <w:r>
        <w:rPr>
          <w:rFonts w:ascii="宋体" w:hAnsi="宋体" w:eastAsia="宋体" w:hint="eastAsia"/>
          <w:spacing w:val="-5"/>
          <w:sz w:val="16"/>
        </w:rPr>
        <w:t>天温度不高于</w:t>
      </w:r>
      <w:r>
        <w:rPr>
          <w:spacing w:val="-4"/>
          <w:sz w:val="16"/>
        </w:rPr>
        <w:t>20</w:t>
      </w:r>
      <w:r>
        <w:rPr>
          <w:rFonts w:ascii="宋体" w:hAnsi="宋体" w:eastAsia="宋体" w:hint="eastAsia"/>
          <w:spacing w:val="-5"/>
          <w:sz w:val="16"/>
        </w:rPr>
        <w:t>℃不会影响产品效期。</w:t>
      </w:r>
    </w:p>
    <w:p>
      <w:pPr>
        <w:pStyle w:val="Heading1"/>
      </w:pPr>
      <w:r>
        <w:rPr/>
        <w:t>【参考文献】</w:t>
      </w:r>
    </w:p>
    <w:p>
      <w:pPr>
        <w:pStyle w:val="ListParagraph"/>
        <w:numPr>
          <w:ilvl w:val="0"/>
          <w:numId w:val="7"/>
        </w:numPr>
        <w:tabs>
          <w:tab w:pos="404" w:val="left" w:leader="none"/>
        </w:tabs>
        <w:spacing w:line="180" w:lineRule="exact" w:before="0" w:after="0"/>
        <w:ind w:left="403" w:right="0" w:hanging="258"/>
        <w:jc w:val="left"/>
        <w:rPr>
          <w:sz w:val="16"/>
        </w:rPr>
      </w:pPr>
      <w:r>
        <w:rPr>
          <w:rFonts w:ascii="宋体" w:eastAsia="宋体" w:hint="eastAsia"/>
          <w:spacing w:val="-2"/>
          <w:sz w:val="16"/>
        </w:rPr>
        <w:t>李金明</w:t>
      </w:r>
      <w:r>
        <w:rPr>
          <w:spacing w:val="19"/>
          <w:sz w:val="16"/>
        </w:rPr>
        <w:t>. </w:t>
      </w:r>
      <w:r>
        <w:rPr>
          <w:rFonts w:ascii="宋体" w:eastAsia="宋体" w:hint="eastAsia"/>
          <w:spacing w:val="-2"/>
          <w:sz w:val="16"/>
        </w:rPr>
        <w:t>实时荧光</w:t>
      </w:r>
      <w:r>
        <w:rPr>
          <w:sz w:val="16"/>
        </w:rPr>
        <w:t>PCR</w:t>
      </w:r>
      <w:r>
        <w:rPr>
          <w:rFonts w:ascii="宋体" w:eastAsia="宋体" w:hint="eastAsia"/>
          <w:spacing w:val="-2"/>
          <w:sz w:val="16"/>
        </w:rPr>
        <w:t>技术</w:t>
      </w:r>
      <w:r>
        <w:rPr>
          <w:sz w:val="16"/>
        </w:rPr>
        <w:t>[M</w:t>
      </w:r>
      <w:r>
        <w:rPr>
          <w:spacing w:val="10"/>
          <w:sz w:val="16"/>
        </w:rPr>
        <w:t>]. </w:t>
      </w:r>
      <w:r>
        <w:rPr>
          <w:rFonts w:ascii="宋体" w:eastAsia="宋体" w:hint="eastAsia"/>
          <w:spacing w:val="-4"/>
          <w:sz w:val="16"/>
        </w:rPr>
        <w:t>北京：人民军医出版社</w:t>
      </w:r>
      <w:r>
        <w:rPr>
          <w:spacing w:val="-2"/>
          <w:sz w:val="16"/>
        </w:rPr>
        <w:t>, </w:t>
      </w:r>
      <w:hyperlink r:id="rId7">
        <w:r>
          <w:rPr>
            <w:sz w:val="16"/>
          </w:rPr>
          <w:t>2007</w:t>
        </w:r>
      </w:hyperlink>
      <w:r>
        <w:rPr>
          <w:sz w:val="16"/>
        </w:rPr>
        <w:t>:63-65.</w:t>
      </w:r>
    </w:p>
    <w:p>
      <w:pPr>
        <w:pStyle w:val="ListParagraph"/>
        <w:numPr>
          <w:ilvl w:val="0"/>
          <w:numId w:val="7"/>
        </w:numPr>
        <w:tabs>
          <w:tab w:pos="408" w:val="left" w:leader="none"/>
        </w:tabs>
        <w:spacing w:line="223" w:lineRule="auto" w:before="0" w:after="0"/>
        <w:ind w:left="540" w:right="575" w:hanging="394"/>
        <w:jc w:val="left"/>
        <w:rPr>
          <w:sz w:val="16"/>
        </w:rPr>
      </w:pPr>
      <w:hyperlink r:id="rId8">
        <w:r>
          <w:rPr>
            <w:rFonts w:ascii="宋体" w:eastAsia="宋体" w:hint="eastAsia"/>
            <w:spacing w:val="-2"/>
            <w:sz w:val="16"/>
          </w:rPr>
          <w:t>霍虹</w:t>
        </w:r>
      </w:hyperlink>
      <w:r>
        <w:rPr>
          <w:sz w:val="16"/>
        </w:rPr>
        <w:t>,</w:t>
      </w:r>
      <w:hyperlink r:id="rId9">
        <w:r>
          <w:rPr>
            <w:rFonts w:ascii="宋体" w:eastAsia="宋体" w:hint="eastAsia"/>
            <w:spacing w:val="-2"/>
            <w:sz w:val="16"/>
          </w:rPr>
          <w:t>王清涛</w:t>
        </w:r>
      </w:hyperlink>
      <w:r>
        <w:rPr>
          <w:sz w:val="16"/>
        </w:rPr>
        <w:t>,</w:t>
      </w:r>
      <w:hyperlink r:id="rId10">
        <w:r>
          <w:rPr>
            <w:rFonts w:ascii="宋体" w:eastAsia="宋体" w:hint="eastAsia"/>
            <w:spacing w:val="-2"/>
            <w:sz w:val="16"/>
          </w:rPr>
          <w:t>李金明</w:t>
        </w:r>
      </w:hyperlink>
      <w:r>
        <w:rPr>
          <w:spacing w:val="17"/>
          <w:sz w:val="16"/>
        </w:rPr>
        <w:t>. </w:t>
      </w:r>
      <w:hyperlink r:id="rId11">
        <w:r>
          <w:rPr>
            <w:rFonts w:ascii="宋体" w:eastAsia="宋体" w:hint="eastAsia"/>
            <w:spacing w:val="-3"/>
            <w:sz w:val="16"/>
          </w:rPr>
          <w:t>沙眼衣原体聚合酶链反应检测研究进展</w:t>
        </w:r>
      </w:hyperlink>
      <w:r>
        <w:rPr>
          <w:sz w:val="16"/>
        </w:rPr>
        <w:t>[J].</w:t>
      </w:r>
      <w:hyperlink r:id="rId12">
        <w:r>
          <w:rPr>
            <w:rFonts w:ascii="宋体" w:eastAsia="宋体" w:hint="eastAsia"/>
            <w:spacing w:val="-3"/>
            <w:sz w:val="16"/>
          </w:rPr>
          <w:t>中华检验医学杂志</w:t>
        </w:r>
      </w:hyperlink>
      <w:r>
        <w:rPr>
          <w:spacing w:val="-2"/>
          <w:sz w:val="16"/>
        </w:rPr>
        <w:t>, </w:t>
      </w:r>
      <w:r>
        <w:rPr>
          <w:sz w:val="16"/>
        </w:rPr>
        <w:t>2006</w:t>
      </w:r>
      <w:r>
        <w:rPr>
          <w:spacing w:val="-4"/>
          <w:sz w:val="16"/>
        </w:rPr>
        <w:t>. </w:t>
      </w:r>
      <w:r>
        <w:rPr>
          <w:spacing w:val="-3"/>
          <w:sz w:val="16"/>
        </w:rPr>
        <w:t>29(11</w:t>
      </w:r>
      <w:r>
        <w:rPr>
          <w:spacing w:val="-5"/>
          <w:sz w:val="16"/>
        </w:rPr>
        <w:t>): </w:t>
      </w:r>
      <w:r>
        <w:rPr>
          <w:sz w:val="16"/>
        </w:rPr>
        <w:t>1038- 1040.</w:t>
      </w:r>
    </w:p>
    <w:p>
      <w:pPr>
        <w:pStyle w:val="ListParagraph"/>
        <w:numPr>
          <w:ilvl w:val="0"/>
          <w:numId w:val="7"/>
        </w:numPr>
        <w:tabs>
          <w:tab w:pos="432" w:val="left" w:leader="none"/>
        </w:tabs>
        <w:spacing w:line="211" w:lineRule="auto" w:before="5" w:after="0"/>
        <w:ind w:left="386" w:right="196" w:hanging="240"/>
        <w:jc w:val="left"/>
        <w:rPr>
          <w:sz w:val="16"/>
        </w:rPr>
      </w:pPr>
      <w:r>
        <w:rPr/>
        <w:tab/>
      </w:r>
      <w:r>
        <w:rPr>
          <w:rFonts w:ascii="宋体" w:eastAsia="宋体" w:hint="eastAsia"/>
          <w:spacing w:val="19"/>
          <w:sz w:val="16"/>
        </w:rPr>
        <w:t>元春花</w:t>
      </w:r>
      <w:r>
        <w:rPr>
          <w:spacing w:val="-10"/>
          <w:sz w:val="16"/>
        </w:rPr>
        <w:t>, </w:t>
      </w:r>
      <w:r>
        <w:rPr>
          <w:rFonts w:ascii="宋体" w:eastAsia="宋体" w:hint="eastAsia"/>
          <w:spacing w:val="20"/>
          <w:sz w:val="16"/>
        </w:rPr>
        <w:t>郭辉</w:t>
      </w:r>
      <w:r>
        <w:rPr>
          <w:spacing w:val="-9"/>
          <w:sz w:val="16"/>
        </w:rPr>
        <w:t>, </w:t>
      </w:r>
      <w:r>
        <w:rPr>
          <w:rFonts w:ascii="宋体" w:eastAsia="宋体" w:hint="eastAsia"/>
          <w:spacing w:val="19"/>
          <w:sz w:val="16"/>
        </w:rPr>
        <w:t>吕荣菊等</w:t>
      </w:r>
      <w:r>
        <w:rPr>
          <w:spacing w:val="-9"/>
          <w:sz w:val="16"/>
        </w:rPr>
        <w:t>. </w:t>
      </w:r>
      <w:r>
        <w:rPr>
          <w:rFonts w:ascii="宋体" w:eastAsia="宋体" w:hint="eastAsia"/>
          <w:spacing w:val="2"/>
          <w:sz w:val="16"/>
        </w:rPr>
        <w:t>实时 </w:t>
      </w:r>
      <w:r>
        <w:rPr>
          <w:sz w:val="16"/>
        </w:rPr>
        <w:t>FQ-PCR</w:t>
      </w:r>
      <w:r>
        <w:rPr>
          <w:spacing w:val="27"/>
          <w:sz w:val="16"/>
        </w:rPr>
        <w:t> </w:t>
      </w:r>
      <w:r>
        <w:rPr>
          <w:rFonts w:ascii="宋体" w:eastAsia="宋体" w:hint="eastAsia"/>
          <w:spacing w:val="19"/>
          <w:sz w:val="16"/>
        </w:rPr>
        <w:t>在诊断解脲脲原体感染中的应用研究</w:t>
      </w:r>
      <w:r>
        <w:rPr>
          <w:sz w:val="16"/>
        </w:rPr>
        <w:t>[J</w:t>
      </w:r>
      <w:r>
        <w:rPr>
          <w:spacing w:val="-5"/>
          <w:sz w:val="16"/>
        </w:rPr>
        <w:t>]. </w:t>
      </w:r>
      <w:r>
        <w:rPr>
          <w:rFonts w:ascii="宋体" w:eastAsia="宋体" w:hint="eastAsia"/>
          <w:spacing w:val="16"/>
          <w:sz w:val="16"/>
        </w:rPr>
        <w:t>中国麻风皮肤病杂</w:t>
      </w:r>
      <w:r>
        <w:rPr>
          <w:rFonts w:ascii="宋体" w:eastAsia="宋体" w:hint="eastAsia"/>
          <w:spacing w:val="-3"/>
          <w:sz w:val="16"/>
        </w:rPr>
        <w:t>志</w:t>
      </w:r>
      <w:r>
        <w:rPr>
          <w:sz w:val="16"/>
        </w:rPr>
        <w:t>,2006,22(10</w:t>
      </w:r>
      <w:r>
        <w:rPr>
          <w:spacing w:val="-1"/>
          <w:sz w:val="16"/>
        </w:rPr>
        <w:t>): </w:t>
      </w:r>
      <w:r>
        <w:rPr>
          <w:sz w:val="16"/>
        </w:rPr>
        <w:t>825-827.</w:t>
      </w:r>
    </w:p>
    <w:p>
      <w:pPr>
        <w:pStyle w:val="ListParagraph"/>
        <w:numPr>
          <w:ilvl w:val="0"/>
          <w:numId w:val="7"/>
        </w:numPr>
        <w:tabs>
          <w:tab w:pos="368" w:val="left" w:leader="none"/>
        </w:tabs>
        <w:spacing w:line="235" w:lineRule="auto" w:before="0" w:after="0"/>
        <w:ind w:left="465" w:right="550" w:hanging="320"/>
        <w:jc w:val="left"/>
        <w:rPr>
          <w:sz w:val="16"/>
        </w:rPr>
      </w:pPr>
      <w:hyperlink r:id="rId13">
        <w:r>
          <w:rPr>
            <w:sz w:val="16"/>
          </w:rPr>
          <w:t>Gaydos, CA, Ferrero, </w:t>
        </w:r>
        <w:r>
          <w:rPr>
            <w:spacing w:val="-7"/>
            <w:sz w:val="16"/>
          </w:rPr>
          <w:t>DV, </w:t>
        </w:r>
        <w:r>
          <w:rPr>
            <w:sz w:val="16"/>
          </w:rPr>
          <w:t>Papp, J. Laboratory aspects of screening men for Chlamydia trachomatis in the new</w:t>
        </w:r>
      </w:hyperlink>
      <w:r>
        <w:rPr>
          <w:sz w:val="16"/>
        </w:rPr>
        <w:t> millennium[J]. Sex Transm</w:t>
      </w:r>
      <w:r>
        <w:rPr>
          <w:spacing w:val="-6"/>
          <w:sz w:val="16"/>
        </w:rPr>
        <w:t> </w:t>
      </w:r>
      <w:r>
        <w:rPr>
          <w:sz w:val="16"/>
        </w:rPr>
        <w:t>Dis,2008,35:S45.</w:t>
      </w:r>
    </w:p>
    <w:p>
      <w:pPr>
        <w:pStyle w:val="ListParagraph"/>
        <w:numPr>
          <w:ilvl w:val="0"/>
          <w:numId w:val="7"/>
        </w:numPr>
        <w:tabs>
          <w:tab w:pos="365" w:val="left" w:leader="none"/>
        </w:tabs>
        <w:spacing w:line="235" w:lineRule="auto" w:before="0" w:after="0"/>
        <w:ind w:left="460" w:right="338" w:hanging="315"/>
        <w:jc w:val="left"/>
        <w:rPr>
          <w:sz w:val="16"/>
        </w:rPr>
      </w:pPr>
      <w:r>
        <w:rPr>
          <w:sz w:val="16"/>
        </w:rPr>
        <w:t>Moller J.K., Pedersen L. N., Persson K.Comparison of Gen-Probe Transcription-Mediated Amplification, Abbott PCR, and Roche PCR Assays for Detection of </w:t>
      </w:r>
      <w:r>
        <w:rPr>
          <w:spacing w:val="-3"/>
          <w:sz w:val="16"/>
        </w:rPr>
        <w:t>Wild-Type </w:t>
      </w:r>
      <w:r>
        <w:rPr>
          <w:sz w:val="16"/>
        </w:rPr>
        <w:t>and Mutant Plasmid Strains of Chlamydia trachomatis in Sweden[J]</w:t>
      </w:r>
      <w:r>
        <w:rPr>
          <w:b/>
          <w:sz w:val="16"/>
        </w:rPr>
        <w:t>. </w:t>
      </w:r>
      <w:r>
        <w:rPr>
          <w:sz w:val="16"/>
        </w:rPr>
        <w:t>J Clin Microbiol, 2008; 46(12): 3892 -</w:t>
      </w:r>
      <w:r>
        <w:rPr>
          <w:spacing w:val="-10"/>
          <w:sz w:val="16"/>
        </w:rPr>
        <w:t> </w:t>
      </w:r>
      <w:r>
        <w:rPr>
          <w:sz w:val="16"/>
        </w:rPr>
        <w:t>3895.</w:t>
      </w:r>
    </w:p>
    <w:p>
      <w:pPr>
        <w:pStyle w:val="ListParagraph"/>
        <w:numPr>
          <w:ilvl w:val="0"/>
          <w:numId w:val="7"/>
        </w:numPr>
        <w:tabs>
          <w:tab w:pos="389" w:val="left" w:leader="none"/>
        </w:tabs>
        <w:spacing w:line="228" w:lineRule="auto" w:before="0" w:after="0"/>
        <w:ind w:left="465" w:right="187" w:hanging="320"/>
        <w:jc w:val="both"/>
        <w:rPr>
          <w:sz w:val="16"/>
        </w:rPr>
      </w:pPr>
      <w:r>
        <w:rPr>
          <w:sz w:val="16"/>
        </w:rPr>
        <w:t>Cao Xuan, </w:t>
      </w:r>
      <w:r>
        <w:rPr>
          <w:spacing w:val="-4"/>
          <w:sz w:val="16"/>
        </w:rPr>
        <w:t>Wang Yefu, </w:t>
      </w:r>
      <w:r>
        <w:rPr>
          <w:sz w:val="16"/>
        </w:rPr>
        <w:t>Hu Xingwen, et al. Real-time </w:t>
      </w:r>
      <w:r>
        <w:rPr>
          <w:spacing w:val="-3"/>
          <w:sz w:val="16"/>
        </w:rPr>
        <w:t>TaqMan </w:t>
      </w:r>
      <w:r>
        <w:rPr>
          <w:sz w:val="16"/>
        </w:rPr>
        <w:t>polymerase chain reaction assays for quantitative detection and differentiation of Ureaplasma urealyticum and Ureaplasma parvum[J]. Diagnostic  Microbiology and Infectious Disease,2007,57:</w:t>
      </w:r>
      <w:r>
        <w:rPr>
          <w:spacing w:val="-5"/>
          <w:sz w:val="16"/>
        </w:rPr>
        <w:t> </w:t>
      </w:r>
      <w:r>
        <w:rPr>
          <w:sz w:val="16"/>
        </w:rPr>
        <w:t>373</w:t>
      </w:r>
      <w:r>
        <w:rPr>
          <w:rFonts w:ascii="宋体" w:eastAsia="宋体" w:hint="eastAsia"/>
          <w:sz w:val="16"/>
        </w:rPr>
        <w:t>～</w:t>
      </w:r>
      <w:r>
        <w:rPr>
          <w:sz w:val="16"/>
        </w:rPr>
        <w:t>378.</w:t>
      </w:r>
    </w:p>
    <w:p>
      <w:pPr>
        <w:pStyle w:val="ListParagraph"/>
        <w:numPr>
          <w:ilvl w:val="0"/>
          <w:numId w:val="7"/>
        </w:numPr>
        <w:tabs>
          <w:tab w:pos="384" w:val="left" w:leader="none"/>
        </w:tabs>
        <w:spacing w:line="235" w:lineRule="auto" w:before="0" w:after="0"/>
        <w:ind w:left="465" w:right="178" w:hanging="320"/>
        <w:jc w:val="both"/>
        <w:rPr>
          <w:sz w:val="16"/>
        </w:rPr>
      </w:pPr>
      <w:r>
        <w:rPr>
          <w:sz w:val="16"/>
        </w:rPr>
        <w:t>Boel, C. H. E, C. M. C. van Herk, </w:t>
      </w:r>
      <w:r>
        <w:rPr>
          <w:spacing w:val="-8"/>
          <w:sz w:val="16"/>
        </w:rPr>
        <w:t>P. </w:t>
      </w:r>
      <w:r>
        <w:rPr>
          <w:sz w:val="16"/>
        </w:rPr>
        <w:t>J. M. Berretty, G. H. </w:t>
      </w:r>
      <w:r>
        <w:rPr>
          <w:spacing w:val="-7"/>
          <w:sz w:val="16"/>
        </w:rPr>
        <w:t>W. </w:t>
      </w:r>
      <w:r>
        <w:rPr>
          <w:sz w:val="16"/>
        </w:rPr>
        <w:t>Onland, and A. J. C. van den Brule. Evaluation of conventional and real-time PCR assays using two targets for confirmation of the COBAS AMPLICOR CT/NG test for Neisseria gonorrhoeae in clinical samples[J]. Clin.Microbiol, 2005,</w:t>
      </w:r>
      <w:r>
        <w:rPr>
          <w:spacing w:val="-15"/>
          <w:sz w:val="16"/>
        </w:rPr>
        <w:t> </w:t>
      </w:r>
      <w:r>
        <w:rPr>
          <w:sz w:val="16"/>
        </w:rPr>
        <w:t>43:2231-2235.</w:t>
      </w:r>
    </w:p>
    <w:p>
      <w:pPr>
        <w:pStyle w:val="Heading1"/>
        <w:spacing w:line="178" w:lineRule="exact"/>
      </w:pPr>
      <w:r>
        <w:rPr/>
        <w:t>【基本信息】</w:t>
      </w:r>
    </w:p>
    <w:p>
      <w:pPr>
        <w:pStyle w:val="BodyText"/>
        <w:spacing w:line="211" w:lineRule="auto"/>
        <w:ind w:left="614" w:right="3897"/>
      </w:pPr>
      <w:r>
        <w:rPr>
          <w:spacing w:val="-5"/>
        </w:rPr>
        <w:t>注册人</w:t>
      </w:r>
      <w:r>
        <w:rPr>
          <w:rFonts w:ascii="Times New Roman" w:eastAsia="Times New Roman"/>
          <w:spacing w:val="-4"/>
        </w:rPr>
        <w:t>/</w:t>
      </w:r>
      <w:r>
        <w:rPr>
          <w:spacing w:val="-6"/>
        </w:rPr>
        <w:t>生产企业名称：圣湘生物科技股份有限公司</w:t>
      </w:r>
      <w:r>
        <w:rPr>
          <w:spacing w:val="-8"/>
        </w:rPr>
        <w:t>住所：长沙高新技术产业开发区麓松路 </w:t>
      </w:r>
      <w:r>
        <w:rPr>
          <w:rFonts w:ascii="Times New Roman" w:eastAsia="Times New Roman"/>
        </w:rPr>
        <w:t>680 </w:t>
      </w:r>
      <w:r>
        <w:rPr/>
        <w:t>号</w:t>
      </w:r>
    </w:p>
    <w:p>
      <w:pPr>
        <w:pStyle w:val="BodyText"/>
        <w:tabs>
          <w:tab w:pos="2685" w:val="left" w:leader="none"/>
        </w:tabs>
        <w:spacing w:line="172" w:lineRule="exact"/>
        <w:ind w:left="614"/>
        <w:rPr>
          <w:rFonts w:ascii="Times New Roman" w:eastAsia="Times New Roman"/>
        </w:rPr>
      </w:pPr>
      <w:r>
        <w:rPr>
          <w:spacing w:val="-5"/>
        </w:rPr>
        <w:t>联系方式</w:t>
      </w:r>
      <w:r>
        <w:rPr>
          <w:spacing w:val="-3"/>
        </w:rPr>
        <w:t>：</w:t>
      </w:r>
      <w:r>
        <w:rPr>
          <w:rFonts w:ascii="Times New Roman" w:eastAsia="Times New Roman"/>
          <w:spacing w:val="-3"/>
        </w:rPr>
        <w:t>0731-88883176</w:t>
        <w:tab/>
      </w:r>
      <w:r>
        <w:rPr>
          <w:spacing w:val="-5"/>
        </w:rPr>
        <w:t>传真号码</w:t>
      </w:r>
      <w:r>
        <w:rPr>
          <w:spacing w:val="-3"/>
        </w:rPr>
        <w:t>：</w:t>
      </w:r>
      <w:r>
        <w:rPr>
          <w:rFonts w:ascii="Times New Roman" w:eastAsia="Times New Roman"/>
          <w:spacing w:val="-3"/>
        </w:rPr>
        <w:t>0731-88884876</w:t>
      </w:r>
    </w:p>
    <w:p>
      <w:pPr>
        <w:pStyle w:val="BodyText"/>
        <w:ind w:left="614"/>
      </w:pPr>
      <w:r>
        <w:rPr/>
        <w:t>售后服务单位名称：圣湘生物科技股份有限公司</w:t>
      </w:r>
    </w:p>
    <w:p>
      <w:pPr>
        <w:pStyle w:val="BodyText"/>
        <w:tabs>
          <w:tab w:pos="2685" w:val="left" w:leader="none"/>
        </w:tabs>
        <w:ind w:left="614"/>
        <w:rPr>
          <w:rFonts w:ascii="Times New Roman" w:eastAsia="Times New Roman"/>
        </w:rPr>
      </w:pPr>
      <w:r>
        <w:rPr>
          <w:spacing w:val="-5"/>
        </w:rPr>
        <w:t>联系方式</w:t>
      </w:r>
      <w:r>
        <w:rPr>
          <w:spacing w:val="-3"/>
        </w:rPr>
        <w:t>：</w:t>
      </w:r>
      <w:r>
        <w:rPr>
          <w:rFonts w:ascii="Times New Roman" w:eastAsia="Times New Roman"/>
          <w:spacing w:val="-3"/>
        </w:rPr>
        <w:t>0731-88883176</w:t>
        <w:tab/>
      </w:r>
      <w:r>
        <w:rPr>
          <w:spacing w:val="-5"/>
        </w:rPr>
        <w:t>传真号码</w:t>
      </w:r>
      <w:r>
        <w:rPr>
          <w:spacing w:val="-3"/>
        </w:rPr>
        <w:t>：</w:t>
      </w:r>
      <w:r>
        <w:rPr>
          <w:rFonts w:ascii="Times New Roman" w:eastAsia="Times New Roman"/>
          <w:spacing w:val="-3"/>
        </w:rPr>
        <w:t>0731-88884876</w:t>
      </w:r>
    </w:p>
    <w:p>
      <w:pPr>
        <w:pStyle w:val="BodyText"/>
        <w:ind w:left="614"/>
      </w:pPr>
      <w:r>
        <w:rPr/>
        <w:t>生产地址：长沙高新技术产业开发区麓松路 </w:t>
      </w:r>
      <w:r>
        <w:rPr>
          <w:rFonts w:ascii="Times New Roman" w:eastAsia="Times New Roman"/>
        </w:rPr>
        <w:t>680 </w:t>
      </w:r>
      <w:r>
        <w:rPr/>
        <w:t>号</w:t>
      </w:r>
    </w:p>
    <w:p>
      <w:pPr>
        <w:pStyle w:val="BodyText"/>
        <w:ind w:left="614"/>
      </w:pPr>
      <w:r>
        <w:rPr/>
        <w:t>生产许可证编号：湘食药监械生产许 </w:t>
      </w:r>
      <w:r>
        <w:rPr>
          <w:rFonts w:ascii="Times New Roman" w:eastAsia="Times New Roman"/>
        </w:rPr>
        <w:t>20150036 </w:t>
      </w:r>
      <w:r>
        <w:rPr/>
        <w:t>号</w:t>
      </w:r>
    </w:p>
    <w:p>
      <w:pPr>
        <w:pStyle w:val="Heading1"/>
        <w:spacing w:line="171" w:lineRule="exact"/>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20193400148</w:t>
      </w:r>
    </w:p>
    <w:p>
      <w:pPr>
        <w:spacing w:line="209" w:lineRule="exact" w:before="0"/>
        <w:ind w:left="146" w:right="0" w:firstLine="0"/>
        <w:jc w:val="left"/>
        <w:rPr>
          <w:b/>
          <w:sz w:val="18"/>
        </w:rPr>
      </w:pPr>
      <w:r>
        <w:rPr>
          <w:b/>
          <w:sz w:val="16"/>
        </w:rPr>
        <w:t>【说明书核准日期及修改日期】</w:t>
      </w:r>
      <w:r>
        <w:rPr>
          <w:rFonts w:ascii="Times New Roman" w:eastAsia="Times New Roman"/>
          <w:b/>
          <w:sz w:val="16"/>
        </w:rPr>
        <w:t>2019 </w:t>
      </w:r>
      <w:r>
        <w:rPr>
          <w:b/>
          <w:sz w:val="16"/>
        </w:rPr>
        <w:t>年 </w:t>
      </w:r>
      <w:r>
        <w:rPr>
          <w:rFonts w:ascii="Times New Roman" w:eastAsia="Times New Roman"/>
          <w:b/>
          <w:sz w:val="18"/>
        </w:rPr>
        <w:t>10 </w:t>
      </w:r>
      <w:r>
        <w:rPr>
          <w:b/>
          <w:sz w:val="18"/>
        </w:rPr>
        <w:t>月 </w:t>
      </w:r>
      <w:r>
        <w:rPr>
          <w:rFonts w:ascii="Times New Roman" w:eastAsia="Times New Roman"/>
          <w:b/>
          <w:sz w:val="18"/>
        </w:rPr>
        <w:t>10 </w:t>
      </w:r>
      <w:r>
        <w:rPr>
          <w:b/>
          <w:sz w:val="18"/>
        </w:rPr>
        <w:t>日</w:t>
      </w:r>
    </w:p>
    <w:sectPr>
      <w:pgSz w:w="16840" w:h="11910" w:orient="landscape"/>
      <w:pgMar w:header="462" w:footer="465" w:top="660" w:bottom="660" w:left="420" w:right="360"/>
      <w:cols w:num="2" w:equalWidth="0">
        <w:col w:w="7918" w:space="149"/>
        <w:col w:w="7993"/>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32pt;margin-top:561.029968pt;width:177.95pt;height:12pt;mso-position-horizontal-relative:page;mso-position-vertical-relative:page;z-index:-252355584" type="#_x0000_t202" filled="false" stroked="false">
          <v:textbox inset="0,0,0,0">
            <w:txbxContent>
              <w:p>
                <w:pPr>
                  <w:spacing w:before="0"/>
                  <w:ind w:left="20" w:right="0" w:firstLine="0"/>
                  <w:jc w:val="left"/>
                  <w:rPr>
                    <w:sz w:val="18"/>
                  </w:rPr>
                </w:pPr>
                <w:r>
                  <w:rPr>
                    <w:sz w:val="18"/>
                  </w:rPr>
                  <w:t>沙眼衣原体</w:t>
                </w:r>
                <w:r>
                  <w:rPr>
                    <w:rFonts w:ascii="Times New Roman" w:eastAsia="Times New Roman"/>
                    <w:sz w:val="18"/>
                  </w:rPr>
                  <w:t>/</w:t>
                </w:r>
                <w:r>
                  <w:rPr>
                    <w:sz w:val="18"/>
                  </w:rPr>
                  <w:t>解脲脲原体</w:t>
                </w:r>
                <w:r>
                  <w:rPr>
                    <w:rFonts w:ascii="Times New Roman" w:eastAsia="Times New Roman"/>
                    <w:sz w:val="18"/>
                  </w:rPr>
                  <w:t>/</w:t>
                </w:r>
                <w:r>
                  <w:rPr>
                    <w:spacing w:val="-7"/>
                    <w:sz w:val="18"/>
                  </w:rPr>
                  <w:t>淋球菌说明书 </w:t>
                </w:r>
                <w:r>
                  <w:rPr>
                    <w:rFonts w:ascii="Times New Roman" w:eastAsia="Times New Roman"/>
                    <w:sz w:val="18"/>
                  </w:rPr>
                  <w:t>001 </w:t>
                </w:r>
                <w:r>
                  <w:rPr>
                    <w:sz w:val="18"/>
                  </w:rPr>
                  <w:t>版</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704.599976pt;margin-top:23.115612pt;width:110pt;height:11pt;mso-position-horizontal-relative:page;mso-position-vertical-relative:page;z-index:-252356608" type="#_x0000_t202" filled="false" stroked="false">
          <v:textbox inset="0,0,0,0">
            <w:txbxContent>
              <w:p>
                <w:pPr>
                  <w:spacing w:line="220" w:lineRule="exact" w:before="0"/>
                  <w:ind w:left="20" w:right="0" w:firstLine="0"/>
                  <w:jc w:val="left"/>
                  <w:rPr>
                    <w:sz w:val="18"/>
                  </w:rPr>
                </w:pPr>
                <w:r>
                  <w:rPr>
                    <w:sz w:val="18"/>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403" w:hanging="257"/>
        <w:jc w:val="left"/>
      </w:pPr>
      <w:rPr>
        <w:rFonts w:hint="default" w:ascii="Times New Roman" w:hAnsi="Times New Roman" w:eastAsia="Times New Roman" w:cs="Times New Roman"/>
        <w:spacing w:val="-2"/>
        <w:w w:val="100"/>
        <w:sz w:val="16"/>
        <w:szCs w:val="16"/>
        <w:lang w:val="zh-CN" w:eastAsia="zh-CN" w:bidi="zh-CN"/>
      </w:rPr>
    </w:lvl>
    <w:lvl w:ilvl="1">
      <w:start w:val="0"/>
      <w:numFmt w:val="bullet"/>
      <w:lvlText w:val="•"/>
      <w:lvlJc w:val="left"/>
      <w:pPr>
        <w:ind w:left="1159" w:hanging="257"/>
      </w:pPr>
      <w:rPr>
        <w:rFonts w:hint="default"/>
        <w:lang w:val="zh-CN" w:eastAsia="zh-CN" w:bidi="zh-CN"/>
      </w:rPr>
    </w:lvl>
    <w:lvl w:ilvl="2">
      <w:start w:val="0"/>
      <w:numFmt w:val="bullet"/>
      <w:lvlText w:val="•"/>
      <w:lvlJc w:val="left"/>
      <w:pPr>
        <w:ind w:left="1918" w:hanging="257"/>
      </w:pPr>
      <w:rPr>
        <w:rFonts w:hint="default"/>
        <w:lang w:val="zh-CN" w:eastAsia="zh-CN" w:bidi="zh-CN"/>
      </w:rPr>
    </w:lvl>
    <w:lvl w:ilvl="3">
      <w:start w:val="0"/>
      <w:numFmt w:val="bullet"/>
      <w:lvlText w:val="•"/>
      <w:lvlJc w:val="left"/>
      <w:pPr>
        <w:ind w:left="2677" w:hanging="257"/>
      </w:pPr>
      <w:rPr>
        <w:rFonts w:hint="default"/>
        <w:lang w:val="zh-CN" w:eastAsia="zh-CN" w:bidi="zh-CN"/>
      </w:rPr>
    </w:lvl>
    <w:lvl w:ilvl="4">
      <w:start w:val="0"/>
      <w:numFmt w:val="bullet"/>
      <w:lvlText w:val="•"/>
      <w:lvlJc w:val="left"/>
      <w:pPr>
        <w:ind w:left="3436" w:hanging="257"/>
      </w:pPr>
      <w:rPr>
        <w:rFonts w:hint="default"/>
        <w:lang w:val="zh-CN" w:eastAsia="zh-CN" w:bidi="zh-CN"/>
      </w:rPr>
    </w:lvl>
    <w:lvl w:ilvl="5">
      <w:start w:val="0"/>
      <w:numFmt w:val="bullet"/>
      <w:lvlText w:val="•"/>
      <w:lvlJc w:val="left"/>
      <w:pPr>
        <w:ind w:left="4195" w:hanging="257"/>
      </w:pPr>
      <w:rPr>
        <w:rFonts w:hint="default"/>
        <w:lang w:val="zh-CN" w:eastAsia="zh-CN" w:bidi="zh-CN"/>
      </w:rPr>
    </w:lvl>
    <w:lvl w:ilvl="6">
      <w:start w:val="0"/>
      <w:numFmt w:val="bullet"/>
      <w:lvlText w:val="•"/>
      <w:lvlJc w:val="left"/>
      <w:pPr>
        <w:ind w:left="4954" w:hanging="257"/>
      </w:pPr>
      <w:rPr>
        <w:rFonts w:hint="default"/>
        <w:lang w:val="zh-CN" w:eastAsia="zh-CN" w:bidi="zh-CN"/>
      </w:rPr>
    </w:lvl>
    <w:lvl w:ilvl="7">
      <w:start w:val="0"/>
      <w:numFmt w:val="bullet"/>
      <w:lvlText w:val="•"/>
      <w:lvlJc w:val="left"/>
      <w:pPr>
        <w:ind w:left="5714" w:hanging="257"/>
      </w:pPr>
      <w:rPr>
        <w:rFonts w:hint="default"/>
        <w:lang w:val="zh-CN" w:eastAsia="zh-CN" w:bidi="zh-CN"/>
      </w:rPr>
    </w:lvl>
    <w:lvl w:ilvl="8">
      <w:start w:val="0"/>
      <w:numFmt w:val="bullet"/>
      <w:lvlText w:val="•"/>
      <w:lvlJc w:val="left"/>
      <w:pPr>
        <w:ind w:left="6473" w:hanging="257"/>
      </w:pPr>
      <w:rPr>
        <w:rFonts w:hint="default"/>
        <w:lang w:val="zh-CN" w:eastAsia="zh-CN" w:bidi="zh-CN"/>
      </w:rPr>
    </w:lvl>
  </w:abstractNum>
  <w:abstractNum w:abstractNumId="5">
    <w:multiLevelType w:val="hybridMultilevel"/>
    <w:lvl w:ilvl="0">
      <w:start w:val="1"/>
      <w:numFmt w:val="decimal"/>
      <w:lvlText w:val="%1."/>
      <w:lvlJc w:val="left"/>
      <w:pPr>
        <w:ind w:left="338" w:hanging="192"/>
        <w:jc w:val="left"/>
      </w:pPr>
      <w:rPr>
        <w:rFonts w:hint="default" w:ascii="Times New Roman" w:hAnsi="Times New Roman" w:eastAsia="Times New Roman" w:cs="Times New Roman"/>
        <w:spacing w:val="-2"/>
        <w:w w:val="100"/>
        <w:sz w:val="16"/>
        <w:szCs w:val="16"/>
        <w:lang w:val="zh-CN" w:eastAsia="zh-CN" w:bidi="zh-CN"/>
      </w:rPr>
    </w:lvl>
    <w:lvl w:ilvl="1">
      <w:start w:val="0"/>
      <w:numFmt w:val="bullet"/>
      <w:lvlText w:val="•"/>
      <w:lvlJc w:val="left"/>
      <w:pPr>
        <w:ind w:left="1105" w:hanging="192"/>
      </w:pPr>
      <w:rPr>
        <w:rFonts w:hint="default"/>
        <w:lang w:val="zh-CN" w:eastAsia="zh-CN" w:bidi="zh-CN"/>
      </w:rPr>
    </w:lvl>
    <w:lvl w:ilvl="2">
      <w:start w:val="0"/>
      <w:numFmt w:val="bullet"/>
      <w:lvlText w:val="•"/>
      <w:lvlJc w:val="left"/>
      <w:pPr>
        <w:ind w:left="1870" w:hanging="192"/>
      </w:pPr>
      <w:rPr>
        <w:rFonts w:hint="default"/>
        <w:lang w:val="zh-CN" w:eastAsia="zh-CN" w:bidi="zh-CN"/>
      </w:rPr>
    </w:lvl>
    <w:lvl w:ilvl="3">
      <w:start w:val="0"/>
      <w:numFmt w:val="bullet"/>
      <w:lvlText w:val="•"/>
      <w:lvlJc w:val="left"/>
      <w:pPr>
        <w:ind w:left="2635" w:hanging="192"/>
      </w:pPr>
      <w:rPr>
        <w:rFonts w:hint="default"/>
        <w:lang w:val="zh-CN" w:eastAsia="zh-CN" w:bidi="zh-CN"/>
      </w:rPr>
    </w:lvl>
    <w:lvl w:ilvl="4">
      <w:start w:val="0"/>
      <w:numFmt w:val="bullet"/>
      <w:lvlText w:val="•"/>
      <w:lvlJc w:val="left"/>
      <w:pPr>
        <w:ind w:left="3400" w:hanging="192"/>
      </w:pPr>
      <w:rPr>
        <w:rFonts w:hint="default"/>
        <w:lang w:val="zh-CN" w:eastAsia="zh-CN" w:bidi="zh-CN"/>
      </w:rPr>
    </w:lvl>
    <w:lvl w:ilvl="5">
      <w:start w:val="0"/>
      <w:numFmt w:val="bullet"/>
      <w:lvlText w:val="•"/>
      <w:lvlJc w:val="left"/>
      <w:pPr>
        <w:ind w:left="4165" w:hanging="192"/>
      </w:pPr>
      <w:rPr>
        <w:rFonts w:hint="default"/>
        <w:lang w:val="zh-CN" w:eastAsia="zh-CN" w:bidi="zh-CN"/>
      </w:rPr>
    </w:lvl>
    <w:lvl w:ilvl="6">
      <w:start w:val="0"/>
      <w:numFmt w:val="bullet"/>
      <w:lvlText w:val="•"/>
      <w:lvlJc w:val="left"/>
      <w:pPr>
        <w:ind w:left="4930" w:hanging="192"/>
      </w:pPr>
      <w:rPr>
        <w:rFonts w:hint="default"/>
        <w:lang w:val="zh-CN" w:eastAsia="zh-CN" w:bidi="zh-CN"/>
      </w:rPr>
    </w:lvl>
    <w:lvl w:ilvl="7">
      <w:start w:val="0"/>
      <w:numFmt w:val="bullet"/>
      <w:lvlText w:val="•"/>
      <w:lvlJc w:val="left"/>
      <w:pPr>
        <w:ind w:left="5696" w:hanging="192"/>
      </w:pPr>
      <w:rPr>
        <w:rFonts w:hint="default"/>
        <w:lang w:val="zh-CN" w:eastAsia="zh-CN" w:bidi="zh-CN"/>
      </w:rPr>
    </w:lvl>
    <w:lvl w:ilvl="8">
      <w:start w:val="0"/>
      <w:numFmt w:val="bullet"/>
      <w:lvlText w:val="•"/>
      <w:lvlJc w:val="left"/>
      <w:pPr>
        <w:ind w:left="6461" w:hanging="192"/>
      </w:pPr>
      <w:rPr>
        <w:rFonts w:hint="default"/>
        <w:lang w:val="zh-CN" w:eastAsia="zh-CN" w:bidi="zh-CN"/>
      </w:rPr>
    </w:lvl>
  </w:abstractNum>
  <w:abstractNum w:abstractNumId="4">
    <w:multiLevelType w:val="hybridMultilevel"/>
    <w:lvl w:ilvl="0">
      <w:start w:val="1"/>
      <w:numFmt w:val="decimal"/>
      <w:lvlText w:val="%1"/>
      <w:lvlJc w:val="left"/>
      <w:pPr>
        <w:ind w:left="146" w:hanging="154"/>
        <w:jc w:val="left"/>
      </w:pPr>
      <w:rPr>
        <w:rFonts w:hint="default" w:ascii="Times New Roman" w:hAnsi="Times New Roman" w:eastAsia="Times New Roman" w:cs="Times New Roman"/>
        <w:w w:val="100"/>
        <w:sz w:val="16"/>
        <w:szCs w:val="16"/>
        <w:lang w:val="zh-CN" w:eastAsia="zh-CN" w:bidi="zh-CN"/>
      </w:rPr>
    </w:lvl>
    <w:lvl w:ilvl="1">
      <w:start w:val="0"/>
      <w:numFmt w:val="bullet"/>
      <w:lvlText w:val="•"/>
      <w:lvlJc w:val="left"/>
      <w:pPr>
        <w:ind w:left="917" w:hanging="154"/>
      </w:pPr>
      <w:rPr>
        <w:rFonts w:hint="default"/>
        <w:lang w:val="zh-CN" w:eastAsia="zh-CN" w:bidi="zh-CN"/>
      </w:rPr>
    </w:lvl>
    <w:lvl w:ilvl="2">
      <w:start w:val="0"/>
      <w:numFmt w:val="bullet"/>
      <w:lvlText w:val="•"/>
      <w:lvlJc w:val="left"/>
      <w:pPr>
        <w:ind w:left="1695" w:hanging="154"/>
      </w:pPr>
      <w:rPr>
        <w:rFonts w:hint="default"/>
        <w:lang w:val="zh-CN" w:eastAsia="zh-CN" w:bidi="zh-CN"/>
      </w:rPr>
    </w:lvl>
    <w:lvl w:ilvl="3">
      <w:start w:val="0"/>
      <w:numFmt w:val="bullet"/>
      <w:lvlText w:val="•"/>
      <w:lvlJc w:val="left"/>
      <w:pPr>
        <w:ind w:left="2473" w:hanging="154"/>
      </w:pPr>
      <w:rPr>
        <w:rFonts w:hint="default"/>
        <w:lang w:val="zh-CN" w:eastAsia="zh-CN" w:bidi="zh-CN"/>
      </w:rPr>
    </w:lvl>
    <w:lvl w:ilvl="4">
      <w:start w:val="0"/>
      <w:numFmt w:val="bullet"/>
      <w:lvlText w:val="•"/>
      <w:lvlJc w:val="left"/>
      <w:pPr>
        <w:ind w:left="3250" w:hanging="154"/>
      </w:pPr>
      <w:rPr>
        <w:rFonts w:hint="default"/>
        <w:lang w:val="zh-CN" w:eastAsia="zh-CN" w:bidi="zh-CN"/>
      </w:rPr>
    </w:lvl>
    <w:lvl w:ilvl="5">
      <w:start w:val="0"/>
      <w:numFmt w:val="bullet"/>
      <w:lvlText w:val="•"/>
      <w:lvlJc w:val="left"/>
      <w:pPr>
        <w:ind w:left="4028" w:hanging="154"/>
      </w:pPr>
      <w:rPr>
        <w:rFonts w:hint="default"/>
        <w:lang w:val="zh-CN" w:eastAsia="zh-CN" w:bidi="zh-CN"/>
      </w:rPr>
    </w:lvl>
    <w:lvl w:ilvl="6">
      <w:start w:val="0"/>
      <w:numFmt w:val="bullet"/>
      <w:lvlText w:val="•"/>
      <w:lvlJc w:val="left"/>
      <w:pPr>
        <w:ind w:left="4806" w:hanging="154"/>
      </w:pPr>
      <w:rPr>
        <w:rFonts w:hint="default"/>
        <w:lang w:val="zh-CN" w:eastAsia="zh-CN" w:bidi="zh-CN"/>
      </w:rPr>
    </w:lvl>
    <w:lvl w:ilvl="7">
      <w:start w:val="0"/>
      <w:numFmt w:val="bullet"/>
      <w:lvlText w:val="•"/>
      <w:lvlJc w:val="left"/>
      <w:pPr>
        <w:ind w:left="5583" w:hanging="154"/>
      </w:pPr>
      <w:rPr>
        <w:rFonts w:hint="default"/>
        <w:lang w:val="zh-CN" w:eastAsia="zh-CN" w:bidi="zh-CN"/>
      </w:rPr>
    </w:lvl>
    <w:lvl w:ilvl="8">
      <w:start w:val="0"/>
      <w:numFmt w:val="bullet"/>
      <w:lvlText w:val="•"/>
      <w:lvlJc w:val="left"/>
      <w:pPr>
        <w:ind w:left="6361" w:hanging="154"/>
      </w:pPr>
      <w:rPr>
        <w:rFonts w:hint="default"/>
        <w:lang w:val="zh-CN" w:eastAsia="zh-CN" w:bidi="zh-CN"/>
      </w:rPr>
    </w:lvl>
  </w:abstractNum>
  <w:abstractNum w:abstractNumId="3">
    <w:multiLevelType w:val="hybridMultilevel"/>
    <w:lvl w:ilvl="0">
      <w:start w:val="1"/>
      <w:numFmt w:val="decimal"/>
      <w:lvlText w:val="%1"/>
      <w:lvlJc w:val="left"/>
      <w:pPr>
        <w:ind w:left="146" w:hanging="154"/>
        <w:jc w:val="left"/>
      </w:pPr>
      <w:rPr>
        <w:rFonts w:hint="default" w:ascii="Times New Roman" w:hAnsi="Times New Roman" w:eastAsia="Times New Roman" w:cs="Times New Roman"/>
        <w:w w:val="100"/>
        <w:sz w:val="16"/>
        <w:szCs w:val="16"/>
        <w:lang w:val="zh-CN" w:eastAsia="zh-CN" w:bidi="zh-CN"/>
      </w:rPr>
    </w:lvl>
    <w:lvl w:ilvl="1">
      <w:start w:val="0"/>
      <w:numFmt w:val="bullet"/>
      <w:lvlText w:val="•"/>
      <w:lvlJc w:val="left"/>
      <w:pPr>
        <w:ind w:left="917" w:hanging="154"/>
      </w:pPr>
      <w:rPr>
        <w:rFonts w:hint="default"/>
        <w:lang w:val="zh-CN" w:eastAsia="zh-CN" w:bidi="zh-CN"/>
      </w:rPr>
    </w:lvl>
    <w:lvl w:ilvl="2">
      <w:start w:val="0"/>
      <w:numFmt w:val="bullet"/>
      <w:lvlText w:val="•"/>
      <w:lvlJc w:val="left"/>
      <w:pPr>
        <w:ind w:left="1695" w:hanging="154"/>
      </w:pPr>
      <w:rPr>
        <w:rFonts w:hint="default"/>
        <w:lang w:val="zh-CN" w:eastAsia="zh-CN" w:bidi="zh-CN"/>
      </w:rPr>
    </w:lvl>
    <w:lvl w:ilvl="3">
      <w:start w:val="0"/>
      <w:numFmt w:val="bullet"/>
      <w:lvlText w:val="•"/>
      <w:lvlJc w:val="left"/>
      <w:pPr>
        <w:ind w:left="2473" w:hanging="154"/>
      </w:pPr>
      <w:rPr>
        <w:rFonts w:hint="default"/>
        <w:lang w:val="zh-CN" w:eastAsia="zh-CN" w:bidi="zh-CN"/>
      </w:rPr>
    </w:lvl>
    <w:lvl w:ilvl="4">
      <w:start w:val="0"/>
      <w:numFmt w:val="bullet"/>
      <w:lvlText w:val="•"/>
      <w:lvlJc w:val="left"/>
      <w:pPr>
        <w:ind w:left="3250" w:hanging="154"/>
      </w:pPr>
      <w:rPr>
        <w:rFonts w:hint="default"/>
        <w:lang w:val="zh-CN" w:eastAsia="zh-CN" w:bidi="zh-CN"/>
      </w:rPr>
    </w:lvl>
    <w:lvl w:ilvl="5">
      <w:start w:val="0"/>
      <w:numFmt w:val="bullet"/>
      <w:lvlText w:val="•"/>
      <w:lvlJc w:val="left"/>
      <w:pPr>
        <w:ind w:left="4028" w:hanging="154"/>
      </w:pPr>
      <w:rPr>
        <w:rFonts w:hint="default"/>
        <w:lang w:val="zh-CN" w:eastAsia="zh-CN" w:bidi="zh-CN"/>
      </w:rPr>
    </w:lvl>
    <w:lvl w:ilvl="6">
      <w:start w:val="0"/>
      <w:numFmt w:val="bullet"/>
      <w:lvlText w:val="•"/>
      <w:lvlJc w:val="left"/>
      <w:pPr>
        <w:ind w:left="4806" w:hanging="154"/>
      </w:pPr>
      <w:rPr>
        <w:rFonts w:hint="default"/>
        <w:lang w:val="zh-CN" w:eastAsia="zh-CN" w:bidi="zh-CN"/>
      </w:rPr>
    </w:lvl>
    <w:lvl w:ilvl="7">
      <w:start w:val="0"/>
      <w:numFmt w:val="bullet"/>
      <w:lvlText w:val="•"/>
      <w:lvlJc w:val="left"/>
      <w:pPr>
        <w:ind w:left="5583" w:hanging="154"/>
      </w:pPr>
      <w:rPr>
        <w:rFonts w:hint="default"/>
        <w:lang w:val="zh-CN" w:eastAsia="zh-CN" w:bidi="zh-CN"/>
      </w:rPr>
    </w:lvl>
    <w:lvl w:ilvl="8">
      <w:start w:val="0"/>
      <w:numFmt w:val="bullet"/>
      <w:lvlText w:val="•"/>
      <w:lvlJc w:val="left"/>
      <w:pPr>
        <w:ind w:left="6361" w:hanging="154"/>
      </w:pPr>
      <w:rPr>
        <w:rFonts w:hint="default"/>
        <w:lang w:val="zh-CN" w:eastAsia="zh-CN" w:bidi="zh-CN"/>
      </w:rPr>
    </w:lvl>
  </w:abstractNum>
  <w:abstractNum w:abstractNumId="2">
    <w:multiLevelType w:val="hybridMultilevel"/>
    <w:lvl w:ilvl="0">
      <w:start w:val="1"/>
      <w:numFmt w:val="decimal"/>
      <w:lvlText w:val="%1."/>
      <w:lvlJc w:val="left"/>
      <w:pPr>
        <w:ind w:left="318" w:hanging="192"/>
        <w:jc w:val="left"/>
      </w:pPr>
      <w:rPr>
        <w:rFonts w:hint="default" w:ascii="Times New Roman" w:hAnsi="Times New Roman" w:eastAsia="Times New Roman" w:cs="Times New Roman"/>
        <w:b/>
        <w:bCs/>
        <w:spacing w:val="-2"/>
        <w:w w:val="100"/>
        <w:sz w:val="16"/>
        <w:szCs w:val="16"/>
        <w:lang w:val="zh-CN" w:eastAsia="zh-CN" w:bidi="zh-CN"/>
      </w:rPr>
    </w:lvl>
    <w:lvl w:ilvl="1">
      <w:start w:val="1"/>
      <w:numFmt w:val="decimal"/>
      <w:lvlText w:val="%1.%2"/>
      <w:lvlJc w:val="left"/>
      <w:pPr>
        <w:ind w:left="394" w:hanging="269"/>
        <w:jc w:val="left"/>
      </w:pPr>
      <w:rPr>
        <w:rFonts w:hint="default" w:ascii="Times New Roman" w:hAnsi="Times New Roman" w:eastAsia="Times New Roman" w:cs="Times New Roman"/>
        <w:spacing w:val="-2"/>
        <w:w w:val="100"/>
        <w:sz w:val="16"/>
        <w:szCs w:val="16"/>
        <w:lang w:val="zh-CN" w:eastAsia="zh-CN" w:bidi="zh-CN"/>
      </w:rPr>
    </w:lvl>
    <w:lvl w:ilvl="2">
      <w:start w:val="1"/>
      <w:numFmt w:val="decimal"/>
      <w:lvlText w:val="%1.%2.%3"/>
      <w:lvlJc w:val="left"/>
      <w:pPr>
        <w:ind w:left="474" w:hanging="348"/>
        <w:jc w:val="left"/>
      </w:pPr>
      <w:rPr>
        <w:rFonts w:hint="default" w:ascii="Times New Roman" w:hAnsi="Times New Roman" w:eastAsia="Times New Roman" w:cs="Times New Roman"/>
        <w:spacing w:val="-2"/>
        <w:w w:val="100"/>
        <w:sz w:val="16"/>
        <w:szCs w:val="16"/>
        <w:lang w:val="zh-CN" w:eastAsia="zh-CN" w:bidi="zh-CN"/>
      </w:rPr>
    </w:lvl>
    <w:lvl w:ilvl="3">
      <w:start w:val="0"/>
      <w:numFmt w:val="bullet"/>
      <w:lvlText w:val="•"/>
      <w:lvlJc w:val="left"/>
      <w:pPr>
        <w:ind w:left="440" w:hanging="348"/>
      </w:pPr>
      <w:rPr>
        <w:rFonts w:hint="default"/>
        <w:lang w:val="zh-CN" w:eastAsia="zh-CN" w:bidi="zh-CN"/>
      </w:rPr>
    </w:lvl>
    <w:lvl w:ilvl="4">
      <w:start w:val="0"/>
      <w:numFmt w:val="bullet"/>
      <w:lvlText w:val="•"/>
      <w:lvlJc w:val="left"/>
      <w:pPr>
        <w:ind w:left="480" w:hanging="348"/>
      </w:pPr>
      <w:rPr>
        <w:rFonts w:hint="default"/>
        <w:lang w:val="zh-CN" w:eastAsia="zh-CN" w:bidi="zh-CN"/>
      </w:rPr>
    </w:lvl>
    <w:lvl w:ilvl="5">
      <w:start w:val="0"/>
      <w:numFmt w:val="bullet"/>
      <w:lvlText w:val="•"/>
      <w:lvlJc w:val="left"/>
      <w:pPr>
        <w:ind w:left="371" w:hanging="348"/>
      </w:pPr>
      <w:rPr>
        <w:rFonts w:hint="default"/>
        <w:lang w:val="zh-CN" w:eastAsia="zh-CN" w:bidi="zh-CN"/>
      </w:rPr>
    </w:lvl>
    <w:lvl w:ilvl="6">
      <w:start w:val="0"/>
      <w:numFmt w:val="bullet"/>
      <w:lvlText w:val="•"/>
      <w:lvlJc w:val="left"/>
      <w:pPr>
        <w:ind w:left="263" w:hanging="348"/>
      </w:pPr>
      <w:rPr>
        <w:rFonts w:hint="default"/>
        <w:lang w:val="zh-CN" w:eastAsia="zh-CN" w:bidi="zh-CN"/>
      </w:rPr>
    </w:lvl>
    <w:lvl w:ilvl="7">
      <w:start w:val="0"/>
      <w:numFmt w:val="bullet"/>
      <w:lvlText w:val="•"/>
      <w:lvlJc w:val="left"/>
      <w:pPr>
        <w:ind w:left="155" w:hanging="348"/>
      </w:pPr>
      <w:rPr>
        <w:rFonts w:hint="default"/>
        <w:lang w:val="zh-CN" w:eastAsia="zh-CN" w:bidi="zh-CN"/>
      </w:rPr>
    </w:lvl>
    <w:lvl w:ilvl="8">
      <w:start w:val="0"/>
      <w:numFmt w:val="bullet"/>
      <w:lvlText w:val="•"/>
      <w:lvlJc w:val="left"/>
      <w:pPr>
        <w:ind w:left="46" w:hanging="348"/>
      </w:pPr>
      <w:rPr>
        <w:rFonts w:hint="default"/>
        <w:lang w:val="zh-CN" w:eastAsia="zh-CN" w:bidi="zh-CN"/>
      </w:rPr>
    </w:lvl>
  </w:abstractNum>
  <w:abstractNum w:abstractNumId="1">
    <w:multiLevelType w:val="hybridMultilevel"/>
    <w:lvl w:ilvl="0">
      <w:start w:val="1"/>
      <w:numFmt w:val="decimal"/>
      <w:lvlText w:val="%1."/>
      <w:lvlJc w:val="left"/>
      <w:pPr>
        <w:ind w:left="318" w:hanging="192"/>
        <w:jc w:val="left"/>
      </w:pPr>
      <w:rPr>
        <w:rFonts w:hint="default" w:ascii="Times New Roman" w:hAnsi="Times New Roman" w:eastAsia="Times New Roman" w:cs="Times New Roman"/>
        <w:spacing w:val="-4"/>
        <w:w w:val="100"/>
        <w:sz w:val="16"/>
        <w:szCs w:val="16"/>
        <w:lang w:val="zh-CN" w:eastAsia="zh-CN" w:bidi="zh-CN"/>
      </w:rPr>
    </w:lvl>
    <w:lvl w:ilvl="1">
      <w:start w:val="0"/>
      <w:numFmt w:val="bullet"/>
      <w:lvlText w:val="•"/>
      <w:lvlJc w:val="left"/>
      <w:pPr>
        <w:ind w:left="1085" w:hanging="192"/>
      </w:pPr>
      <w:rPr>
        <w:rFonts w:hint="default"/>
        <w:lang w:val="zh-CN" w:eastAsia="zh-CN" w:bidi="zh-CN"/>
      </w:rPr>
    </w:lvl>
    <w:lvl w:ilvl="2">
      <w:start w:val="0"/>
      <w:numFmt w:val="bullet"/>
      <w:lvlText w:val="•"/>
      <w:lvlJc w:val="left"/>
      <w:pPr>
        <w:ind w:left="1850" w:hanging="192"/>
      </w:pPr>
      <w:rPr>
        <w:rFonts w:hint="default"/>
        <w:lang w:val="zh-CN" w:eastAsia="zh-CN" w:bidi="zh-CN"/>
      </w:rPr>
    </w:lvl>
    <w:lvl w:ilvl="3">
      <w:start w:val="0"/>
      <w:numFmt w:val="bullet"/>
      <w:lvlText w:val="•"/>
      <w:lvlJc w:val="left"/>
      <w:pPr>
        <w:ind w:left="2615" w:hanging="192"/>
      </w:pPr>
      <w:rPr>
        <w:rFonts w:hint="default"/>
        <w:lang w:val="zh-CN" w:eastAsia="zh-CN" w:bidi="zh-CN"/>
      </w:rPr>
    </w:lvl>
    <w:lvl w:ilvl="4">
      <w:start w:val="0"/>
      <w:numFmt w:val="bullet"/>
      <w:lvlText w:val="•"/>
      <w:lvlJc w:val="left"/>
      <w:pPr>
        <w:ind w:left="3380" w:hanging="192"/>
      </w:pPr>
      <w:rPr>
        <w:rFonts w:hint="default"/>
        <w:lang w:val="zh-CN" w:eastAsia="zh-CN" w:bidi="zh-CN"/>
      </w:rPr>
    </w:lvl>
    <w:lvl w:ilvl="5">
      <w:start w:val="0"/>
      <w:numFmt w:val="bullet"/>
      <w:lvlText w:val="•"/>
      <w:lvlJc w:val="left"/>
      <w:pPr>
        <w:ind w:left="4145" w:hanging="192"/>
      </w:pPr>
      <w:rPr>
        <w:rFonts w:hint="default"/>
        <w:lang w:val="zh-CN" w:eastAsia="zh-CN" w:bidi="zh-CN"/>
      </w:rPr>
    </w:lvl>
    <w:lvl w:ilvl="6">
      <w:start w:val="0"/>
      <w:numFmt w:val="bullet"/>
      <w:lvlText w:val="•"/>
      <w:lvlJc w:val="left"/>
      <w:pPr>
        <w:ind w:left="4910" w:hanging="192"/>
      </w:pPr>
      <w:rPr>
        <w:rFonts w:hint="default"/>
        <w:lang w:val="zh-CN" w:eastAsia="zh-CN" w:bidi="zh-CN"/>
      </w:rPr>
    </w:lvl>
    <w:lvl w:ilvl="7">
      <w:start w:val="0"/>
      <w:numFmt w:val="bullet"/>
      <w:lvlText w:val="•"/>
      <w:lvlJc w:val="left"/>
      <w:pPr>
        <w:ind w:left="5675" w:hanging="192"/>
      </w:pPr>
      <w:rPr>
        <w:rFonts w:hint="default"/>
        <w:lang w:val="zh-CN" w:eastAsia="zh-CN" w:bidi="zh-CN"/>
      </w:rPr>
    </w:lvl>
    <w:lvl w:ilvl="8">
      <w:start w:val="0"/>
      <w:numFmt w:val="bullet"/>
      <w:lvlText w:val="•"/>
      <w:lvlJc w:val="left"/>
      <w:pPr>
        <w:ind w:left="6440" w:hanging="192"/>
      </w:pPr>
      <w:rPr>
        <w:rFonts w:hint="default"/>
        <w:lang w:val="zh-CN" w:eastAsia="zh-CN" w:bidi="zh-CN"/>
      </w:rPr>
    </w:lvl>
  </w:abstractNum>
  <w:abstractNum w:abstractNumId="0">
    <w:multiLevelType w:val="hybridMultilevel"/>
    <w:lvl w:ilvl="0">
      <w:start w:val="2"/>
      <w:numFmt w:val="decimal"/>
      <w:lvlText w:val="%1）"/>
      <w:lvlJc w:val="left"/>
      <w:pPr>
        <w:ind w:left="918" w:hanging="239"/>
        <w:jc w:val="left"/>
      </w:pPr>
      <w:rPr>
        <w:rFonts w:hint="default" w:ascii="Times New Roman" w:hAnsi="Times New Roman" w:eastAsia="Times New Roman" w:cs="Times New Roman"/>
        <w:spacing w:val="-5"/>
        <w:w w:val="100"/>
        <w:sz w:val="14"/>
        <w:szCs w:val="14"/>
        <w:lang w:val="zh-CN" w:eastAsia="zh-CN" w:bidi="zh-CN"/>
      </w:rPr>
    </w:lvl>
    <w:lvl w:ilvl="1">
      <w:start w:val="0"/>
      <w:numFmt w:val="bullet"/>
      <w:lvlText w:val="•"/>
      <w:lvlJc w:val="left"/>
      <w:pPr>
        <w:ind w:left="1619" w:hanging="239"/>
      </w:pPr>
      <w:rPr>
        <w:rFonts w:hint="default"/>
        <w:lang w:val="zh-CN" w:eastAsia="zh-CN" w:bidi="zh-CN"/>
      </w:rPr>
    </w:lvl>
    <w:lvl w:ilvl="2">
      <w:start w:val="0"/>
      <w:numFmt w:val="bullet"/>
      <w:lvlText w:val="•"/>
      <w:lvlJc w:val="left"/>
      <w:pPr>
        <w:ind w:left="2319" w:hanging="239"/>
      </w:pPr>
      <w:rPr>
        <w:rFonts w:hint="default"/>
        <w:lang w:val="zh-CN" w:eastAsia="zh-CN" w:bidi="zh-CN"/>
      </w:rPr>
    </w:lvl>
    <w:lvl w:ilvl="3">
      <w:start w:val="0"/>
      <w:numFmt w:val="bullet"/>
      <w:lvlText w:val="•"/>
      <w:lvlJc w:val="left"/>
      <w:pPr>
        <w:ind w:left="3019" w:hanging="239"/>
      </w:pPr>
      <w:rPr>
        <w:rFonts w:hint="default"/>
        <w:lang w:val="zh-CN" w:eastAsia="zh-CN" w:bidi="zh-CN"/>
      </w:rPr>
    </w:lvl>
    <w:lvl w:ilvl="4">
      <w:start w:val="0"/>
      <w:numFmt w:val="bullet"/>
      <w:lvlText w:val="•"/>
      <w:lvlJc w:val="left"/>
      <w:pPr>
        <w:ind w:left="3718" w:hanging="239"/>
      </w:pPr>
      <w:rPr>
        <w:rFonts w:hint="default"/>
        <w:lang w:val="zh-CN" w:eastAsia="zh-CN" w:bidi="zh-CN"/>
      </w:rPr>
    </w:lvl>
    <w:lvl w:ilvl="5">
      <w:start w:val="0"/>
      <w:numFmt w:val="bullet"/>
      <w:lvlText w:val="•"/>
      <w:lvlJc w:val="left"/>
      <w:pPr>
        <w:ind w:left="4418" w:hanging="239"/>
      </w:pPr>
      <w:rPr>
        <w:rFonts w:hint="default"/>
        <w:lang w:val="zh-CN" w:eastAsia="zh-CN" w:bidi="zh-CN"/>
      </w:rPr>
    </w:lvl>
    <w:lvl w:ilvl="6">
      <w:start w:val="0"/>
      <w:numFmt w:val="bullet"/>
      <w:lvlText w:val="•"/>
      <w:lvlJc w:val="left"/>
      <w:pPr>
        <w:ind w:left="5118" w:hanging="239"/>
      </w:pPr>
      <w:rPr>
        <w:rFonts w:hint="default"/>
        <w:lang w:val="zh-CN" w:eastAsia="zh-CN" w:bidi="zh-CN"/>
      </w:rPr>
    </w:lvl>
    <w:lvl w:ilvl="7">
      <w:start w:val="0"/>
      <w:numFmt w:val="bullet"/>
      <w:lvlText w:val="•"/>
      <w:lvlJc w:val="left"/>
      <w:pPr>
        <w:ind w:left="5817" w:hanging="239"/>
      </w:pPr>
      <w:rPr>
        <w:rFonts w:hint="default"/>
        <w:lang w:val="zh-CN" w:eastAsia="zh-CN" w:bidi="zh-CN"/>
      </w:rPr>
    </w:lvl>
    <w:lvl w:ilvl="8">
      <w:start w:val="0"/>
      <w:numFmt w:val="bullet"/>
      <w:lvlText w:val="•"/>
      <w:lvlJc w:val="left"/>
      <w:pPr>
        <w:ind w:left="6517" w:hanging="239"/>
      </w:pPr>
      <w:rPr>
        <w:rFonts w:hint="default"/>
        <w:lang w:val="zh-CN" w:eastAsia="zh-CN" w:bidi="zh-CN"/>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180" w:lineRule="exact"/>
    </w:pPr>
    <w:rPr>
      <w:rFonts w:ascii="宋体" w:hAnsi="宋体" w:eastAsia="宋体" w:cs="宋体"/>
      <w:sz w:val="16"/>
      <w:szCs w:val="16"/>
      <w:lang w:val="zh-CN" w:eastAsia="zh-CN" w:bidi="zh-CN"/>
    </w:rPr>
  </w:style>
  <w:style w:styleId="Heading1" w:type="paragraph">
    <w:name w:val="Heading 1"/>
    <w:basedOn w:val="Normal"/>
    <w:uiPriority w:val="1"/>
    <w:qFormat/>
    <w:pPr>
      <w:spacing w:line="180" w:lineRule="exact"/>
      <w:ind w:left="146"/>
      <w:outlineLvl w:val="1"/>
    </w:pPr>
    <w:rPr>
      <w:rFonts w:ascii="宋体" w:hAnsi="宋体" w:eastAsia="宋体" w:cs="宋体"/>
      <w:b/>
      <w:bCs/>
      <w:sz w:val="16"/>
      <w:szCs w:val="16"/>
      <w:lang w:val="zh-CN" w:eastAsia="zh-CN" w:bidi="zh-CN"/>
    </w:rPr>
  </w:style>
  <w:style w:styleId="ListParagraph" w:type="paragraph">
    <w:name w:val="List Paragraph"/>
    <w:basedOn w:val="Normal"/>
    <w:uiPriority w:val="1"/>
    <w:qFormat/>
    <w:pPr>
      <w:spacing w:line="180" w:lineRule="exact"/>
      <w:ind w:left="300" w:hanging="154"/>
    </w:pPr>
    <w:rPr>
      <w:rFonts w:ascii="Times New Roman" w:hAnsi="Times New Roman" w:eastAsia="Times New Roman" w:cs="Times New Roman"/>
      <w:lang w:val="zh-CN" w:eastAsia="zh-CN" w:bidi="zh-CN"/>
    </w:rPr>
  </w:style>
  <w:style w:styleId="TableParagraph" w:type="paragraph">
    <w:name w:val="Table Paragraph"/>
    <w:basedOn w:val="Normal"/>
    <w:uiPriority w:val="1"/>
    <w:qFormat/>
    <w:pPr>
      <w:spacing w:line="160" w:lineRule="exact"/>
      <w:ind w:left="107"/>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c.wanfangdata.com.cn/periodical/gwyx-pfxbx/2002-2.aspx" TargetMode="External"/><Relationship Id="rId8" Type="http://schemas.openxmlformats.org/officeDocument/2006/relationships/hyperlink" Target="http://epub.cnki.net/grid2008/brief/result2.aspx?dbCatalog=%e4%b8%ad%e5%9b%bd%e5%ad%a6%e6%9c%af%e6%96%87%e7%8c%ae%e7%bd%91%e7%bb%9c%e5%87%ba%e7%89%88%e6%80%bb%e5%ba%93&amp;amp;dbprefix=scdb&amp;amp;showtitle=%27%e9%9c%8d%e8%99%b9%27%e5%9c%a8%e4%b8%ad%e5%9b%bd%e5%ad%a6%e6%9c%af%e6%96%87%e7%8c%ae%e7%bd%91%e7%bb%9c%e5%87%ba%e7%89%88%e6%80%bb%e5%ba%93%e5%8f%91%e8%a1%a8%e7%9a%84%e6%96%87%e7%8c%ae&amp;amp;expertvalue=%e4%bd%9c%e8%80%85%3d%27%e9%9c%8d%e8%99%b9%27&amp;amp;stab=result" TargetMode="External"/><Relationship Id="rId9" Type="http://schemas.openxmlformats.org/officeDocument/2006/relationships/hyperlink" Target="http://epub.cnki.net/grid2008/brief/result2.aspx?dbCatalog=%e4%b8%ad%e5%9b%bd%e5%ad%a6%e6%9c%af%e6%96%87%e7%8c%ae%e7%bd%91%e7%bb%9c%e5%87%ba%e7%89%88%e6%80%bb%e5%ba%93&amp;amp;dbprefix=scdb&amp;amp;showtitle=%27%e7%8e%8b%e6%b8%85%e6%b6%9b%27%e5%9c%a8%e4%b8%ad%e5%9b%bd%e5%ad%a6%e6%9c%af%e6%96%87%e7%8c%ae%e7%bd%91%e7%bb%9c%e5%87%ba%e7%89%88%e6%80%bb%e5%ba%93%e5%8f%91%e8%a1%a8%e7%9a%84%e6%96%87%e7%8c%ae&amp;amp;expertvalue=%e4%bd%9c%e8%80%85%3d%27%e7%8e%8b%e6%b8%85%e6%b6%9b%27&amp;amp;stab=result" TargetMode="External"/><Relationship Id="rId10" Type="http://schemas.openxmlformats.org/officeDocument/2006/relationships/hyperlink" Target="http://epub.cnki.net/grid2008/brief/result2.aspx?dbCatalog=%e4%b8%ad%e5%9b%bd%e5%ad%a6%e6%9c%af%e6%96%87%e7%8c%ae%e7%bd%91%e7%bb%9c%e5%87%ba%e7%89%88%e6%80%bb%e5%ba%93&amp;amp;dbprefix=scdb&amp;amp;showtitle=%27%e6%9d%8e%e9%87%91%e6%98%8e%27%e5%9c%a8%e4%b8%ad%e5%9b%bd%e5%ad%a6%e6%9c%af%e6%96%87%e7%8c%ae%e7%bd%91%e7%bb%9c%e5%87%ba%e7%89%88%e6%80%bb%e5%ba%93%e5%8f%91%e8%a1%a8%e7%9a%84%e6%96%87%e7%8c%ae&amp;amp;expertvalue=%e4%bd%9c%e8%80%85%3d%27%e6%9d%8e%e9%87%91%e6%98%8e%27&amp;amp;stab=result" TargetMode="External"/><Relationship Id="rId11" Type="http://schemas.openxmlformats.org/officeDocument/2006/relationships/hyperlink" Target="http://epub.cnki.net/grid2008/brief/detailj.aspx?&amp;amp;dbCode&amp;amp;index&amp;amp;QueryID=84&amp;amp;CurRec=27" TargetMode="External"/><Relationship Id="rId12" Type="http://schemas.openxmlformats.org/officeDocument/2006/relationships/hyperlink" Target="http://epub.cnki.net/grid2008/brief/SourceJump.aspx?dbCatalog=%e4%b8%ad%e5%9b%bd%e5%ad%a6%e6%9c%af%e6%96%87%e7%8c%ae%e7%bd%91%e7%bb%9c%e5%87%ba%e7%89%88%e6%80%bb%e5%ba%93&amp;amp;showtitle=%e6%9d%a5%e8%87%aa%22%e4%b8%ad%e5%8d%8e%e6%a3%80%e9%aa%8c%e5%8c%bb%e5%ad%a6%e6%9d%82%e5%bf%97%22%e7%9a%84%e6%96%87%e7%8c%ae&amp;amp;dbprefix=scdb&amp;amp;expertvalue=%e6%96%87%e7%8c%ae%e6%9d%a5%e6%ba%90%3d%27%e4%b8%ad%e5%8d%8e%e6%a3%80%e9%aa%8c%e5%8c%bb%e5%ad%a6%e6%9d%82%e5%bf%97%27&amp;amp;stab=result&amp;amp;value=ZHYJ&amp;amp;UnitCode&amp;amp;source=%e6%9c%9f%e5%88%8a" TargetMode="External"/><Relationship Id="rId13" Type="http://schemas.openxmlformats.org/officeDocument/2006/relationships/hyperlink" Target="http://www.uptodate.com/patients/content/abstract.do?topicKey=%7E8LbsmdMwdP&amp;amp;refNum=3" TargetMode="Externa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dc:title>医疗器械注册产品标准</dc:title>
  <dcterms:created xsi:type="dcterms:W3CDTF">2021-04-21T13:46:29Z</dcterms:created>
  <dcterms:modified xsi:type="dcterms:W3CDTF">2021-04-21T13:46:29Z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WPS 文字</vt:lpwstr>
  </property>
  <property fmtid="{D5CDD505-2E9C-101B-9397-08002B2CF9AE}" pid="4" name="LastSaved">
    <vt:filetime>2021-04-21T00:00:00Z</vt:filetime>
  </property>
</Properties>
</file>