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spacing w:line="240" w:lineRule="auto"/>
        <w:ind w:left="0"/>
        <w:rPr>
          <w:rFonts w:ascii="Times New Roman"/>
        </w:rPr>
      </w:pPr>
    </w:p>
    <w:p>
      <w:pPr>
        <w:pStyle w:val="BodyText"/>
        <w:spacing w:line="240" w:lineRule="auto" w:before="3"/>
        <w:ind w:left="0"/>
        <w:rPr>
          <w:rFonts w:ascii="Times New Roman"/>
          <w:sz w:val="17"/>
        </w:rPr>
      </w:pPr>
    </w:p>
    <w:p>
      <w:pPr>
        <w:pStyle w:val="Heading1"/>
        <w:spacing w:line="219" w:lineRule="exact"/>
      </w:pPr>
      <w:r>
        <w:rPr/>
        <w:t>【产品名称】</w:t>
      </w:r>
    </w:p>
    <w:p>
      <w:pPr>
        <w:spacing w:before="75"/>
        <w:ind w:left="127" w:right="0" w:firstLine="0"/>
        <w:jc w:val="left"/>
        <w:rPr>
          <w:b/>
          <w:sz w:val="21"/>
        </w:rPr>
      </w:pPr>
      <w:r>
        <w:rPr/>
        <w:br w:type="column"/>
      </w:r>
      <w:r>
        <w:rPr>
          <w:b/>
          <w:sz w:val="21"/>
        </w:rPr>
        <w:t>乙型肝炎病毒核酸检测试剂盒（</w:t>
      </w:r>
      <w:r>
        <w:rPr>
          <w:rFonts w:ascii="Times New Roman" w:eastAsia="Times New Roman"/>
          <w:b/>
          <w:sz w:val="21"/>
        </w:rPr>
        <w:t>PCR-</w:t>
      </w:r>
      <w:r>
        <w:rPr>
          <w:b/>
          <w:sz w:val="21"/>
        </w:rPr>
        <w:t>荧光法）说明书</w:t>
      </w:r>
    </w:p>
    <w:p>
      <w:pPr>
        <w:spacing w:after="0"/>
        <w:jc w:val="left"/>
        <w:rPr>
          <w:sz w:val="21"/>
        </w:rPr>
        <w:sectPr>
          <w:headerReference w:type="default" r:id="rId5"/>
          <w:footerReference w:type="default" r:id="rId6"/>
          <w:type w:val="continuous"/>
          <w:pgSz w:w="11910" w:h="16840"/>
          <w:pgMar w:header="462" w:footer="480" w:top="680" w:bottom="660" w:left="780" w:right="660"/>
          <w:pgNumType w:start="1"/>
          <w:cols w:num="2" w:equalWidth="0">
            <w:col w:w="1231" w:space="1359"/>
            <w:col w:w="7880"/>
          </w:cols>
        </w:sectPr>
      </w:pPr>
    </w:p>
    <w:p>
      <w:pPr>
        <w:pStyle w:val="BodyText"/>
        <w:spacing w:line="197" w:lineRule="exact"/>
        <w:ind w:left="480"/>
        <w:rPr>
          <w:rFonts w:ascii="Times New Roman" w:eastAsia="Times New Roman"/>
        </w:rPr>
      </w:pPr>
      <w:r>
        <w:rPr/>
        <w:pict>
          <v:line style="position:absolute;mso-position-horizontal-relative:page;mso-position-vertical-relative:page;z-index:251658240" from="45.349998pt,35.710026pt" to="549.949998pt,35.710026pt" stroked="true" strokeweight=".72pt" strokecolor="#000000">
            <v:stroke dashstyle="solid"/>
            <w10:wrap type="none"/>
          </v:line>
        </w:pict>
      </w:r>
      <w:r>
        <w:rPr/>
        <w:t>通用名称：乙型肝炎病毒核酸检测试剂盒</w:t>
      </w:r>
      <w:r>
        <w:rPr>
          <w:rFonts w:ascii="Times New Roman" w:eastAsia="Times New Roman"/>
        </w:rPr>
        <w:t>(PCR-</w:t>
      </w:r>
      <w:r>
        <w:rPr/>
        <w:t>荧光法</w:t>
      </w:r>
      <w:r>
        <w:rPr>
          <w:rFonts w:ascii="Times New Roman" w:eastAsia="Times New Roman"/>
        </w:rPr>
        <w:t>)</w:t>
      </w:r>
    </w:p>
    <w:p>
      <w:pPr>
        <w:spacing w:line="200" w:lineRule="exact" w:before="0"/>
        <w:ind w:left="127" w:right="0" w:firstLine="0"/>
        <w:jc w:val="left"/>
        <w:rPr>
          <w:sz w:val="18"/>
        </w:rPr>
      </w:pPr>
      <w:r>
        <w:rPr>
          <w:b/>
          <w:sz w:val="18"/>
        </w:rPr>
        <w:t>【包装规格】</w:t>
      </w:r>
      <w:r>
        <w:rPr>
          <w:rFonts w:ascii="Times New Roman" w:eastAsia="Times New Roman"/>
          <w:sz w:val="18"/>
        </w:rPr>
        <w:t>48 </w:t>
      </w:r>
      <w:r>
        <w:rPr>
          <w:sz w:val="18"/>
        </w:rPr>
        <w:t>人份</w:t>
      </w:r>
      <w:r>
        <w:rPr>
          <w:rFonts w:ascii="Times New Roman" w:eastAsia="Times New Roman"/>
          <w:sz w:val="18"/>
        </w:rPr>
        <w:t>/</w:t>
      </w:r>
      <w:r>
        <w:rPr>
          <w:sz w:val="18"/>
        </w:rPr>
        <w:t>盒</w:t>
      </w:r>
    </w:p>
    <w:p>
      <w:pPr>
        <w:pStyle w:val="Heading1"/>
        <w:spacing w:line="199" w:lineRule="exact"/>
      </w:pPr>
      <w:r>
        <w:rPr/>
        <w:t>【预期用途】</w:t>
      </w:r>
    </w:p>
    <w:p>
      <w:pPr>
        <w:pStyle w:val="BodyText"/>
        <w:spacing w:line="208" w:lineRule="auto" w:before="7"/>
        <w:ind w:left="484" w:right="153"/>
      </w:pPr>
      <w:r>
        <w:rPr>
          <w:spacing w:val="-11"/>
        </w:rPr>
        <w:t>本试剂用于定量检测人血清、血浆样本中的乙型肝炎病毒</w:t>
      </w:r>
      <w:r>
        <w:rPr>
          <w:spacing w:val="-3"/>
        </w:rPr>
        <w:t>（</w:t>
      </w:r>
      <w:r>
        <w:rPr>
          <w:rFonts w:ascii="Times New Roman" w:eastAsia="Times New Roman"/>
          <w:spacing w:val="-3"/>
        </w:rPr>
        <w:t>hepatitis </w:t>
      </w:r>
      <w:r>
        <w:rPr>
          <w:rFonts w:ascii="Times New Roman" w:eastAsia="Times New Roman"/>
        </w:rPr>
        <w:t>B </w:t>
      </w:r>
      <w:r>
        <w:rPr>
          <w:rFonts w:ascii="Times New Roman" w:eastAsia="Times New Roman"/>
          <w:spacing w:val="-13"/>
        </w:rPr>
        <w:t>virus</w:t>
      </w:r>
      <w:r>
        <w:rPr>
          <w:spacing w:val="-13"/>
        </w:rPr>
        <w:t>，</w:t>
      </w:r>
      <w:r>
        <w:rPr>
          <w:rFonts w:ascii="Times New Roman" w:eastAsia="Times New Roman"/>
          <w:spacing w:val="-13"/>
        </w:rPr>
        <w:t>HBV</w:t>
      </w:r>
      <w:r>
        <w:rPr>
          <w:spacing w:val="-13"/>
        </w:rPr>
        <w:t>）</w:t>
      </w:r>
      <w:r>
        <w:rPr>
          <w:spacing w:val="-5"/>
        </w:rPr>
        <w:t>脱氧核糖核酸</w:t>
      </w:r>
      <w:r>
        <w:rPr>
          <w:rFonts w:ascii="Times New Roman" w:eastAsia="Times New Roman"/>
          <w:spacing w:val="-3"/>
        </w:rPr>
        <w:t>(deoxyribose </w:t>
      </w:r>
      <w:r>
        <w:rPr>
          <w:rFonts w:ascii="Times New Roman" w:eastAsia="Times New Roman"/>
        </w:rPr>
        <w:t>nucleic acid</w:t>
      </w:r>
      <w:r>
        <w:rPr>
          <w:rFonts w:ascii="Times New Roman" w:eastAsia="Times New Roman"/>
          <w:spacing w:val="-3"/>
        </w:rPr>
        <w:t>, DNA)</w:t>
      </w:r>
      <w:r>
        <w:rPr/>
        <w:t>。</w:t>
      </w:r>
      <w:r>
        <w:rPr>
          <w:spacing w:val="-4"/>
        </w:rPr>
        <w:t>用于接受抗病毒治疗的乙型肝炎患者，通过对乙型肝炎患者血中</w:t>
      </w:r>
      <w:r>
        <w:rPr>
          <w:rFonts w:ascii="Times New Roman" w:eastAsia="Times New Roman"/>
        </w:rPr>
        <w:t>HBV DNA </w:t>
      </w:r>
      <w:r>
        <w:rPr>
          <w:spacing w:val="-5"/>
        </w:rPr>
        <w:t>基线水平和变化情况的监测，来评估抗病毒治疗的</w:t>
      </w:r>
    </w:p>
    <w:p>
      <w:pPr>
        <w:pStyle w:val="BodyText"/>
        <w:spacing w:line="206" w:lineRule="auto" w:before="2"/>
        <w:ind w:left="484" w:right="151" w:hanging="358"/>
      </w:pPr>
      <w:r>
        <w:rPr>
          <w:spacing w:val="-8"/>
        </w:rPr>
        <w:t>应答和治疗效果监测。检测结果不得作为患者病情评价的唯一指标，必须结合患者临床表现和其他实验室检测对病情进行综合分析。乙型病毒性肝炎是由乙型肝炎病毒引起的，以肝脏炎性病变为主并可引起多器官损害的一种传染病，临床上以疲乏、食欲减退、</w:t>
      </w:r>
    </w:p>
    <w:p>
      <w:pPr>
        <w:pStyle w:val="BodyText"/>
        <w:spacing w:line="206" w:lineRule="auto" w:before="4"/>
        <w:ind w:right="240"/>
        <w:jc w:val="both"/>
      </w:pPr>
      <w:r>
        <w:rPr>
          <w:spacing w:val="-5"/>
        </w:rPr>
        <w:t>肝肿大、肝功能异常为主要表现。人感染乙型肝炎病毒后，病毒持续未被清除者可能发展为慢性肝炎，如果不进行适当的干预， </w:t>
      </w:r>
      <w:r>
        <w:rPr>
          <w:spacing w:val="-26"/>
        </w:rPr>
        <w:t>约 </w:t>
      </w:r>
      <w:r>
        <w:rPr>
          <w:rFonts w:ascii="Times New Roman" w:eastAsia="Times New Roman"/>
        </w:rPr>
        <w:t>15</w:t>
      </w:r>
      <w:r>
        <w:rPr/>
        <w:t>％～</w:t>
      </w:r>
      <w:r>
        <w:rPr>
          <w:rFonts w:ascii="Times New Roman" w:eastAsia="Times New Roman"/>
        </w:rPr>
        <w:t>40</w:t>
      </w:r>
      <w:r>
        <w:rPr>
          <w:spacing w:val="-8"/>
        </w:rPr>
        <w:t>％的慢性乙型肝炎病毒感染者最终将发生肝硬化、终末期肝病及肝癌，对患者的健康和生命危害极大，己成为严重的社</w:t>
      </w:r>
      <w:r>
        <w:rPr>
          <w:spacing w:val="-5"/>
        </w:rPr>
        <w:t>会和公共卫生问题。</w:t>
      </w:r>
    </w:p>
    <w:p>
      <w:pPr>
        <w:pStyle w:val="BodyText"/>
        <w:spacing w:line="195" w:lineRule="exact"/>
        <w:ind w:left="484"/>
      </w:pPr>
      <w:r>
        <w:rPr/>
        <w:t>本试剂盒不得用于血源筛查。</w:t>
      </w:r>
    </w:p>
    <w:p>
      <w:pPr>
        <w:pStyle w:val="Heading1"/>
        <w:spacing w:line="199" w:lineRule="exact"/>
      </w:pPr>
      <w:r>
        <w:rPr/>
        <w:t>【检验原理】</w:t>
      </w:r>
    </w:p>
    <w:p>
      <w:pPr>
        <w:pStyle w:val="BodyText"/>
        <w:spacing w:line="208" w:lineRule="auto" w:before="8"/>
        <w:ind w:right="148" w:firstLine="357"/>
      </w:pPr>
      <w:r>
        <w:rPr>
          <w:spacing w:val="2"/>
        </w:rPr>
        <w:t>本试剂盒针对</w:t>
      </w:r>
      <w:r>
        <w:rPr>
          <w:rFonts w:ascii="Times New Roman" w:eastAsia="Times New Roman"/>
        </w:rPr>
        <w:t>HBV </w:t>
      </w:r>
      <w:r>
        <w:rPr>
          <w:spacing w:val="-7"/>
        </w:rPr>
        <w:t>核酸保守区设计的特异性引物、特异荧光探针</w:t>
      </w:r>
      <w:r>
        <w:rPr>
          <w:spacing w:val="-5"/>
        </w:rPr>
        <w:t>（</w:t>
      </w:r>
      <w:r>
        <w:rPr>
          <w:rFonts w:ascii="Times New Roman" w:eastAsia="Times New Roman"/>
          <w:spacing w:val="-5"/>
        </w:rPr>
        <w:t>TaqMan </w:t>
      </w:r>
      <w:r>
        <w:rPr>
          <w:spacing w:val="-4"/>
        </w:rPr>
        <w:t>探针</w:t>
      </w:r>
      <w:r>
        <w:rPr>
          <w:spacing w:val="-11"/>
        </w:rPr>
        <w:t>）</w:t>
      </w:r>
      <w:r>
        <w:rPr>
          <w:spacing w:val="8"/>
        </w:rPr>
        <w:t>，配以</w:t>
      </w:r>
      <w:r>
        <w:rPr>
          <w:rFonts w:ascii="Times New Roman" w:eastAsia="Times New Roman"/>
        </w:rPr>
        <w:t>PCR </w:t>
      </w:r>
      <w:r>
        <w:rPr>
          <w:spacing w:val="-2"/>
        </w:rPr>
        <w:t>反应液，在荧光定量</w:t>
      </w:r>
      <w:r>
        <w:rPr>
          <w:rFonts w:ascii="Times New Roman" w:eastAsia="Times New Roman"/>
        </w:rPr>
        <w:t>PCR </w:t>
      </w:r>
      <w:r>
        <w:rPr>
          <w:spacing w:val="-3"/>
        </w:rPr>
        <w:t>仪上， </w:t>
      </w:r>
      <w:r>
        <w:rPr>
          <w:spacing w:val="-6"/>
        </w:rPr>
        <w:t>通过检测荧光信号的变化实现乙型肝炎病毒 </w:t>
      </w:r>
      <w:r>
        <w:rPr>
          <w:rFonts w:ascii="Times New Roman" w:eastAsia="Times New Roman"/>
        </w:rPr>
        <w:t>DNA </w:t>
      </w:r>
      <w:r>
        <w:rPr>
          <w:spacing w:val="-5"/>
        </w:rPr>
        <w:t>的定量检测。</w:t>
      </w:r>
    </w:p>
    <w:p>
      <w:pPr>
        <w:pStyle w:val="BodyText"/>
        <w:spacing w:line="206" w:lineRule="auto" w:before="1"/>
        <w:ind w:left="480" w:right="232"/>
      </w:pPr>
      <w:r>
        <w:rPr>
          <w:spacing w:val="-5"/>
        </w:rPr>
        <w:t>本试剂盒设置了内标系统，内标参与提取和扩增过程，通过检测内标是否正常来监测实验过程是否正常，避免</w:t>
      </w:r>
      <w:r>
        <w:rPr>
          <w:rFonts w:ascii="Times New Roman" w:eastAsia="Times New Roman"/>
        </w:rPr>
        <w:t>PCR </w:t>
      </w:r>
      <w:r>
        <w:rPr>
          <w:spacing w:val="-4"/>
        </w:rPr>
        <w:t>假阴性。本</w:t>
      </w:r>
      <w:r>
        <w:rPr>
          <w:spacing w:val="3"/>
        </w:rPr>
        <w:t>试剂盒设置了</w:t>
      </w:r>
      <w:r>
        <w:rPr>
          <w:rFonts w:ascii="Times New Roman" w:eastAsia="Times New Roman"/>
        </w:rPr>
        <w:t>UNG </w:t>
      </w:r>
      <w:r>
        <w:rPr>
          <w:spacing w:val="-5"/>
        </w:rPr>
        <w:t>酶</w:t>
      </w:r>
      <w:r>
        <w:rPr>
          <w:rFonts w:ascii="Times New Roman" w:eastAsia="Times New Roman"/>
        </w:rPr>
        <w:t>+dUTP </w:t>
      </w:r>
      <w:r>
        <w:rPr>
          <w:spacing w:val="2"/>
        </w:rPr>
        <w:t>防污染措施，利用</w:t>
      </w:r>
      <w:r>
        <w:rPr>
          <w:rFonts w:ascii="Times New Roman" w:eastAsia="Times New Roman"/>
        </w:rPr>
        <w:t>UNG </w:t>
      </w:r>
      <w:r>
        <w:rPr>
          <w:spacing w:val="3"/>
        </w:rPr>
        <w:t>酶将可能存在的</w:t>
      </w:r>
      <w:r>
        <w:rPr>
          <w:rFonts w:ascii="Times New Roman" w:eastAsia="Times New Roman"/>
        </w:rPr>
        <w:t>PCR </w:t>
      </w:r>
      <w:r>
        <w:rPr>
          <w:spacing w:val="-3"/>
        </w:rPr>
        <w:t>产物污染充分降解，以排除由此可能引起的假阳</w:t>
      </w:r>
    </w:p>
    <w:p>
      <w:pPr>
        <w:pStyle w:val="BodyText"/>
        <w:spacing w:line="194" w:lineRule="exact"/>
      </w:pPr>
      <w:r>
        <w:rPr/>
        <w:t>性结果。</w:t>
      </w:r>
    </w:p>
    <w:p>
      <w:pPr>
        <w:pStyle w:val="BodyText"/>
        <w:spacing w:line="199" w:lineRule="exact"/>
        <w:ind w:left="480"/>
      </w:pPr>
      <w:r>
        <w:rPr/>
        <w:t>本试剂盒设置了内参比荧光</w:t>
      </w:r>
      <w:r>
        <w:rPr>
          <w:rFonts w:ascii="Times New Roman" w:eastAsia="Times New Roman"/>
        </w:rPr>
        <w:t>ROX</w:t>
      </w:r>
      <w:r>
        <w:rPr/>
        <w:t>，用于校正加样误差和管间差异，便于</w:t>
      </w:r>
      <w:r>
        <w:rPr>
          <w:rFonts w:ascii="Times New Roman" w:eastAsia="Times New Roman"/>
        </w:rPr>
        <w:t>PCR </w:t>
      </w:r>
      <w:r>
        <w:rPr/>
        <w:t>仪自动分析，使定量更准确。</w:t>
      </w:r>
    </w:p>
    <w:p>
      <w:pPr>
        <w:pStyle w:val="Heading1"/>
        <w:spacing w:line="215" w:lineRule="exact"/>
      </w:pPr>
      <w:r>
        <w:rPr/>
        <w:t>【主要组成成分】</w:t>
      </w:r>
    </w:p>
    <w:tbl>
      <w:tblPr>
        <w:tblW w:w="0" w:type="auto"/>
        <w:jc w:val="left"/>
        <w:tblInd w:w="1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97"/>
        <w:gridCol w:w="2339"/>
        <w:gridCol w:w="1253"/>
        <w:gridCol w:w="3725"/>
      </w:tblGrid>
      <w:tr>
        <w:trPr>
          <w:trHeight w:val="199" w:hRule="atLeast"/>
        </w:trPr>
        <w:tc>
          <w:tcPr>
            <w:tcW w:w="697" w:type="dxa"/>
            <w:tcBorders>
              <w:left w:val="single" w:sz="6" w:space="0" w:color="000000"/>
              <w:bottom w:val="single" w:sz="6" w:space="0" w:color="000000"/>
              <w:right w:val="single" w:sz="6" w:space="0" w:color="000000"/>
            </w:tcBorders>
          </w:tcPr>
          <w:p>
            <w:pPr>
              <w:pStyle w:val="TableParagraph"/>
              <w:ind w:left="148" w:right="134"/>
              <w:rPr>
                <w:sz w:val="18"/>
              </w:rPr>
            </w:pPr>
            <w:r>
              <w:rPr>
                <w:sz w:val="18"/>
              </w:rPr>
              <w:t>序号</w:t>
            </w:r>
          </w:p>
        </w:tc>
        <w:tc>
          <w:tcPr>
            <w:tcW w:w="2339" w:type="dxa"/>
            <w:tcBorders>
              <w:left w:val="single" w:sz="6" w:space="0" w:color="000000"/>
              <w:bottom w:val="single" w:sz="6" w:space="0" w:color="000000"/>
              <w:right w:val="single" w:sz="6" w:space="0" w:color="000000"/>
            </w:tcBorders>
          </w:tcPr>
          <w:p>
            <w:pPr>
              <w:pStyle w:val="TableParagraph"/>
              <w:ind w:left="418" w:right="402"/>
              <w:rPr>
                <w:sz w:val="18"/>
              </w:rPr>
            </w:pPr>
            <w:r>
              <w:rPr>
                <w:sz w:val="18"/>
              </w:rPr>
              <w:t>组成</w:t>
            </w:r>
          </w:p>
        </w:tc>
        <w:tc>
          <w:tcPr>
            <w:tcW w:w="1253" w:type="dxa"/>
            <w:tcBorders>
              <w:left w:val="single" w:sz="6" w:space="0" w:color="000000"/>
              <w:bottom w:val="single" w:sz="6" w:space="0" w:color="000000"/>
            </w:tcBorders>
          </w:tcPr>
          <w:p>
            <w:pPr>
              <w:pStyle w:val="TableParagraph"/>
              <w:ind w:left="156" w:right="144"/>
              <w:rPr>
                <w:sz w:val="18"/>
              </w:rPr>
            </w:pPr>
            <w:r>
              <w:rPr>
                <w:sz w:val="18"/>
              </w:rPr>
              <w:t>规格与装量</w:t>
            </w:r>
          </w:p>
        </w:tc>
        <w:tc>
          <w:tcPr>
            <w:tcW w:w="3725" w:type="dxa"/>
            <w:tcBorders>
              <w:bottom w:val="single" w:sz="6" w:space="0" w:color="000000"/>
              <w:right w:val="single" w:sz="6" w:space="0" w:color="000000"/>
            </w:tcBorders>
          </w:tcPr>
          <w:p>
            <w:pPr>
              <w:pStyle w:val="TableParagraph"/>
              <w:ind w:left="39" w:right="20"/>
              <w:rPr>
                <w:sz w:val="18"/>
              </w:rPr>
            </w:pPr>
            <w:r>
              <w:rPr>
                <w:sz w:val="18"/>
              </w:rPr>
              <w:t>主要成分</w:t>
            </w:r>
          </w:p>
        </w:tc>
      </w:tr>
      <w:tr>
        <w:trPr>
          <w:trHeight w:val="400" w:hRule="atLeast"/>
        </w:trPr>
        <w:tc>
          <w:tcPr>
            <w:tcW w:w="697" w:type="dxa"/>
            <w:tcBorders>
              <w:top w:val="single" w:sz="6" w:space="0" w:color="000000"/>
              <w:left w:val="single" w:sz="6" w:space="0" w:color="000000"/>
              <w:bottom w:val="single" w:sz="6" w:space="0" w:color="000000"/>
              <w:right w:val="single" w:sz="6" w:space="0" w:color="000000"/>
            </w:tcBorders>
          </w:tcPr>
          <w:p>
            <w:pPr>
              <w:pStyle w:val="TableParagraph"/>
              <w:spacing w:line="240" w:lineRule="auto" w:before="82"/>
              <w:rPr>
                <w:rFonts w:ascii="Times New Roman"/>
                <w:sz w:val="18"/>
              </w:rPr>
            </w:pPr>
            <w:r>
              <w:rPr>
                <w:rFonts w:ascii="Times New Roman"/>
                <w:sz w:val="18"/>
              </w:rPr>
              <w:t>1</w:t>
            </w:r>
          </w:p>
        </w:tc>
        <w:tc>
          <w:tcPr>
            <w:tcW w:w="2339" w:type="dxa"/>
            <w:tcBorders>
              <w:top w:val="single" w:sz="6" w:space="0" w:color="000000"/>
              <w:left w:val="single" w:sz="6" w:space="0" w:color="000000"/>
              <w:bottom w:val="single" w:sz="6" w:space="0" w:color="000000"/>
              <w:right w:val="single" w:sz="6" w:space="0" w:color="000000"/>
            </w:tcBorders>
          </w:tcPr>
          <w:p>
            <w:pPr>
              <w:pStyle w:val="TableParagraph"/>
              <w:spacing w:line="240" w:lineRule="auto" w:before="70"/>
              <w:ind w:left="420" w:right="399"/>
              <w:rPr>
                <w:sz w:val="18"/>
              </w:rPr>
            </w:pPr>
            <w:r>
              <w:rPr>
                <w:rFonts w:ascii="Times New Roman" w:eastAsia="Times New Roman"/>
                <w:sz w:val="18"/>
              </w:rPr>
              <w:t>HBV PCR</w:t>
            </w:r>
            <w:r>
              <w:rPr>
                <w:sz w:val="18"/>
              </w:rPr>
              <w:t>反应液</w:t>
            </w:r>
          </w:p>
        </w:tc>
        <w:tc>
          <w:tcPr>
            <w:tcW w:w="1253" w:type="dxa"/>
            <w:tcBorders>
              <w:top w:val="single" w:sz="6" w:space="0" w:color="000000"/>
              <w:left w:val="single" w:sz="6" w:space="0" w:color="000000"/>
              <w:bottom w:val="single" w:sz="6" w:space="0" w:color="000000"/>
            </w:tcBorders>
          </w:tcPr>
          <w:p>
            <w:pPr>
              <w:pStyle w:val="TableParagraph"/>
              <w:spacing w:line="240" w:lineRule="auto" w:before="70"/>
              <w:ind w:left="156" w:right="142"/>
              <w:rPr>
                <w:sz w:val="18"/>
              </w:rPr>
            </w:pPr>
            <w:r>
              <w:rPr>
                <w:rFonts w:ascii="Times New Roman" w:hAnsi="Times New Roman" w:eastAsia="Times New Roman"/>
                <w:sz w:val="18"/>
              </w:rPr>
              <w:t>660μL×2</w:t>
            </w:r>
            <w:r>
              <w:rPr>
                <w:sz w:val="18"/>
              </w:rPr>
              <w:t>管</w:t>
            </w:r>
          </w:p>
        </w:tc>
        <w:tc>
          <w:tcPr>
            <w:tcW w:w="3725" w:type="dxa"/>
            <w:tcBorders>
              <w:top w:val="single" w:sz="6" w:space="0" w:color="000000"/>
              <w:bottom w:val="single" w:sz="6" w:space="0" w:color="000000"/>
              <w:right w:val="single" w:sz="6" w:space="0" w:color="000000"/>
            </w:tcBorders>
          </w:tcPr>
          <w:p>
            <w:pPr>
              <w:pStyle w:val="TableParagraph"/>
              <w:spacing w:line="187" w:lineRule="exact"/>
              <w:ind w:left="51" w:right="20"/>
              <w:rPr>
                <w:sz w:val="18"/>
              </w:rPr>
            </w:pPr>
            <w:r>
              <w:rPr>
                <w:sz w:val="18"/>
              </w:rPr>
              <w:t>引物、探针、脱氧核糖核苷三磷酸、镁离子、</w:t>
            </w:r>
          </w:p>
          <w:p>
            <w:pPr>
              <w:pStyle w:val="TableParagraph"/>
              <w:spacing w:line="193" w:lineRule="exact"/>
              <w:ind w:left="41" w:right="20"/>
              <w:rPr>
                <w:rFonts w:ascii="Times New Roman" w:eastAsia="Times New Roman"/>
                <w:sz w:val="18"/>
              </w:rPr>
            </w:pPr>
            <w:r>
              <w:rPr>
                <w:sz w:val="18"/>
              </w:rPr>
              <w:t>参比荧光、</w:t>
            </w:r>
            <w:r>
              <w:rPr>
                <w:rFonts w:ascii="Times New Roman" w:eastAsia="Times New Roman"/>
                <w:sz w:val="18"/>
              </w:rPr>
              <w:t>PCRbuffer</w:t>
            </w:r>
          </w:p>
        </w:tc>
      </w:tr>
      <w:tr>
        <w:trPr>
          <w:trHeight w:val="200" w:hRule="atLeast"/>
        </w:trPr>
        <w:tc>
          <w:tcPr>
            <w:tcW w:w="697"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8"/>
              </w:rPr>
            </w:pPr>
            <w:r>
              <w:rPr>
                <w:rFonts w:ascii="Times New Roman"/>
                <w:sz w:val="18"/>
              </w:rPr>
              <w:t>2</w:t>
            </w:r>
          </w:p>
        </w:tc>
        <w:tc>
          <w:tcPr>
            <w:tcW w:w="2339" w:type="dxa"/>
            <w:tcBorders>
              <w:top w:val="single" w:sz="6" w:space="0" w:color="000000"/>
              <w:left w:val="single" w:sz="6" w:space="0" w:color="000000"/>
              <w:bottom w:val="single" w:sz="6" w:space="0" w:color="000000"/>
              <w:right w:val="single" w:sz="6" w:space="0" w:color="000000"/>
            </w:tcBorders>
          </w:tcPr>
          <w:p>
            <w:pPr>
              <w:pStyle w:val="TableParagraph"/>
              <w:ind w:left="420" w:right="402"/>
              <w:rPr>
                <w:sz w:val="18"/>
              </w:rPr>
            </w:pPr>
            <w:r>
              <w:rPr>
                <w:rFonts w:ascii="Times New Roman" w:eastAsia="Times New Roman"/>
                <w:sz w:val="18"/>
              </w:rPr>
              <w:t>HBV</w:t>
            </w:r>
            <w:r>
              <w:rPr>
                <w:sz w:val="18"/>
              </w:rPr>
              <w:t>酶混合液</w:t>
            </w:r>
          </w:p>
        </w:tc>
        <w:tc>
          <w:tcPr>
            <w:tcW w:w="1253" w:type="dxa"/>
            <w:tcBorders>
              <w:top w:val="single" w:sz="6" w:space="0" w:color="000000"/>
              <w:left w:val="single" w:sz="6" w:space="0" w:color="000000"/>
              <w:bottom w:val="single" w:sz="6" w:space="0" w:color="000000"/>
            </w:tcBorders>
          </w:tcPr>
          <w:p>
            <w:pPr>
              <w:pStyle w:val="TableParagraph"/>
              <w:ind w:left="156" w:right="142"/>
              <w:rPr>
                <w:sz w:val="18"/>
              </w:rPr>
            </w:pPr>
            <w:r>
              <w:rPr>
                <w:rFonts w:ascii="Times New Roman" w:hAnsi="Times New Roman" w:eastAsia="Times New Roman"/>
                <w:sz w:val="18"/>
              </w:rPr>
              <w:t>120μL×1</w:t>
            </w:r>
            <w:r>
              <w:rPr>
                <w:sz w:val="18"/>
              </w:rPr>
              <w:t>管</w:t>
            </w:r>
          </w:p>
        </w:tc>
        <w:tc>
          <w:tcPr>
            <w:tcW w:w="3725" w:type="dxa"/>
            <w:tcBorders>
              <w:top w:val="single" w:sz="6" w:space="0" w:color="000000"/>
              <w:right w:val="single" w:sz="6" w:space="0" w:color="000000"/>
            </w:tcBorders>
          </w:tcPr>
          <w:p>
            <w:pPr>
              <w:pStyle w:val="TableParagraph"/>
              <w:ind w:left="44" w:right="20"/>
              <w:rPr>
                <w:sz w:val="18"/>
              </w:rPr>
            </w:pPr>
            <w:r>
              <w:rPr>
                <w:rFonts w:ascii="Times New Roman" w:eastAsia="Times New Roman"/>
                <w:sz w:val="18"/>
              </w:rPr>
              <w:t>Taq</w:t>
            </w:r>
            <w:r>
              <w:rPr>
                <w:sz w:val="18"/>
              </w:rPr>
              <w:t>酶、</w:t>
            </w:r>
            <w:r>
              <w:rPr>
                <w:rFonts w:ascii="Times New Roman" w:eastAsia="Times New Roman"/>
                <w:sz w:val="18"/>
              </w:rPr>
              <w:t>UNG</w:t>
            </w:r>
            <w:r>
              <w:rPr>
                <w:sz w:val="18"/>
              </w:rPr>
              <w:t>酶</w:t>
            </w:r>
          </w:p>
        </w:tc>
      </w:tr>
      <w:tr>
        <w:trPr>
          <w:trHeight w:val="200" w:hRule="atLeast"/>
        </w:trPr>
        <w:tc>
          <w:tcPr>
            <w:tcW w:w="697"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8"/>
              </w:rPr>
            </w:pPr>
            <w:r>
              <w:rPr>
                <w:rFonts w:ascii="Times New Roman"/>
                <w:sz w:val="18"/>
              </w:rPr>
              <w:t>3</w:t>
            </w:r>
          </w:p>
        </w:tc>
        <w:tc>
          <w:tcPr>
            <w:tcW w:w="2339" w:type="dxa"/>
            <w:tcBorders>
              <w:top w:val="single" w:sz="6" w:space="0" w:color="000000"/>
              <w:left w:val="single" w:sz="6" w:space="0" w:color="000000"/>
              <w:bottom w:val="single" w:sz="6" w:space="0" w:color="000000"/>
              <w:right w:val="single" w:sz="6" w:space="0" w:color="000000"/>
            </w:tcBorders>
          </w:tcPr>
          <w:p>
            <w:pPr>
              <w:pStyle w:val="TableParagraph"/>
              <w:ind w:left="420" w:right="401"/>
              <w:rPr>
                <w:rFonts w:ascii="Times New Roman" w:eastAsia="Times New Roman"/>
                <w:sz w:val="18"/>
              </w:rPr>
            </w:pPr>
            <w:r>
              <w:rPr>
                <w:rFonts w:ascii="Times New Roman" w:eastAsia="Times New Roman"/>
                <w:sz w:val="18"/>
              </w:rPr>
              <w:t>HBV</w:t>
            </w:r>
            <w:r>
              <w:rPr>
                <w:sz w:val="18"/>
              </w:rPr>
              <w:t>定量参考品</w:t>
            </w:r>
            <w:r>
              <w:rPr>
                <w:rFonts w:ascii="Times New Roman" w:eastAsia="Times New Roman"/>
                <w:sz w:val="18"/>
              </w:rPr>
              <w:t>A</w:t>
            </w:r>
          </w:p>
        </w:tc>
        <w:tc>
          <w:tcPr>
            <w:tcW w:w="1253" w:type="dxa"/>
            <w:tcBorders>
              <w:top w:val="single" w:sz="6" w:space="0" w:color="000000"/>
              <w:left w:val="single" w:sz="6" w:space="0" w:color="000000"/>
              <w:bottom w:val="single" w:sz="6" w:space="0" w:color="000000"/>
            </w:tcBorders>
          </w:tcPr>
          <w:p>
            <w:pPr>
              <w:pStyle w:val="TableParagraph"/>
              <w:ind w:left="156" w:right="139"/>
              <w:rPr>
                <w:sz w:val="18"/>
              </w:rPr>
            </w:pPr>
            <w:r>
              <w:rPr>
                <w:rFonts w:ascii="Times New Roman" w:hAnsi="Times New Roman" w:eastAsia="Times New Roman"/>
                <w:sz w:val="18"/>
              </w:rPr>
              <w:t>1.2mL×1</w:t>
            </w:r>
            <w:r>
              <w:rPr>
                <w:sz w:val="18"/>
              </w:rPr>
              <w:t>管</w:t>
            </w:r>
          </w:p>
        </w:tc>
        <w:tc>
          <w:tcPr>
            <w:tcW w:w="3725" w:type="dxa"/>
          </w:tcPr>
          <w:p>
            <w:pPr>
              <w:pStyle w:val="TableParagraph"/>
              <w:ind w:left="1115" w:right="1099"/>
              <w:rPr>
                <w:sz w:val="18"/>
              </w:rPr>
            </w:pPr>
            <w:r>
              <w:rPr>
                <w:sz w:val="18"/>
              </w:rPr>
              <w:t>含</w:t>
            </w:r>
            <w:r>
              <w:rPr>
                <w:rFonts w:ascii="Times New Roman" w:eastAsia="Times New Roman"/>
                <w:sz w:val="18"/>
              </w:rPr>
              <w:t>HBV</w:t>
            </w:r>
            <w:r>
              <w:rPr>
                <w:sz w:val="18"/>
              </w:rPr>
              <w:t>片段假病毒</w:t>
            </w:r>
          </w:p>
        </w:tc>
      </w:tr>
      <w:tr>
        <w:trPr>
          <w:trHeight w:val="200" w:hRule="atLeast"/>
        </w:trPr>
        <w:tc>
          <w:tcPr>
            <w:tcW w:w="697"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8"/>
              </w:rPr>
            </w:pPr>
            <w:r>
              <w:rPr>
                <w:rFonts w:ascii="Times New Roman"/>
                <w:sz w:val="18"/>
              </w:rPr>
              <w:t>4</w:t>
            </w:r>
          </w:p>
        </w:tc>
        <w:tc>
          <w:tcPr>
            <w:tcW w:w="2339" w:type="dxa"/>
            <w:tcBorders>
              <w:top w:val="single" w:sz="6" w:space="0" w:color="000000"/>
              <w:left w:val="single" w:sz="6" w:space="0" w:color="000000"/>
              <w:bottom w:val="single" w:sz="6" w:space="0" w:color="000000"/>
              <w:right w:val="single" w:sz="6" w:space="0" w:color="000000"/>
            </w:tcBorders>
          </w:tcPr>
          <w:p>
            <w:pPr>
              <w:pStyle w:val="TableParagraph"/>
              <w:ind w:left="418" w:right="402"/>
              <w:rPr>
                <w:rFonts w:ascii="Times New Roman" w:eastAsia="Times New Roman"/>
                <w:sz w:val="18"/>
              </w:rPr>
            </w:pPr>
            <w:r>
              <w:rPr>
                <w:rFonts w:ascii="Times New Roman" w:eastAsia="Times New Roman"/>
                <w:sz w:val="18"/>
              </w:rPr>
              <w:t>HBV</w:t>
            </w:r>
            <w:r>
              <w:rPr>
                <w:sz w:val="18"/>
              </w:rPr>
              <w:t>定量参考品</w:t>
            </w:r>
            <w:r>
              <w:rPr>
                <w:rFonts w:ascii="Times New Roman" w:eastAsia="Times New Roman"/>
                <w:sz w:val="18"/>
              </w:rPr>
              <w:t>B</w:t>
            </w:r>
          </w:p>
        </w:tc>
        <w:tc>
          <w:tcPr>
            <w:tcW w:w="1253" w:type="dxa"/>
            <w:tcBorders>
              <w:top w:val="single" w:sz="6" w:space="0" w:color="000000"/>
              <w:left w:val="single" w:sz="6" w:space="0" w:color="000000"/>
              <w:bottom w:val="single" w:sz="6" w:space="0" w:color="000000"/>
            </w:tcBorders>
          </w:tcPr>
          <w:p>
            <w:pPr>
              <w:pStyle w:val="TableParagraph"/>
              <w:ind w:left="156" w:right="139"/>
              <w:rPr>
                <w:sz w:val="18"/>
              </w:rPr>
            </w:pPr>
            <w:r>
              <w:rPr>
                <w:rFonts w:ascii="Times New Roman" w:hAnsi="Times New Roman" w:eastAsia="Times New Roman"/>
                <w:sz w:val="18"/>
              </w:rPr>
              <w:t>1.2mL×1</w:t>
            </w:r>
            <w:r>
              <w:rPr>
                <w:sz w:val="18"/>
              </w:rPr>
              <w:t>管</w:t>
            </w:r>
          </w:p>
        </w:tc>
        <w:tc>
          <w:tcPr>
            <w:tcW w:w="3725" w:type="dxa"/>
          </w:tcPr>
          <w:p>
            <w:pPr>
              <w:pStyle w:val="TableParagraph"/>
              <w:ind w:left="1115" w:right="1099"/>
              <w:rPr>
                <w:sz w:val="18"/>
              </w:rPr>
            </w:pPr>
            <w:r>
              <w:rPr>
                <w:sz w:val="18"/>
              </w:rPr>
              <w:t>含</w:t>
            </w:r>
            <w:r>
              <w:rPr>
                <w:rFonts w:ascii="Times New Roman" w:eastAsia="Times New Roman"/>
                <w:sz w:val="18"/>
              </w:rPr>
              <w:t>HBV</w:t>
            </w:r>
            <w:r>
              <w:rPr>
                <w:sz w:val="18"/>
              </w:rPr>
              <w:t>片段假病毒</w:t>
            </w:r>
          </w:p>
        </w:tc>
      </w:tr>
      <w:tr>
        <w:trPr>
          <w:trHeight w:val="200" w:hRule="atLeast"/>
        </w:trPr>
        <w:tc>
          <w:tcPr>
            <w:tcW w:w="697"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8"/>
              </w:rPr>
            </w:pPr>
            <w:r>
              <w:rPr>
                <w:rFonts w:ascii="Times New Roman"/>
                <w:sz w:val="18"/>
              </w:rPr>
              <w:t>5</w:t>
            </w:r>
          </w:p>
        </w:tc>
        <w:tc>
          <w:tcPr>
            <w:tcW w:w="2339" w:type="dxa"/>
            <w:tcBorders>
              <w:top w:val="single" w:sz="6" w:space="0" w:color="000000"/>
              <w:left w:val="single" w:sz="6" w:space="0" w:color="000000"/>
              <w:bottom w:val="single" w:sz="6" w:space="0" w:color="000000"/>
              <w:right w:val="single" w:sz="6" w:space="0" w:color="000000"/>
            </w:tcBorders>
          </w:tcPr>
          <w:p>
            <w:pPr>
              <w:pStyle w:val="TableParagraph"/>
              <w:ind w:left="418" w:right="402"/>
              <w:rPr>
                <w:rFonts w:ascii="Times New Roman" w:eastAsia="Times New Roman"/>
                <w:sz w:val="18"/>
              </w:rPr>
            </w:pPr>
            <w:r>
              <w:rPr>
                <w:rFonts w:ascii="Times New Roman" w:eastAsia="Times New Roman"/>
                <w:sz w:val="18"/>
              </w:rPr>
              <w:t>HBV</w:t>
            </w:r>
            <w:r>
              <w:rPr>
                <w:sz w:val="18"/>
              </w:rPr>
              <w:t>定量参考品</w:t>
            </w:r>
            <w:r>
              <w:rPr>
                <w:rFonts w:ascii="Times New Roman" w:eastAsia="Times New Roman"/>
                <w:sz w:val="18"/>
              </w:rPr>
              <w:t>C</w:t>
            </w:r>
          </w:p>
        </w:tc>
        <w:tc>
          <w:tcPr>
            <w:tcW w:w="1253" w:type="dxa"/>
            <w:tcBorders>
              <w:top w:val="single" w:sz="6" w:space="0" w:color="000000"/>
              <w:left w:val="single" w:sz="6" w:space="0" w:color="000000"/>
              <w:bottom w:val="single" w:sz="6" w:space="0" w:color="000000"/>
            </w:tcBorders>
          </w:tcPr>
          <w:p>
            <w:pPr>
              <w:pStyle w:val="TableParagraph"/>
              <w:ind w:left="156" w:right="139"/>
              <w:rPr>
                <w:sz w:val="18"/>
              </w:rPr>
            </w:pPr>
            <w:r>
              <w:rPr>
                <w:rFonts w:ascii="Times New Roman" w:hAnsi="Times New Roman" w:eastAsia="Times New Roman"/>
                <w:sz w:val="18"/>
              </w:rPr>
              <w:t>1.2mL×1</w:t>
            </w:r>
            <w:r>
              <w:rPr>
                <w:sz w:val="18"/>
              </w:rPr>
              <w:t>管</w:t>
            </w:r>
          </w:p>
        </w:tc>
        <w:tc>
          <w:tcPr>
            <w:tcW w:w="3725" w:type="dxa"/>
          </w:tcPr>
          <w:p>
            <w:pPr>
              <w:pStyle w:val="TableParagraph"/>
              <w:ind w:left="1115" w:right="1099"/>
              <w:rPr>
                <w:sz w:val="18"/>
              </w:rPr>
            </w:pPr>
            <w:r>
              <w:rPr>
                <w:sz w:val="18"/>
              </w:rPr>
              <w:t>含</w:t>
            </w:r>
            <w:r>
              <w:rPr>
                <w:rFonts w:ascii="Times New Roman" w:eastAsia="Times New Roman"/>
                <w:sz w:val="18"/>
              </w:rPr>
              <w:t>HBV</w:t>
            </w:r>
            <w:r>
              <w:rPr>
                <w:sz w:val="18"/>
              </w:rPr>
              <w:t>片段假病毒</w:t>
            </w:r>
          </w:p>
        </w:tc>
      </w:tr>
      <w:tr>
        <w:trPr>
          <w:trHeight w:val="200" w:hRule="atLeast"/>
        </w:trPr>
        <w:tc>
          <w:tcPr>
            <w:tcW w:w="697"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8"/>
              </w:rPr>
            </w:pPr>
            <w:r>
              <w:rPr>
                <w:rFonts w:ascii="Times New Roman"/>
                <w:sz w:val="18"/>
              </w:rPr>
              <w:t>6</w:t>
            </w:r>
          </w:p>
        </w:tc>
        <w:tc>
          <w:tcPr>
            <w:tcW w:w="2339" w:type="dxa"/>
            <w:tcBorders>
              <w:top w:val="single" w:sz="6" w:space="0" w:color="000000"/>
              <w:left w:val="single" w:sz="6" w:space="0" w:color="000000"/>
              <w:bottom w:val="single" w:sz="6" w:space="0" w:color="000000"/>
              <w:right w:val="single" w:sz="6" w:space="0" w:color="000000"/>
            </w:tcBorders>
          </w:tcPr>
          <w:p>
            <w:pPr>
              <w:pStyle w:val="TableParagraph"/>
              <w:ind w:left="420" w:right="401"/>
              <w:rPr>
                <w:rFonts w:ascii="Times New Roman" w:eastAsia="Times New Roman"/>
                <w:sz w:val="18"/>
              </w:rPr>
            </w:pPr>
            <w:r>
              <w:rPr>
                <w:rFonts w:ascii="Times New Roman" w:eastAsia="Times New Roman"/>
                <w:sz w:val="18"/>
              </w:rPr>
              <w:t>HBV</w:t>
            </w:r>
            <w:r>
              <w:rPr>
                <w:sz w:val="18"/>
              </w:rPr>
              <w:t>定量参考品</w:t>
            </w:r>
            <w:r>
              <w:rPr>
                <w:rFonts w:ascii="Times New Roman" w:eastAsia="Times New Roman"/>
                <w:sz w:val="18"/>
              </w:rPr>
              <w:t>D</w:t>
            </w:r>
          </w:p>
        </w:tc>
        <w:tc>
          <w:tcPr>
            <w:tcW w:w="1253" w:type="dxa"/>
            <w:tcBorders>
              <w:top w:val="single" w:sz="6" w:space="0" w:color="000000"/>
              <w:left w:val="single" w:sz="6" w:space="0" w:color="000000"/>
              <w:bottom w:val="single" w:sz="6" w:space="0" w:color="000000"/>
            </w:tcBorders>
          </w:tcPr>
          <w:p>
            <w:pPr>
              <w:pStyle w:val="TableParagraph"/>
              <w:ind w:left="156" w:right="139"/>
              <w:rPr>
                <w:sz w:val="18"/>
              </w:rPr>
            </w:pPr>
            <w:r>
              <w:rPr>
                <w:rFonts w:ascii="Times New Roman" w:hAnsi="Times New Roman" w:eastAsia="Times New Roman"/>
                <w:sz w:val="18"/>
              </w:rPr>
              <w:t>1.2mL×1</w:t>
            </w:r>
            <w:r>
              <w:rPr>
                <w:sz w:val="18"/>
              </w:rPr>
              <w:t>管</w:t>
            </w:r>
          </w:p>
        </w:tc>
        <w:tc>
          <w:tcPr>
            <w:tcW w:w="3725" w:type="dxa"/>
          </w:tcPr>
          <w:p>
            <w:pPr>
              <w:pStyle w:val="TableParagraph"/>
              <w:ind w:left="1115" w:right="1099"/>
              <w:rPr>
                <w:sz w:val="18"/>
              </w:rPr>
            </w:pPr>
            <w:r>
              <w:rPr>
                <w:sz w:val="18"/>
              </w:rPr>
              <w:t>含</w:t>
            </w:r>
            <w:r>
              <w:rPr>
                <w:rFonts w:ascii="Times New Roman" w:eastAsia="Times New Roman"/>
                <w:sz w:val="18"/>
              </w:rPr>
              <w:t>HBV</w:t>
            </w:r>
            <w:r>
              <w:rPr>
                <w:sz w:val="18"/>
              </w:rPr>
              <w:t>片段假病毒</w:t>
            </w:r>
          </w:p>
        </w:tc>
      </w:tr>
      <w:tr>
        <w:trPr>
          <w:trHeight w:val="200" w:hRule="atLeast"/>
        </w:trPr>
        <w:tc>
          <w:tcPr>
            <w:tcW w:w="697"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8"/>
              </w:rPr>
            </w:pPr>
            <w:r>
              <w:rPr>
                <w:rFonts w:ascii="Times New Roman"/>
                <w:sz w:val="18"/>
              </w:rPr>
              <w:t>7</w:t>
            </w:r>
          </w:p>
        </w:tc>
        <w:tc>
          <w:tcPr>
            <w:tcW w:w="2339" w:type="dxa"/>
            <w:tcBorders>
              <w:top w:val="single" w:sz="6" w:space="0" w:color="000000"/>
              <w:left w:val="single" w:sz="6" w:space="0" w:color="000000"/>
              <w:bottom w:val="single" w:sz="6" w:space="0" w:color="000000"/>
              <w:right w:val="single" w:sz="6" w:space="0" w:color="000000"/>
            </w:tcBorders>
          </w:tcPr>
          <w:p>
            <w:pPr>
              <w:pStyle w:val="TableParagraph"/>
              <w:ind w:left="420" w:right="402"/>
              <w:rPr>
                <w:sz w:val="18"/>
              </w:rPr>
            </w:pPr>
            <w:r>
              <w:rPr>
                <w:rFonts w:ascii="Times New Roman" w:eastAsia="Times New Roman"/>
                <w:sz w:val="18"/>
              </w:rPr>
              <w:t>HBV</w:t>
            </w:r>
            <w:r>
              <w:rPr>
                <w:sz w:val="18"/>
              </w:rPr>
              <w:t>强阳性对照</w:t>
            </w:r>
          </w:p>
        </w:tc>
        <w:tc>
          <w:tcPr>
            <w:tcW w:w="1253" w:type="dxa"/>
            <w:tcBorders>
              <w:top w:val="single" w:sz="6" w:space="0" w:color="000000"/>
              <w:left w:val="single" w:sz="6" w:space="0" w:color="000000"/>
              <w:bottom w:val="single" w:sz="6" w:space="0" w:color="000000"/>
            </w:tcBorders>
          </w:tcPr>
          <w:p>
            <w:pPr>
              <w:pStyle w:val="TableParagraph"/>
              <w:ind w:left="156" w:right="139"/>
              <w:rPr>
                <w:sz w:val="18"/>
              </w:rPr>
            </w:pPr>
            <w:r>
              <w:rPr>
                <w:rFonts w:ascii="Times New Roman" w:hAnsi="Times New Roman" w:eastAsia="Times New Roman"/>
                <w:sz w:val="18"/>
              </w:rPr>
              <w:t>1.2mL×1</w:t>
            </w:r>
            <w:r>
              <w:rPr>
                <w:sz w:val="18"/>
              </w:rPr>
              <w:t>管</w:t>
            </w:r>
          </w:p>
        </w:tc>
        <w:tc>
          <w:tcPr>
            <w:tcW w:w="3725" w:type="dxa"/>
            <w:tcBorders>
              <w:bottom w:val="single" w:sz="6" w:space="0" w:color="000000"/>
              <w:right w:val="single" w:sz="6" w:space="0" w:color="000000"/>
            </w:tcBorders>
          </w:tcPr>
          <w:p>
            <w:pPr>
              <w:pStyle w:val="TableParagraph"/>
              <w:ind w:left="39" w:right="20"/>
              <w:rPr>
                <w:sz w:val="18"/>
              </w:rPr>
            </w:pPr>
            <w:r>
              <w:rPr>
                <w:sz w:val="18"/>
              </w:rPr>
              <w:t>含</w:t>
            </w:r>
            <w:r>
              <w:rPr>
                <w:rFonts w:ascii="Times New Roman" w:eastAsia="Times New Roman"/>
                <w:sz w:val="18"/>
              </w:rPr>
              <w:t>HBV</w:t>
            </w:r>
            <w:r>
              <w:rPr>
                <w:sz w:val="18"/>
              </w:rPr>
              <w:t>片段假病毒</w:t>
            </w:r>
          </w:p>
        </w:tc>
      </w:tr>
      <w:tr>
        <w:trPr>
          <w:trHeight w:val="200" w:hRule="atLeast"/>
        </w:trPr>
        <w:tc>
          <w:tcPr>
            <w:tcW w:w="697"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8"/>
              </w:rPr>
            </w:pPr>
            <w:r>
              <w:rPr>
                <w:rFonts w:ascii="Times New Roman"/>
                <w:sz w:val="18"/>
              </w:rPr>
              <w:t>8</w:t>
            </w:r>
          </w:p>
        </w:tc>
        <w:tc>
          <w:tcPr>
            <w:tcW w:w="2339" w:type="dxa"/>
            <w:tcBorders>
              <w:top w:val="single" w:sz="6" w:space="0" w:color="000000"/>
              <w:left w:val="single" w:sz="6" w:space="0" w:color="000000"/>
              <w:bottom w:val="single" w:sz="6" w:space="0" w:color="000000"/>
              <w:right w:val="single" w:sz="6" w:space="0" w:color="000000"/>
            </w:tcBorders>
          </w:tcPr>
          <w:p>
            <w:pPr>
              <w:pStyle w:val="TableParagraph"/>
              <w:ind w:left="420" w:right="402"/>
              <w:rPr>
                <w:sz w:val="18"/>
              </w:rPr>
            </w:pPr>
            <w:r>
              <w:rPr>
                <w:rFonts w:ascii="Times New Roman" w:eastAsia="Times New Roman"/>
                <w:sz w:val="18"/>
              </w:rPr>
              <w:t>HBV</w:t>
            </w:r>
            <w:r>
              <w:rPr>
                <w:sz w:val="18"/>
              </w:rPr>
              <w:t>临界阳性对照</w:t>
            </w:r>
          </w:p>
        </w:tc>
        <w:tc>
          <w:tcPr>
            <w:tcW w:w="1253" w:type="dxa"/>
            <w:tcBorders>
              <w:top w:val="single" w:sz="6" w:space="0" w:color="000000"/>
              <w:left w:val="single" w:sz="6" w:space="0" w:color="000000"/>
              <w:bottom w:val="single" w:sz="6" w:space="0" w:color="000000"/>
            </w:tcBorders>
          </w:tcPr>
          <w:p>
            <w:pPr>
              <w:pStyle w:val="TableParagraph"/>
              <w:ind w:left="156" w:right="139"/>
              <w:rPr>
                <w:sz w:val="18"/>
              </w:rPr>
            </w:pPr>
            <w:r>
              <w:rPr>
                <w:rFonts w:ascii="Times New Roman" w:hAnsi="Times New Roman" w:eastAsia="Times New Roman"/>
                <w:sz w:val="18"/>
              </w:rPr>
              <w:t>1.2mL×1</w:t>
            </w:r>
            <w:r>
              <w:rPr>
                <w:sz w:val="18"/>
              </w:rPr>
              <w:t>管</w:t>
            </w:r>
          </w:p>
        </w:tc>
        <w:tc>
          <w:tcPr>
            <w:tcW w:w="3725" w:type="dxa"/>
            <w:tcBorders>
              <w:top w:val="single" w:sz="6" w:space="0" w:color="000000"/>
              <w:bottom w:val="single" w:sz="6" w:space="0" w:color="000000"/>
              <w:right w:val="single" w:sz="6" w:space="0" w:color="000000"/>
            </w:tcBorders>
          </w:tcPr>
          <w:p>
            <w:pPr>
              <w:pStyle w:val="TableParagraph"/>
              <w:ind w:left="39" w:right="20"/>
              <w:rPr>
                <w:sz w:val="18"/>
              </w:rPr>
            </w:pPr>
            <w:r>
              <w:rPr>
                <w:sz w:val="18"/>
              </w:rPr>
              <w:t>含</w:t>
            </w:r>
            <w:r>
              <w:rPr>
                <w:rFonts w:ascii="Times New Roman" w:eastAsia="Times New Roman"/>
                <w:sz w:val="18"/>
              </w:rPr>
              <w:t>HBV</w:t>
            </w:r>
            <w:r>
              <w:rPr>
                <w:sz w:val="18"/>
              </w:rPr>
              <w:t>片段假病毒</w:t>
            </w:r>
          </w:p>
        </w:tc>
      </w:tr>
      <w:tr>
        <w:trPr>
          <w:trHeight w:val="200" w:hRule="atLeast"/>
        </w:trPr>
        <w:tc>
          <w:tcPr>
            <w:tcW w:w="697"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8"/>
              </w:rPr>
            </w:pPr>
            <w:r>
              <w:rPr>
                <w:rFonts w:ascii="Times New Roman"/>
                <w:sz w:val="18"/>
              </w:rPr>
              <w:t>9</w:t>
            </w:r>
          </w:p>
        </w:tc>
        <w:tc>
          <w:tcPr>
            <w:tcW w:w="2339" w:type="dxa"/>
            <w:tcBorders>
              <w:top w:val="single" w:sz="6" w:space="0" w:color="000000"/>
              <w:left w:val="single" w:sz="6" w:space="0" w:color="000000"/>
              <w:bottom w:val="single" w:sz="6" w:space="0" w:color="000000"/>
              <w:right w:val="single" w:sz="6" w:space="0" w:color="000000"/>
            </w:tcBorders>
          </w:tcPr>
          <w:p>
            <w:pPr>
              <w:pStyle w:val="TableParagraph"/>
              <w:ind w:left="420" w:right="402"/>
              <w:rPr>
                <w:sz w:val="18"/>
              </w:rPr>
            </w:pPr>
            <w:r>
              <w:rPr>
                <w:rFonts w:ascii="Times New Roman" w:eastAsia="Times New Roman"/>
                <w:sz w:val="18"/>
              </w:rPr>
              <w:t>HBV</w:t>
            </w:r>
            <w:r>
              <w:rPr>
                <w:sz w:val="18"/>
              </w:rPr>
              <w:t>阴性对照</w:t>
            </w:r>
          </w:p>
        </w:tc>
        <w:tc>
          <w:tcPr>
            <w:tcW w:w="1253" w:type="dxa"/>
            <w:tcBorders>
              <w:top w:val="single" w:sz="6" w:space="0" w:color="000000"/>
              <w:left w:val="single" w:sz="6" w:space="0" w:color="000000"/>
              <w:bottom w:val="single" w:sz="6" w:space="0" w:color="000000"/>
            </w:tcBorders>
          </w:tcPr>
          <w:p>
            <w:pPr>
              <w:pStyle w:val="TableParagraph"/>
              <w:ind w:left="156" w:right="139"/>
              <w:rPr>
                <w:sz w:val="18"/>
              </w:rPr>
            </w:pPr>
            <w:r>
              <w:rPr>
                <w:rFonts w:ascii="Times New Roman" w:hAnsi="Times New Roman" w:eastAsia="Times New Roman"/>
                <w:sz w:val="18"/>
              </w:rPr>
              <w:t>1.2mL×1</w:t>
            </w:r>
            <w:r>
              <w:rPr>
                <w:sz w:val="18"/>
              </w:rPr>
              <w:t>管</w:t>
            </w:r>
          </w:p>
        </w:tc>
        <w:tc>
          <w:tcPr>
            <w:tcW w:w="3725" w:type="dxa"/>
            <w:tcBorders>
              <w:top w:val="single" w:sz="6" w:space="0" w:color="000000"/>
              <w:bottom w:val="single" w:sz="6" w:space="0" w:color="000000"/>
              <w:right w:val="single" w:sz="6" w:space="0" w:color="000000"/>
            </w:tcBorders>
          </w:tcPr>
          <w:p>
            <w:pPr>
              <w:pStyle w:val="TableParagraph"/>
              <w:ind w:left="37" w:right="20"/>
              <w:rPr>
                <w:sz w:val="18"/>
              </w:rPr>
            </w:pPr>
            <w:r>
              <w:rPr>
                <w:sz w:val="18"/>
              </w:rPr>
              <w:t>灭活的人阴性血清</w:t>
            </w:r>
          </w:p>
        </w:tc>
      </w:tr>
      <w:tr>
        <w:trPr>
          <w:trHeight w:val="197" w:hRule="atLeast"/>
        </w:trPr>
        <w:tc>
          <w:tcPr>
            <w:tcW w:w="697" w:type="dxa"/>
            <w:tcBorders>
              <w:top w:val="single" w:sz="6" w:space="0" w:color="000000"/>
              <w:left w:val="single" w:sz="6" w:space="0" w:color="000000"/>
              <w:bottom w:val="single" w:sz="6" w:space="0" w:color="000000"/>
              <w:right w:val="single" w:sz="6" w:space="0" w:color="000000"/>
            </w:tcBorders>
          </w:tcPr>
          <w:p>
            <w:pPr>
              <w:pStyle w:val="TableParagraph"/>
              <w:spacing w:line="178" w:lineRule="exact"/>
              <w:ind w:left="148" w:right="133"/>
              <w:rPr>
                <w:rFonts w:ascii="Times New Roman"/>
                <w:sz w:val="18"/>
              </w:rPr>
            </w:pPr>
            <w:r>
              <w:rPr>
                <w:rFonts w:ascii="Times New Roman"/>
                <w:sz w:val="18"/>
              </w:rPr>
              <w:t>10</w:t>
            </w:r>
          </w:p>
        </w:tc>
        <w:tc>
          <w:tcPr>
            <w:tcW w:w="2339" w:type="dxa"/>
            <w:tcBorders>
              <w:top w:val="single" w:sz="6" w:space="0" w:color="000000"/>
              <w:left w:val="single" w:sz="6" w:space="0" w:color="000000"/>
              <w:right w:val="single" w:sz="6" w:space="0" w:color="000000"/>
            </w:tcBorders>
          </w:tcPr>
          <w:p>
            <w:pPr>
              <w:pStyle w:val="TableParagraph"/>
              <w:spacing w:line="178" w:lineRule="exact"/>
              <w:ind w:left="418" w:right="402"/>
              <w:rPr>
                <w:sz w:val="18"/>
              </w:rPr>
            </w:pPr>
            <w:r>
              <w:rPr>
                <w:rFonts w:ascii="Times New Roman" w:eastAsia="Times New Roman"/>
                <w:sz w:val="18"/>
              </w:rPr>
              <w:t>HBV</w:t>
            </w:r>
            <w:r>
              <w:rPr>
                <w:sz w:val="18"/>
              </w:rPr>
              <w:t>内标</w:t>
            </w:r>
          </w:p>
        </w:tc>
        <w:tc>
          <w:tcPr>
            <w:tcW w:w="1253" w:type="dxa"/>
            <w:tcBorders>
              <w:top w:val="single" w:sz="6" w:space="0" w:color="000000"/>
              <w:left w:val="single" w:sz="6" w:space="0" w:color="000000"/>
            </w:tcBorders>
          </w:tcPr>
          <w:p>
            <w:pPr>
              <w:pStyle w:val="TableParagraph"/>
              <w:spacing w:line="178" w:lineRule="exact"/>
              <w:ind w:left="156" w:right="142"/>
              <w:rPr>
                <w:sz w:val="18"/>
              </w:rPr>
            </w:pPr>
            <w:r>
              <w:rPr>
                <w:rFonts w:ascii="Times New Roman" w:hAnsi="Times New Roman" w:eastAsia="Times New Roman"/>
                <w:sz w:val="18"/>
              </w:rPr>
              <w:t>48μL×1</w:t>
            </w:r>
            <w:r>
              <w:rPr>
                <w:sz w:val="18"/>
              </w:rPr>
              <w:t>管</w:t>
            </w:r>
          </w:p>
        </w:tc>
        <w:tc>
          <w:tcPr>
            <w:tcW w:w="3725" w:type="dxa"/>
            <w:tcBorders>
              <w:top w:val="single" w:sz="6" w:space="0" w:color="000000"/>
              <w:right w:val="single" w:sz="6" w:space="0" w:color="000000"/>
            </w:tcBorders>
          </w:tcPr>
          <w:p>
            <w:pPr>
              <w:pStyle w:val="TableParagraph"/>
              <w:spacing w:line="178" w:lineRule="exact"/>
              <w:ind w:left="39" w:right="20"/>
              <w:rPr>
                <w:sz w:val="18"/>
              </w:rPr>
            </w:pPr>
            <w:r>
              <w:rPr>
                <w:sz w:val="18"/>
              </w:rPr>
              <w:t>含人工设计序列假病毒</w:t>
            </w:r>
          </w:p>
        </w:tc>
      </w:tr>
    </w:tbl>
    <w:p>
      <w:pPr>
        <w:pStyle w:val="BodyText"/>
        <w:spacing w:line="189" w:lineRule="exact"/>
        <w:ind w:left="480"/>
      </w:pPr>
      <w:r>
        <w:rPr>
          <w:b/>
        </w:rPr>
        <w:t>备注：</w:t>
      </w:r>
      <w:r>
        <w:rPr>
          <w:rFonts w:ascii="Times New Roman" w:eastAsia="Times New Roman"/>
          <w:b/>
        </w:rPr>
        <w:t>1</w:t>
      </w:r>
      <w:r>
        <w:rPr>
          <w:b/>
        </w:rPr>
        <w:t>）</w:t>
      </w:r>
      <w:r>
        <w:rPr/>
        <w:t>不同批号产品的成分之间不可以混用或互换。</w:t>
      </w:r>
    </w:p>
    <w:p>
      <w:pPr>
        <w:pStyle w:val="ListParagraph"/>
        <w:numPr>
          <w:ilvl w:val="0"/>
          <w:numId w:val="1"/>
        </w:numPr>
        <w:tabs>
          <w:tab w:pos="1276" w:val="left" w:leader="none"/>
        </w:tabs>
        <w:spacing w:line="199" w:lineRule="exact" w:before="0" w:after="0"/>
        <w:ind w:left="1275" w:right="0" w:hanging="268"/>
        <w:jc w:val="left"/>
        <w:rPr>
          <w:sz w:val="18"/>
        </w:rPr>
      </w:pPr>
      <w:r>
        <w:rPr>
          <w:spacing w:val="-3"/>
          <w:sz w:val="18"/>
        </w:rPr>
        <w:t>试剂盒内的生物样本均已经灭活处理；定量参考品</w:t>
      </w:r>
      <w:r>
        <w:rPr>
          <w:rFonts w:ascii="Times New Roman" w:eastAsia="Times New Roman"/>
          <w:sz w:val="18"/>
        </w:rPr>
        <w:t>A</w:t>
      </w:r>
      <w:r>
        <w:rPr>
          <w:sz w:val="18"/>
        </w:rPr>
        <w:t>～</w:t>
      </w:r>
      <w:r>
        <w:rPr>
          <w:rFonts w:ascii="Times New Roman" w:eastAsia="Times New Roman"/>
          <w:sz w:val="18"/>
        </w:rPr>
        <w:t>D</w:t>
      </w:r>
      <w:r>
        <w:rPr>
          <w:rFonts w:ascii="Times New Roman" w:eastAsia="Times New Roman"/>
          <w:spacing w:val="-4"/>
          <w:sz w:val="18"/>
        </w:rPr>
        <w:t> </w:t>
      </w:r>
      <w:r>
        <w:rPr>
          <w:spacing w:val="-5"/>
          <w:sz w:val="18"/>
        </w:rPr>
        <w:t>的具体浓度请参照试剂盒内给定值。</w:t>
      </w:r>
    </w:p>
    <w:p>
      <w:pPr>
        <w:pStyle w:val="ListParagraph"/>
        <w:numPr>
          <w:ilvl w:val="0"/>
          <w:numId w:val="1"/>
        </w:numPr>
        <w:tabs>
          <w:tab w:pos="1276" w:val="left" w:leader="none"/>
        </w:tabs>
        <w:spacing w:line="200" w:lineRule="exact" w:before="0" w:after="0"/>
        <w:ind w:left="1275" w:right="0" w:hanging="268"/>
        <w:jc w:val="left"/>
        <w:rPr>
          <w:sz w:val="18"/>
        </w:rPr>
      </w:pPr>
      <w:r>
        <w:rPr>
          <w:spacing w:val="-5"/>
          <w:sz w:val="18"/>
        </w:rPr>
        <w:t>提取试剂盒推荐使用本公司生产的核酸提取或纯化试剂</w:t>
      </w:r>
      <w:r>
        <w:rPr>
          <w:spacing w:val="-3"/>
          <w:sz w:val="18"/>
        </w:rPr>
        <w:t>（</w:t>
      </w:r>
      <w:r>
        <w:rPr>
          <w:spacing w:val="-14"/>
          <w:sz w:val="18"/>
        </w:rPr>
        <w:t>湘长械备 </w:t>
      </w:r>
      <w:r>
        <w:rPr>
          <w:rFonts w:ascii="Times New Roman" w:eastAsia="Times New Roman"/>
          <w:sz w:val="18"/>
        </w:rPr>
        <w:t>20150021</w:t>
      </w:r>
      <w:r>
        <w:rPr>
          <w:rFonts w:ascii="Times New Roman" w:eastAsia="Times New Roman"/>
          <w:spacing w:val="-8"/>
          <w:sz w:val="18"/>
        </w:rPr>
        <w:t> </w:t>
      </w:r>
      <w:r>
        <w:rPr>
          <w:spacing w:val="-3"/>
          <w:sz w:val="18"/>
        </w:rPr>
        <w:t>号</w:t>
      </w:r>
      <w:r>
        <w:rPr>
          <w:spacing w:val="-5"/>
          <w:sz w:val="18"/>
        </w:rPr>
        <w:t>）进行核酸提取。</w:t>
      </w:r>
    </w:p>
    <w:p>
      <w:pPr>
        <w:pStyle w:val="Heading1"/>
      </w:pPr>
      <w:r>
        <w:rPr/>
        <w:t>【储存条件及有效期】</w:t>
      </w:r>
    </w:p>
    <w:p>
      <w:pPr>
        <w:pStyle w:val="BodyText"/>
        <w:spacing w:line="199" w:lineRule="exact"/>
        <w:ind w:left="480"/>
      </w:pPr>
      <w:r>
        <w:rPr/>
        <w:t>试剂应避光密闭保存于</w:t>
      </w:r>
      <w:r>
        <w:rPr>
          <w:rFonts w:ascii="Times New Roman" w:hAnsi="Times New Roman" w:eastAsia="Times New Roman"/>
        </w:rPr>
        <w:t>-20±5</w:t>
      </w:r>
      <w:r>
        <w:rPr/>
        <w:t>℃，有效期为 </w:t>
      </w:r>
      <w:r>
        <w:rPr>
          <w:rFonts w:ascii="Times New Roman" w:hAnsi="Times New Roman" w:eastAsia="Times New Roman"/>
        </w:rPr>
        <w:t>18 </w:t>
      </w:r>
      <w:r>
        <w:rPr/>
        <w:t>个月；允许的最大反复冻融次数为 </w:t>
      </w:r>
      <w:r>
        <w:rPr>
          <w:rFonts w:ascii="Times New Roman" w:hAnsi="Times New Roman" w:eastAsia="Times New Roman"/>
        </w:rPr>
        <w:t>7 </w:t>
      </w:r>
      <w:r>
        <w:rPr/>
        <w:t>次；生产日期，失效日期请见外包装盒。</w:t>
      </w:r>
    </w:p>
    <w:p>
      <w:pPr>
        <w:pStyle w:val="Heading1"/>
      </w:pPr>
      <w:r>
        <w:rPr/>
        <w:t>【适用仪器】</w:t>
      </w:r>
    </w:p>
    <w:p>
      <w:pPr>
        <w:pStyle w:val="BodyText"/>
        <w:spacing w:line="206" w:lineRule="auto" w:before="10"/>
        <w:ind w:right="222" w:firstLine="352"/>
      </w:pPr>
      <w:r>
        <w:rPr>
          <w:spacing w:val="-12"/>
        </w:rPr>
        <w:t>适用于 </w:t>
      </w:r>
      <w:r>
        <w:rPr>
          <w:rFonts w:ascii="Times New Roman" w:eastAsia="Times New Roman"/>
        </w:rPr>
        <w:t>ABI7500 </w:t>
      </w:r>
      <w:r>
        <w:rPr>
          <w:spacing w:val="-15"/>
        </w:rPr>
        <w:t>荧光 </w:t>
      </w:r>
      <w:r>
        <w:rPr>
          <w:rFonts w:ascii="Times New Roman" w:eastAsia="Times New Roman"/>
        </w:rPr>
        <w:t>PCR </w:t>
      </w:r>
      <w:r>
        <w:rPr>
          <w:spacing w:val="2"/>
        </w:rPr>
        <w:t>仪、</w:t>
      </w:r>
      <w:r>
        <w:rPr>
          <w:rFonts w:ascii="Times New Roman" w:eastAsia="Times New Roman"/>
        </w:rPr>
        <w:t>SLAN-96P </w:t>
      </w:r>
      <w:r>
        <w:rPr>
          <w:spacing w:val="-8"/>
        </w:rPr>
        <w:t>全自动医用 </w:t>
      </w:r>
      <w:r>
        <w:rPr>
          <w:rFonts w:ascii="Times New Roman" w:eastAsia="Times New Roman"/>
        </w:rPr>
        <w:t>PCR </w:t>
      </w:r>
      <w:r>
        <w:rPr/>
        <w:t>分析系统、</w:t>
      </w:r>
      <w:r>
        <w:rPr>
          <w:rFonts w:ascii="Times New Roman" w:eastAsia="Times New Roman"/>
        </w:rPr>
        <w:t>Roche Light </w:t>
      </w:r>
      <w:r>
        <w:rPr>
          <w:rFonts w:ascii="Times New Roman" w:eastAsia="Times New Roman"/>
          <w:spacing w:val="-2"/>
        </w:rPr>
        <w:t>Cycler </w:t>
      </w:r>
      <w:r>
        <w:rPr>
          <w:rFonts w:ascii="Times New Roman" w:eastAsia="Times New Roman"/>
        </w:rPr>
        <w:t>480 </w:t>
      </w:r>
      <w:r>
        <w:rPr>
          <w:spacing w:val="-15"/>
        </w:rPr>
        <w:t>荧光 </w:t>
      </w:r>
      <w:r>
        <w:rPr>
          <w:rFonts w:ascii="Times New Roman" w:eastAsia="Times New Roman"/>
        </w:rPr>
        <w:t>PCR </w:t>
      </w:r>
      <w:r>
        <w:rPr>
          <w:spacing w:val="2"/>
        </w:rPr>
        <w:t>仪、</w:t>
      </w:r>
      <w:r>
        <w:rPr>
          <w:rFonts w:ascii="Times New Roman" w:eastAsia="Times New Roman"/>
        </w:rPr>
        <w:t>Life </w:t>
      </w:r>
      <w:r>
        <w:rPr>
          <w:rFonts w:ascii="Times New Roman" w:eastAsia="Times New Roman"/>
          <w:spacing w:val="-4"/>
        </w:rPr>
        <w:t>Technologies </w:t>
      </w:r>
      <w:r>
        <w:rPr>
          <w:rFonts w:ascii="Times New Roman" w:eastAsia="Times New Roman"/>
          <w:spacing w:val="-3"/>
        </w:rPr>
        <w:t>QuantStudio</w:t>
      </w:r>
      <w:r>
        <w:rPr>
          <w:rFonts w:ascii="Times New Roman" w:eastAsia="Times New Roman"/>
          <w:spacing w:val="-3"/>
          <w:position w:val="6"/>
          <w:sz w:val="11"/>
        </w:rPr>
        <w:t>TM </w:t>
      </w:r>
      <w:r>
        <w:rPr>
          <w:rFonts w:ascii="Times New Roman" w:eastAsia="Times New Roman"/>
        </w:rPr>
        <w:t>3/5 </w:t>
      </w:r>
      <w:r>
        <w:rPr>
          <w:spacing w:val="17"/>
        </w:rPr>
        <w:t>荧光</w:t>
      </w:r>
      <w:r>
        <w:rPr>
          <w:rFonts w:ascii="Times New Roman" w:eastAsia="Times New Roman"/>
        </w:rPr>
        <w:t>PCR </w:t>
      </w:r>
      <w:r>
        <w:rPr>
          <w:spacing w:val="-3"/>
        </w:rPr>
        <w:t>仪。</w:t>
      </w:r>
    </w:p>
    <w:p>
      <w:pPr>
        <w:pStyle w:val="Heading1"/>
        <w:spacing w:line="193" w:lineRule="exact"/>
      </w:pPr>
      <w:r>
        <w:rPr/>
        <w:t>【样本要求】</w:t>
      </w:r>
    </w:p>
    <w:p>
      <w:pPr>
        <w:pStyle w:val="ListParagraph"/>
        <w:numPr>
          <w:ilvl w:val="0"/>
          <w:numId w:val="2"/>
        </w:numPr>
        <w:tabs>
          <w:tab w:pos="300" w:val="left" w:leader="none"/>
        </w:tabs>
        <w:spacing w:line="200" w:lineRule="exact" w:before="0" w:after="0"/>
        <w:ind w:left="300" w:right="0" w:hanging="173"/>
        <w:jc w:val="left"/>
        <w:rPr>
          <w:sz w:val="18"/>
        </w:rPr>
      </w:pPr>
      <w:r>
        <w:rPr>
          <w:spacing w:val="-5"/>
          <w:sz w:val="18"/>
        </w:rPr>
        <w:t>适用样本类型：血清或血浆。</w:t>
      </w:r>
    </w:p>
    <w:p>
      <w:pPr>
        <w:pStyle w:val="ListParagraph"/>
        <w:numPr>
          <w:ilvl w:val="0"/>
          <w:numId w:val="2"/>
        </w:numPr>
        <w:tabs>
          <w:tab w:pos="300" w:val="left" w:leader="none"/>
        </w:tabs>
        <w:spacing w:line="199" w:lineRule="exact" w:before="0" w:after="0"/>
        <w:ind w:left="300" w:right="0" w:hanging="173"/>
        <w:jc w:val="left"/>
        <w:rPr>
          <w:sz w:val="18"/>
        </w:rPr>
      </w:pPr>
      <w:r>
        <w:rPr>
          <w:spacing w:val="-4"/>
          <w:sz w:val="18"/>
        </w:rPr>
        <w:t>样本采集：</w:t>
      </w:r>
    </w:p>
    <w:p>
      <w:pPr>
        <w:pStyle w:val="ListParagraph"/>
        <w:numPr>
          <w:ilvl w:val="1"/>
          <w:numId w:val="2"/>
        </w:numPr>
        <w:tabs>
          <w:tab w:pos="389" w:val="left" w:leader="none"/>
        </w:tabs>
        <w:spacing w:line="200" w:lineRule="exact" w:before="0" w:after="0"/>
        <w:ind w:left="388" w:right="0" w:hanging="262"/>
        <w:jc w:val="left"/>
        <w:rPr>
          <w:sz w:val="18"/>
        </w:rPr>
      </w:pPr>
      <w:r>
        <w:rPr>
          <w:spacing w:val="-9"/>
          <w:sz w:val="18"/>
        </w:rPr>
        <w:t>血清样本采集：用无菌注射器抽取受检者静脉血 </w:t>
      </w:r>
      <w:r>
        <w:rPr>
          <w:rFonts w:ascii="Times New Roman" w:eastAsia="Times New Roman"/>
          <w:spacing w:val="-6"/>
          <w:sz w:val="18"/>
        </w:rPr>
        <w:t>2mL</w:t>
      </w:r>
      <w:r>
        <w:rPr>
          <w:spacing w:val="-10"/>
          <w:sz w:val="18"/>
        </w:rPr>
        <w:t>，注入无菌收集管，室温不超过 </w:t>
      </w:r>
      <w:r>
        <w:rPr>
          <w:rFonts w:ascii="Times New Roman" w:eastAsia="Times New Roman"/>
          <w:sz w:val="18"/>
        </w:rPr>
        <w:t>4</w:t>
      </w:r>
      <w:r>
        <w:rPr>
          <w:rFonts w:ascii="Times New Roman" w:eastAsia="Times New Roman"/>
          <w:spacing w:val="-3"/>
          <w:sz w:val="18"/>
        </w:rPr>
        <w:t> </w:t>
      </w:r>
      <w:r>
        <w:rPr>
          <w:spacing w:val="-8"/>
          <w:sz w:val="18"/>
        </w:rPr>
        <w:t>小时，待样本自行析出血清，或直接室温</w:t>
      </w:r>
    </w:p>
    <w:p>
      <w:pPr>
        <w:pStyle w:val="BodyText"/>
        <w:ind w:left="307"/>
      </w:pPr>
      <w:r>
        <w:rPr>
          <w:rFonts w:ascii="Times New Roman" w:hAnsi="Times New Roman" w:eastAsia="Times New Roman"/>
        </w:rPr>
        <w:t>1000</w:t>
      </w:r>
      <w:r>
        <w:rPr>
          <w:rFonts w:ascii="Arial" w:hAnsi="Arial" w:eastAsia="Arial"/>
        </w:rPr>
        <w:t>×</w:t>
      </w:r>
      <w:r>
        <w:rPr>
          <w:rFonts w:ascii="Times New Roman" w:hAnsi="Times New Roman" w:eastAsia="Times New Roman"/>
        </w:rPr>
        <w:t>g </w:t>
      </w:r>
      <w:r>
        <w:rPr/>
        <w:t>离心 </w:t>
      </w:r>
      <w:r>
        <w:rPr>
          <w:rFonts w:ascii="Times New Roman" w:hAnsi="Times New Roman" w:eastAsia="Times New Roman"/>
        </w:rPr>
        <w:t>5 </w:t>
      </w:r>
      <w:r>
        <w:rPr/>
        <w:t>分钟分离出血清，转移到 </w:t>
      </w:r>
      <w:r>
        <w:rPr>
          <w:rFonts w:ascii="Times New Roman" w:hAnsi="Times New Roman" w:eastAsia="Times New Roman"/>
        </w:rPr>
        <w:t>1.5mL </w:t>
      </w:r>
      <w:r>
        <w:rPr/>
        <w:t>灭菌离心管中备用。</w:t>
      </w:r>
    </w:p>
    <w:p>
      <w:pPr>
        <w:pStyle w:val="ListParagraph"/>
        <w:numPr>
          <w:ilvl w:val="1"/>
          <w:numId w:val="2"/>
        </w:numPr>
        <w:tabs>
          <w:tab w:pos="389" w:val="left" w:leader="none"/>
        </w:tabs>
        <w:spacing w:line="206" w:lineRule="auto" w:before="10" w:after="0"/>
        <w:ind w:left="307" w:right="235" w:hanging="180"/>
        <w:jc w:val="left"/>
        <w:rPr>
          <w:sz w:val="18"/>
        </w:rPr>
      </w:pPr>
      <w:r>
        <w:rPr>
          <w:spacing w:val="-10"/>
          <w:sz w:val="18"/>
        </w:rPr>
        <w:t>血浆样本采集：用无菌注射器抽取受检者静脉血 </w:t>
      </w:r>
      <w:r>
        <w:rPr>
          <w:rFonts w:ascii="Times New Roman" w:hAnsi="Times New Roman" w:eastAsia="Times New Roman"/>
          <w:spacing w:val="-7"/>
          <w:sz w:val="18"/>
        </w:rPr>
        <w:t>2mL</w:t>
      </w:r>
      <w:r>
        <w:rPr>
          <w:spacing w:val="3"/>
          <w:sz w:val="18"/>
        </w:rPr>
        <w:t>，注入含有</w:t>
      </w:r>
      <w:r>
        <w:rPr>
          <w:rFonts w:ascii="Times New Roman" w:hAnsi="Times New Roman" w:eastAsia="Times New Roman"/>
          <w:spacing w:val="-5"/>
          <w:sz w:val="18"/>
        </w:rPr>
        <w:t>EDTA</w:t>
      </w:r>
      <w:r>
        <w:rPr>
          <w:rFonts w:ascii="Times New Roman" w:hAnsi="Times New Roman" w:eastAsia="Times New Roman"/>
          <w:spacing w:val="-6"/>
          <w:sz w:val="18"/>
        </w:rPr>
        <w:t> </w:t>
      </w:r>
      <w:r>
        <w:rPr>
          <w:spacing w:val="-8"/>
          <w:sz w:val="18"/>
        </w:rPr>
        <w:t>或柠檬酸钠抗凝剂的无菌收集管，立即轻轻颠倒混匀，室</w:t>
      </w:r>
      <w:r>
        <w:rPr>
          <w:spacing w:val="-14"/>
          <w:sz w:val="18"/>
        </w:rPr>
        <w:t>温不超过 </w:t>
      </w:r>
      <w:r>
        <w:rPr>
          <w:rFonts w:ascii="Times New Roman" w:hAnsi="Times New Roman" w:eastAsia="Times New Roman"/>
          <w:sz w:val="18"/>
        </w:rPr>
        <w:t>4</w:t>
      </w:r>
      <w:r>
        <w:rPr>
          <w:rFonts w:ascii="Times New Roman" w:hAnsi="Times New Roman" w:eastAsia="Times New Roman"/>
          <w:spacing w:val="-4"/>
          <w:sz w:val="18"/>
        </w:rPr>
        <w:t> </w:t>
      </w:r>
      <w:r>
        <w:rPr>
          <w:spacing w:val="-8"/>
          <w:sz w:val="18"/>
        </w:rPr>
        <w:t>小时，待样本自行析出血浆，或直接 </w:t>
      </w:r>
      <w:r>
        <w:rPr>
          <w:rFonts w:ascii="Times New Roman" w:hAnsi="Times New Roman" w:eastAsia="Times New Roman"/>
          <w:sz w:val="18"/>
        </w:rPr>
        <w:t>1000</w:t>
      </w:r>
      <w:r>
        <w:rPr>
          <w:rFonts w:ascii="Arial" w:hAnsi="Arial" w:eastAsia="Arial"/>
          <w:sz w:val="18"/>
        </w:rPr>
        <w:t>×</w:t>
      </w:r>
      <w:r>
        <w:rPr>
          <w:rFonts w:ascii="Times New Roman" w:hAnsi="Times New Roman" w:eastAsia="Times New Roman"/>
          <w:sz w:val="18"/>
        </w:rPr>
        <w:t>g</w:t>
      </w:r>
      <w:r>
        <w:rPr>
          <w:rFonts w:ascii="Times New Roman" w:hAnsi="Times New Roman" w:eastAsia="Times New Roman"/>
          <w:spacing w:val="-4"/>
          <w:sz w:val="18"/>
        </w:rPr>
        <w:t> </w:t>
      </w:r>
      <w:r>
        <w:rPr>
          <w:spacing w:val="-19"/>
          <w:sz w:val="18"/>
        </w:rPr>
        <w:t>离心 </w:t>
      </w:r>
      <w:r>
        <w:rPr>
          <w:rFonts w:ascii="Times New Roman" w:hAnsi="Times New Roman" w:eastAsia="Times New Roman"/>
          <w:sz w:val="18"/>
        </w:rPr>
        <w:t>5</w:t>
      </w:r>
      <w:r>
        <w:rPr>
          <w:rFonts w:ascii="Times New Roman" w:hAnsi="Times New Roman" w:eastAsia="Times New Roman"/>
          <w:spacing w:val="-3"/>
          <w:sz w:val="18"/>
        </w:rPr>
        <w:t> </w:t>
      </w:r>
      <w:r>
        <w:rPr>
          <w:spacing w:val="-9"/>
          <w:sz w:val="18"/>
        </w:rPr>
        <w:t>分钟分离出血浆，转移到 </w:t>
      </w:r>
      <w:r>
        <w:rPr>
          <w:rFonts w:ascii="Times New Roman" w:hAnsi="Times New Roman" w:eastAsia="Times New Roman"/>
          <w:sz w:val="18"/>
        </w:rPr>
        <w:t>1.5mL</w:t>
      </w:r>
      <w:r>
        <w:rPr>
          <w:rFonts w:ascii="Times New Roman" w:hAnsi="Times New Roman" w:eastAsia="Times New Roman"/>
          <w:spacing w:val="-5"/>
          <w:sz w:val="18"/>
        </w:rPr>
        <w:t> </w:t>
      </w:r>
      <w:r>
        <w:rPr>
          <w:spacing w:val="-5"/>
          <w:sz w:val="18"/>
        </w:rPr>
        <w:t>灭菌离心管中备用。</w:t>
      </w:r>
    </w:p>
    <w:p>
      <w:pPr>
        <w:pStyle w:val="ListParagraph"/>
        <w:numPr>
          <w:ilvl w:val="0"/>
          <w:numId w:val="2"/>
        </w:numPr>
        <w:tabs>
          <w:tab w:pos="300" w:val="left" w:leader="none"/>
        </w:tabs>
        <w:spacing w:line="206" w:lineRule="auto" w:before="4" w:after="0"/>
        <w:ind w:left="127" w:right="240" w:firstLine="0"/>
        <w:jc w:val="left"/>
        <w:rPr>
          <w:sz w:val="18"/>
        </w:rPr>
      </w:pPr>
      <w:r>
        <w:rPr>
          <w:spacing w:val="-7"/>
          <w:sz w:val="18"/>
        </w:rPr>
        <w:t>样本保存和运送：经上述处理后的待测样本可立即用于检测，或</w:t>
      </w:r>
      <w:r>
        <w:rPr>
          <w:rFonts w:ascii="Times New Roman" w:hAnsi="Times New Roman" w:eastAsia="Times New Roman"/>
          <w:spacing w:val="-3"/>
          <w:sz w:val="18"/>
        </w:rPr>
        <w:t>-20±5</w:t>
      </w:r>
      <w:r>
        <w:rPr>
          <w:spacing w:val="-6"/>
          <w:sz w:val="18"/>
        </w:rPr>
        <w:t>℃保存</w:t>
      </w:r>
      <w:r>
        <w:rPr>
          <w:spacing w:val="-3"/>
          <w:sz w:val="18"/>
        </w:rPr>
        <w:t>（</w:t>
      </w:r>
      <w:r>
        <w:rPr>
          <w:rFonts w:ascii="Times New Roman" w:hAnsi="Times New Roman" w:eastAsia="Times New Roman"/>
          <w:spacing w:val="-3"/>
          <w:sz w:val="18"/>
        </w:rPr>
        <w:t>6</w:t>
      </w:r>
      <w:r>
        <w:rPr>
          <w:rFonts w:ascii="Times New Roman" w:hAnsi="Times New Roman" w:eastAsia="Times New Roman"/>
          <w:spacing w:val="1"/>
          <w:sz w:val="18"/>
        </w:rPr>
        <w:t> </w:t>
      </w:r>
      <w:r>
        <w:rPr>
          <w:spacing w:val="-4"/>
          <w:sz w:val="18"/>
        </w:rPr>
        <w:t>个月</w:t>
      </w:r>
      <w:r>
        <w:rPr>
          <w:spacing w:val="-8"/>
          <w:sz w:val="18"/>
        </w:rPr>
        <w:t>）</w:t>
      </w:r>
      <w:r>
        <w:rPr>
          <w:spacing w:val="-6"/>
          <w:sz w:val="18"/>
        </w:rPr>
        <w:t>，长期保存请置于</w:t>
      </w:r>
      <w:r>
        <w:rPr>
          <w:rFonts w:ascii="Times New Roman" w:hAnsi="Times New Roman" w:eastAsia="Times New Roman"/>
          <w:spacing w:val="-3"/>
          <w:sz w:val="18"/>
        </w:rPr>
        <w:t>-70</w:t>
      </w:r>
      <w:r>
        <w:rPr>
          <w:spacing w:val="-6"/>
          <w:sz w:val="18"/>
        </w:rPr>
        <w:t>℃以下，应避免反复</w:t>
      </w:r>
      <w:r>
        <w:rPr>
          <w:spacing w:val="-5"/>
          <w:sz w:val="18"/>
        </w:rPr>
        <w:t>冻融。标本运送采用冰壶加冰或泡沫箱加冰密封进行运输。</w:t>
      </w:r>
    </w:p>
    <w:p>
      <w:pPr>
        <w:pStyle w:val="Heading1"/>
      </w:pPr>
      <w:r>
        <w:rPr/>
        <w:t>【检验方法】</w:t>
      </w:r>
    </w:p>
    <w:p>
      <w:pPr>
        <w:pStyle w:val="ListParagraph"/>
        <w:numPr>
          <w:ilvl w:val="0"/>
          <w:numId w:val="3"/>
        </w:numPr>
        <w:tabs>
          <w:tab w:pos="344" w:val="left" w:leader="none"/>
        </w:tabs>
        <w:spacing w:line="218" w:lineRule="exact" w:before="0" w:after="0"/>
        <w:ind w:left="343" w:right="0" w:hanging="217"/>
        <w:jc w:val="left"/>
        <w:rPr>
          <w:b/>
          <w:sz w:val="18"/>
        </w:rPr>
      </w:pPr>
      <w:r>
        <w:rPr>
          <w:b/>
          <w:spacing w:val="-4"/>
          <w:sz w:val="18"/>
        </w:rPr>
        <w:t>试剂准备</w:t>
      </w:r>
      <w:r>
        <w:rPr>
          <w:b/>
          <w:spacing w:val="-5"/>
          <w:sz w:val="18"/>
        </w:rPr>
        <w:t>（在试剂准备区进行</w:t>
      </w:r>
      <w:r>
        <w:rPr>
          <w:b/>
          <w:sz w:val="18"/>
        </w:rPr>
        <w:t>）</w:t>
      </w:r>
    </w:p>
    <w:p>
      <w:pPr>
        <w:pStyle w:val="ListParagraph"/>
        <w:numPr>
          <w:ilvl w:val="1"/>
          <w:numId w:val="3"/>
        </w:numPr>
        <w:tabs>
          <w:tab w:pos="432" w:val="left" w:leader="none"/>
        </w:tabs>
        <w:spacing w:line="221" w:lineRule="exact" w:before="0" w:after="0"/>
        <w:ind w:left="432" w:right="0" w:hanging="305"/>
        <w:jc w:val="left"/>
        <w:rPr>
          <w:sz w:val="18"/>
        </w:rPr>
      </w:pPr>
      <w:r>
        <w:rPr>
          <w:spacing w:val="-5"/>
          <w:sz w:val="18"/>
        </w:rPr>
        <w:t>取出包装盒中的各组分，室温放置，待其温度平衡至室温后，混匀后备用。</w:t>
      </w:r>
    </w:p>
    <w:p>
      <w:pPr>
        <w:pStyle w:val="ListParagraph"/>
        <w:numPr>
          <w:ilvl w:val="1"/>
          <w:numId w:val="3"/>
        </w:numPr>
        <w:tabs>
          <w:tab w:pos="432" w:val="left" w:leader="none"/>
        </w:tabs>
        <w:spacing w:line="220" w:lineRule="exact" w:before="0" w:after="0"/>
        <w:ind w:left="432" w:right="0" w:hanging="305"/>
        <w:jc w:val="left"/>
        <w:rPr>
          <w:rFonts w:ascii="Times New Roman" w:hAnsi="Times New Roman" w:eastAsia="Times New Roman"/>
          <w:sz w:val="18"/>
        </w:rPr>
      </w:pPr>
      <w:r>
        <w:rPr>
          <w:spacing w:val="-15"/>
          <w:sz w:val="18"/>
        </w:rPr>
        <w:t>根据待测样本、阴性对照、强阳性对照、临界阳性对照以及定量标准品 </w:t>
      </w:r>
      <w:r>
        <w:rPr>
          <w:rFonts w:ascii="Times New Roman" w:hAnsi="Times New Roman" w:eastAsia="Times New Roman"/>
          <w:sz w:val="18"/>
        </w:rPr>
        <w:t>A~D</w:t>
      </w:r>
      <w:r>
        <w:rPr>
          <w:rFonts w:ascii="Times New Roman" w:hAnsi="Times New Roman" w:eastAsia="Times New Roman"/>
          <w:spacing w:val="-6"/>
          <w:sz w:val="18"/>
        </w:rPr>
        <w:t> </w:t>
      </w:r>
      <w:r>
        <w:rPr>
          <w:spacing w:val="-14"/>
          <w:sz w:val="18"/>
        </w:rPr>
        <w:t>数量，按比例</w:t>
      </w:r>
      <w:r>
        <w:rPr>
          <w:spacing w:val="-3"/>
          <w:sz w:val="18"/>
        </w:rPr>
        <w:t>（</w:t>
      </w:r>
      <w:r>
        <w:rPr>
          <w:rFonts w:ascii="Times New Roman" w:hAnsi="Times New Roman" w:eastAsia="Times New Roman"/>
          <w:spacing w:val="-3"/>
          <w:sz w:val="18"/>
        </w:rPr>
        <w:t>HBV</w:t>
      </w:r>
      <w:r>
        <w:rPr>
          <w:rFonts w:ascii="Times New Roman" w:hAnsi="Times New Roman" w:eastAsia="Times New Roman"/>
          <w:spacing w:val="-11"/>
          <w:sz w:val="18"/>
        </w:rPr>
        <w:t> </w:t>
      </w:r>
      <w:r>
        <w:rPr>
          <w:rFonts w:ascii="Times New Roman" w:hAnsi="Times New Roman" w:eastAsia="Times New Roman"/>
          <w:sz w:val="18"/>
        </w:rPr>
        <w:t>PCR</w:t>
      </w:r>
      <w:r>
        <w:rPr>
          <w:rFonts w:ascii="Times New Roman" w:hAnsi="Times New Roman" w:eastAsia="Times New Roman"/>
          <w:spacing w:val="-6"/>
          <w:sz w:val="18"/>
        </w:rPr>
        <w:t> </w:t>
      </w:r>
      <w:r>
        <w:rPr>
          <w:spacing w:val="-16"/>
          <w:sz w:val="18"/>
        </w:rPr>
        <w:t>反应液 </w:t>
      </w:r>
      <w:r>
        <w:rPr>
          <w:rFonts w:ascii="Times New Roman" w:hAnsi="Times New Roman" w:eastAsia="Times New Roman"/>
          <w:sz w:val="18"/>
        </w:rPr>
        <w:t>27.5</w:t>
      </w:r>
      <w:r>
        <w:rPr>
          <w:rFonts w:ascii="Times New Roman" w:hAnsi="Times New Roman" w:eastAsia="Times New Roman"/>
          <w:spacing w:val="-4"/>
          <w:sz w:val="18"/>
        </w:rPr>
        <w:t> </w:t>
      </w:r>
      <w:r>
        <w:rPr>
          <w:rFonts w:ascii="Times New Roman" w:hAnsi="Times New Roman" w:eastAsia="Times New Roman"/>
          <w:spacing w:val="-3"/>
          <w:sz w:val="18"/>
        </w:rPr>
        <w:t>μL/</w:t>
      </w:r>
      <w:r>
        <w:rPr>
          <w:spacing w:val="-4"/>
          <w:sz w:val="18"/>
        </w:rPr>
        <w:t>人份</w:t>
      </w:r>
      <w:r>
        <w:rPr>
          <w:rFonts w:ascii="Times New Roman" w:hAnsi="Times New Roman" w:eastAsia="Times New Roman"/>
          <w:sz w:val="18"/>
        </w:rPr>
        <w:t>+HBV</w:t>
      </w:r>
    </w:p>
    <w:p>
      <w:pPr>
        <w:pStyle w:val="BodyText"/>
        <w:spacing w:line="211" w:lineRule="exact"/>
        <w:ind w:left="314"/>
      </w:pPr>
      <w:r>
        <w:rPr/>
        <w:t>酶混合液 </w:t>
      </w:r>
      <w:r>
        <w:rPr>
          <w:rFonts w:ascii="Times New Roman" w:hAnsi="Times New Roman" w:eastAsia="Times New Roman"/>
        </w:rPr>
        <w:t>2.5 μL/</w:t>
      </w:r>
      <w:r>
        <w:rPr/>
        <w:t>人份）取相应量的</w:t>
      </w:r>
      <w:r>
        <w:rPr>
          <w:rFonts w:ascii="Times New Roman" w:hAnsi="Times New Roman" w:eastAsia="Times New Roman"/>
        </w:rPr>
        <w:t>HBV PCR </w:t>
      </w:r>
      <w:r>
        <w:rPr/>
        <w:t>反应液、</w:t>
      </w:r>
      <w:r>
        <w:rPr>
          <w:rFonts w:ascii="Times New Roman" w:hAnsi="Times New Roman" w:eastAsia="Times New Roman"/>
        </w:rPr>
        <w:t>HBV </w:t>
      </w:r>
      <w:r>
        <w:rPr/>
        <w:t>酶混合液，充分混匀成</w:t>
      </w:r>
      <w:r>
        <w:rPr>
          <w:rFonts w:ascii="Times New Roman" w:hAnsi="Times New Roman" w:eastAsia="Times New Roman"/>
        </w:rPr>
        <w:t>PCR-</w:t>
      </w:r>
      <w:r>
        <w:rPr/>
        <w:t>混合液，</w:t>
      </w:r>
      <w:r>
        <w:rPr>
          <w:rFonts w:ascii="Times New Roman" w:hAnsi="Times New Roman" w:eastAsia="Times New Roman"/>
        </w:rPr>
        <w:t>2000rpm </w:t>
      </w:r>
      <w:r>
        <w:rPr/>
        <w:t>离心 </w:t>
      </w:r>
      <w:r>
        <w:rPr>
          <w:rFonts w:ascii="Times New Roman" w:hAnsi="Times New Roman" w:eastAsia="Times New Roman"/>
        </w:rPr>
        <w:t>10 </w:t>
      </w:r>
      <w:r>
        <w:rPr/>
        <w:t>秒后备用。</w:t>
      </w:r>
    </w:p>
    <w:p>
      <w:pPr>
        <w:pStyle w:val="ListParagraph"/>
        <w:numPr>
          <w:ilvl w:val="0"/>
          <w:numId w:val="3"/>
        </w:numPr>
        <w:tabs>
          <w:tab w:pos="344" w:val="left" w:leader="none"/>
        </w:tabs>
        <w:spacing w:line="203" w:lineRule="exact" w:before="0" w:after="0"/>
        <w:ind w:left="343" w:right="0" w:hanging="217"/>
        <w:jc w:val="left"/>
        <w:rPr>
          <w:sz w:val="18"/>
        </w:rPr>
      </w:pPr>
      <w:r>
        <w:rPr>
          <w:b/>
          <w:spacing w:val="-4"/>
          <w:sz w:val="18"/>
        </w:rPr>
        <w:t>样本处理</w:t>
      </w:r>
      <w:r>
        <w:rPr>
          <w:b/>
          <w:spacing w:val="-5"/>
          <w:sz w:val="18"/>
        </w:rPr>
        <w:t>（在样本处理区进行</w:t>
      </w:r>
      <w:r>
        <w:rPr>
          <w:b/>
          <w:spacing w:val="-4"/>
          <w:sz w:val="18"/>
        </w:rPr>
        <w:t>）</w:t>
      </w:r>
      <w:r>
        <w:rPr>
          <w:spacing w:val="-4"/>
          <w:sz w:val="18"/>
        </w:rPr>
        <w:t>（</w:t>
      </w:r>
      <w:r>
        <w:rPr>
          <w:spacing w:val="-5"/>
          <w:sz w:val="18"/>
        </w:rPr>
        <w:t>阴性对照、强阳性对照、临界阳性对照、定量标准品与待测样本同步处理</w:t>
      </w:r>
      <w:r>
        <w:rPr>
          <w:sz w:val="18"/>
        </w:rPr>
        <w:t>）</w:t>
      </w:r>
    </w:p>
    <w:p>
      <w:pPr>
        <w:pStyle w:val="ListParagraph"/>
        <w:numPr>
          <w:ilvl w:val="1"/>
          <w:numId w:val="3"/>
        </w:numPr>
        <w:tabs>
          <w:tab w:pos="432" w:val="left" w:leader="none"/>
        </w:tabs>
        <w:spacing w:line="206" w:lineRule="auto" w:before="11" w:after="0"/>
        <w:ind w:left="424" w:right="237" w:hanging="298"/>
        <w:jc w:val="left"/>
        <w:rPr>
          <w:sz w:val="18"/>
        </w:rPr>
      </w:pPr>
      <w:r>
        <w:rPr>
          <w:spacing w:val="-4"/>
          <w:sz w:val="18"/>
        </w:rPr>
        <w:t>按推荐的核酸提取或纯化试剂提取待测样本、阴性对照、强阳性对照、临界阳性对照以及定量参考品</w:t>
      </w:r>
      <w:r>
        <w:rPr>
          <w:rFonts w:ascii="Times New Roman" w:hAnsi="Times New Roman" w:eastAsia="Times New Roman"/>
          <w:spacing w:val="-3"/>
          <w:sz w:val="18"/>
        </w:rPr>
        <w:t>A~D</w:t>
      </w:r>
      <w:r>
        <w:rPr>
          <w:spacing w:val="-14"/>
          <w:sz w:val="18"/>
        </w:rPr>
        <w:t>；内标按 </w:t>
      </w:r>
      <w:r>
        <w:rPr>
          <w:rFonts w:ascii="Times New Roman" w:hAnsi="Times New Roman" w:eastAsia="Times New Roman"/>
          <w:sz w:val="18"/>
        </w:rPr>
        <w:t>1μL/</w:t>
      </w:r>
      <w:r>
        <w:rPr>
          <w:spacing w:val="-3"/>
          <w:sz w:val="18"/>
        </w:rPr>
        <w:t>人份加</w:t>
      </w:r>
      <w:r>
        <w:rPr>
          <w:spacing w:val="-5"/>
          <w:sz w:val="18"/>
        </w:rPr>
        <w:t>入到推荐的提取溶液中；提取完后保留核酸待用。</w:t>
      </w:r>
    </w:p>
    <w:p>
      <w:pPr>
        <w:pStyle w:val="ListParagraph"/>
        <w:numPr>
          <w:ilvl w:val="1"/>
          <w:numId w:val="3"/>
        </w:numPr>
        <w:tabs>
          <w:tab w:pos="432" w:val="left" w:leader="none"/>
        </w:tabs>
        <w:spacing w:line="208" w:lineRule="auto" w:before="0" w:after="0"/>
        <w:ind w:left="424" w:right="235" w:hanging="298"/>
        <w:jc w:val="left"/>
        <w:rPr>
          <w:sz w:val="18"/>
        </w:rPr>
      </w:pPr>
      <w:r>
        <w:rPr>
          <w:spacing w:val="10"/>
          <w:sz w:val="18"/>
        </w:rPr>
        <w:t>在每个</w:t>
      </w:r>
      <w:r>
        <w:rPr>
          <w:rFonts w:ascii="Times New Roman" w:hAnsi="Times New Roman" w:eastAsia="Times New Roman"/>
          <w:sz w:val="18"/>
        </w:rPr>
        <w:t>PCR</w:t>
      </w:r>
      <w:r>
        <w:rPr>
          <w:rFonts w:ascii="Times New Roman" w:hAnsi="Times New Roman" w:eastAsia="Times New Roman"/>
          <w:spacing w:val="-5"/>
          <w:sz w:val="18"/>
        </w:rPr>
        <w:t> </w:t>
      </w:r>
      <w:r>
        <w:rPr>
          <w:spacing w:val="-12"/>
          <w:sz w:val="18"/>
        </w:rPr>
        <w:t>反应管中按 </w:t>
      </w:r>
      <w:r>
        <w:rPr>
          <w:rFonts w:ascii="Times New Roman" w:hAnsi="Times New Roman" w:eastAsia="Times New Roman"/>
          <w:spacing w:val="-3"/>
          <w:sz w:val="18"/>
        </w:rPr>
        <w:t>30μL/</w:t>
      </w:r>
      <w:r>
        <w:rPr>
          <w:spacing w:val="6"/>
          <w:sz w:val="18"/>
        </w:rPr>
        <w:t>人份加入</w:t>
      </w:r>
      <w:r>
        <w:rPr>
          <w:rFonts w:ascii="Times New Roman" w:hAnsi="Times New Roman" w:eastAsia="Times New Roman"/>
          <w:spacing w:val="-3"/>
          <w:sz w:val="18"/>
        </w:rPr>
        <w:t>PCR-</w:t>
      </w:r>
      <w:r>
        <w:rPr>
          <w:spacing w:val="-12"/>
          <w:sz w:val="18"/>
        </w:rPr>
        <w:t>混合液，再分别加入提取好的核酸，盖紧管盖</w:t>
      </w:r>
      <w:r>
        <w:rPr>
          <w:spacing w:val="-5"/>
          <w:sz w:val="18"/>
        </w:rPr>
        <w:t>（</w:t>
      </w:r>
      <w:r>
        <w:rPr>
          <w:spacing w:val="-12"/>
          <w:sz w:val="18"/>
        </w:rPr>
        <w:t>如有必要将 </w:t>
      </w:r>
      <w:r>
        <w:rPr>
          <w:rFonts w:ascii="Times New Roman" w:hAnsi="Times New Roman" w:eastAsia="Times New Roman"/>
          <w:sz w:val="18"/>
        </w:rPr>
        <w:t>PCR</w:t>
      </w:r>
      <w:r>
        <w:rPr>
          <w:rFonts w:ascii="Times New Roman" w:hAnsi="Times New Roman" w:eastAsia="Times New Roman"/>
          <w:spacing w:val="-5"/>
          <w:sz w:val="18"/>
        </w:rPr>
        <w:t> </w:t>
      </w:r>
      <w:r>
        <w:rPr>
          <w:spacing w:val="-15"/>
          <w:sz w:val="18"/>
        </w:rPr>
        <w:t>反应管 </w:t>
      </w:r>
      <w:r>
        <w:rPr>
          <w:rFonts w:ascii="Times New Roman" w:hAnsi="Times New Roman" w:eastAsia="Times New Roman"/>
          <w:spacing w:val="-3"/>
          <w:sz w:val="18"/>
        </w:rPr>
        <w:t>2000rpm</w:t>
      </w:r>
      <w:r>
        <w:rPr>
          <w:rFonts w:ascii="Times New Roman" w:hAnsi="Times New Roman" w:eastAsia="Times New Roman"/>
          <w:spacing w:val="-2"/>
          <w:sz w:val="18"/>
        </w:rPr>
        <w:t> </w:t>
      </w:r>
      <w:r>
        <w:rPr>
          <w:sz w:val="18"/>
        </w:rPr>
        <w:t>离</w:t>
      </w:r>
      <w:r>
        <w:rPr>
          <w:spacing w:val="-26"/>
          <w:sz w:val="18"/>
        </w:rPr>
        <w:t>心 </w:t>
      </w:r>
      <w:r>
        <w:rPr>
          <w:rFonts w:ascii="Times New Roman" w:hAnsi="Times New Roman" w:eastAsia="Times New Roman"/>
          <w:spacing w:val="-3"/>
          <w:sz w:val="18"/>
        </w:rPr>
        <w:t>10s</w:t>
      </w:r>
      <w:r>
        <w:rPr>
          <w:spacing w:val="-3"/>
          <w:sz w:val="18"/>
        </w:rPr>
        <w:t>）</w:t>
      </w:r>
      <w:r>
        <w:rPr>
          <w:spacing w:val="10"/>
          <w:sz w:val="18"/>
        </w:rPr>
        <w:t>转移至</w:t>
      </w:r>
      <w:r>
        <w:rPr>
          <w:rFonts w:ascii="Times New Roman" w:hAnsi="Times New Roman" w:eastAsia="Times New Roman"/>
          <w:sz w:val="18"/>
        </w:rPr>
        <w:t>PCR</w:t>
      </w:r>
      <w:r>
        <w:rPr>
          <w:rFonts w:ascii="Times New Roman" w:hAnsi="Times New Roman" w:eastAsia="Times New Roman"/>
          <w:spacing w:val="-5"/>
          <w:sz w:val="18"/>
        </w:rPr>
        <w:t> </w:t>
      </w:r>
      <w:r>
        <w:rPr>
          <w:spacing w:val="-4"/>
          <w:sz w:val="18"/>
        </w:rPr>
        <w:t>扩增区。</w:t>
      </w:r>
    </w:p>
    <w:p>
      <w:pPr>
        <w:pStyle w:val="ListParagraph"/>
        <w:numPr>
          <w:ilvl w:val="0"/>
          <w:numId w:val="3"/>
        </w:numPr>
        <w:tabs>
          <w:tab w:pos="300" w:val="left" w:leader="none"/>
        </w:tabs>
        <w:spacing w:line="191" w:lineRule="exact" w:before="0" w:after="0"/>
        <w:ind w:left="300" w:right="0" w:hanging="173"/>
        <w:jc w:val="left"/>
        <w:rPr>
          <w:sz w:val="18"/>
        </w:rPr>
      </w:pPr>
      <w:r>
        <w:rPr>
          <w:rFonts w:ascii="Times New Roman" w:eastAsia="Times New Roman"/>
          <w:b/>
          <w:sz w:val="18"/>
        </w:rPr>
        <w:t>PCR</w:t>
      </w:r>
      <w:r>
        <w:rPr>
          <w:rFonts w:ascii="Times New Roman" w:eastAsia="Times New Roman"/>
          <w:b/>
          <w:spacing w:val="35"/>
          <w:sz w:val="18"/>
        </w:rPr>
        <w:t> </w:t>
      </w:r>
      <w:r>
        <w:rPr>
          <w:b/>
          <w:spacing w:val="-4"/>
          <w:sz w:val="18"/>
        </w:rPr>
        <w:t>扩增</w:t>
      </w:r>
      <w:r>
        <w:rPr>
          <w:b/>
          <w:spacing w:val="-3"/>
          <w:sz w:val="18"/>
        </w:rPr>
        <w:t>（</w:t>
      </w:r>
      <w:r>
        <w:rPr>
          <w:b/>
          <w:spacing w:val="-5"/>
          <w:sz w:val="18"/>
        </w:rPr>
        <w:t>在扩增与分析区进行</w:t>
      </w:r>
      <w:r>
        <w:rPr>
          <w:b/>
          <w:spacing w:val="-4"/>
          <w:sz w:val="18"/>
        </w:rPr>
        <w:t>）</w:t>
      </w:r>
      <w:r>
        <w:rPr>
          <w:spacing w:val="-4"/>
          <w:sz w:val="18"/>
        </w:rPr>
        <w:t>（</w:t>
      </w:r>
      <w:r>
        <w:rPr>
          <w:spacing w:val="-5"/>
          <w:sz w:val="18"/>
        </w:rPr>
        <w:t>请参照各仪器使用说明书进行设置</w:t>
      </w:r>
      <w:r>
        <w:rPr>
          <w:sz w:val="18"/>
        </w:rPr>
        <w:t>）</w:t>
      </w:r>
    </w:p>
    <w:p>
      <w:pPr>
        <w:pStyle w:val="ListParagraph"/>
        <w:numPr>
          <w:ilvl w:val="1"/>
          <w:numId w:val="3"/>
        </w:numPr>
        <w:tabs>
          <w:tab w:pos="432" w:val="left" w:leader="none"/>
        </w:tabs>
        <w:spacing w:line="208" w:lineRule="auto" w:before="7" w:after="0"/>
        <w:ind w:left="424" w:right="241" w:hanging="298"/>
        <w:jc w:val="left"/>
        <w:rPr>
          <w:sz w:val="18"/>
        </w:rPr>
      </w:pPr>
      <w:r>
        <w:rPr>
          <w:spacing w:val="-3"/>
          <w:sz w:val="18"/>
        </w:rPr>
        <w:t>将</w:t>
      </w:r>
      <w:r>
        <w:rPr>
          <w:rFonts w:ascii="Times New Roman" w:eastAsia="Times New Roman"/>
          <w:spacing w:val="-3"/>
          <w:sz w:val="18"/>
        </w:rPr>
        <w:t>PCR</w:t>
      </w:r>
      <w:r>
        <w:rPr>
          <w:spacing w:val="-5"/>
          <w:sz w:val="18"/>
        </w:rPr>
        <w:t>反应管放入扩增仪样品槽，设置阴性对照、强阳性对照、临界阳性对照、定量标准品</w:t>
      </w:r>
      <w:r>
        <w:rPr>
          <w:rFonts w:ascii="Times New Roman" w:eastAsia="Times New Roman"/>
          <w:spacing w:val="-3"/>
          <w:sz w:val="18"/>
        </w:rPr>
        <w:t>A</w:t>
      </w:r>
      <w:r>
        <w:rPr>
          <w:spacing w:val="-3"/>
          <w:sz w:val="18"/>
        </w:rPr>
        <w:t>～</w:t>
      </w:r>
      <w:r>
        <w:rPr>
          <w:rFonts w:ascii="Times New Roman" w:eastAsia="Times New Roman"/>
          <w:spacing w:val="-3"/>
          <w:sz w:val="18"/>
        </w:rPr>
        <w:t>D</w:t>
      </w:r>
      <w:r>
        <w:rPr>
          <w:spacing w:val="-5"/>
          <w:sz w:val="18"/>
        </w:rPr>
        <w:t>以及待测样本，并设置定量参</w:t>
      </w:r>
      <w:r>
        <w:rPr>
          <w:spacing w:val="-4"/>
          <w:sz w:val="18"/>
        </w:rPr>
        <w:t>考品浓度。</w:t>
      </w:r>
    </w:p>
    <w:p>
      <w:pPr>
        <w:pStyle w:val="ListParagraph"/>
        <w:numPr>
          <w:ilvl w:val="1"/>
          <w:numId w:val="3"/>
        </w:numPr>
        <w:tabs>
          <w:tab w:pos="432" w:val="left" w:leader="none"/>
        </w:tabs>
        <w:spacing w:line="191" w:lineRule="exact" w:before="0" w:after="0"/>
        <w:ind w:left="432" w:right="0" w:hanging="305"/>
        <w:jc w:val="left"/>
        <w:rPr>
          <w:sz w:val="18"/>
        </w:rPr>
      </w:pPr>
      <w:r>
        <w:rPr>
          <w:spacing w:val="-5"/>
          <w:sz w:val="18"/>
        </w:rPr>
        <w:t>荧光检测通道选择</w:t>
      </w:r>
    </w:p>
    <w:p>
      <w:pPr>
        <w:pStyle w:val="ListParagraph"/>
        <w:numPr>
          <w:ilvl w:val="2"/>
          <w:numId w:val="3"/>
        </w:numPr>
        <w:tabs>
          <w:tab w:pos="521" w:val="left" w:leader="none"/>
        </w:tabs>
        <w:spacing w:line="200" w:lineRule="exact" w:before="0" w:after="0"/>
        <w:ind w:left="520" w:right="0" w:hanging="394"/>
        <w:jc w:val="left"/>
        <w:rPr>
          <w:sz w:val="18"/>
        </w:rPr>
      </w:pPr>
      <w:r>
        <w:rPr>
          <w:rFonts w:ascii="Times New Roman" w:eastAsia="Times New Roman"/>
          <w:sz w:val="18"/>
        </w:rPr>
        <w:t>ABI7500</w:t>
      </w:r>
      <w:r>
        <w:rPr>
          <w:spacing w:val="11"/>
          <w:sz w:val="18"/>
        </w:rPr>
        <w:t>、宏石</w:t>
      </w:r>
      <w:r>
        <w:rPr>
          <w:rFonts w:ascii="Times New Roman" w:eastAsia="Times New Roman"/>
          <w:sz w:val="18"/>
        </w:rPr>
        <w:t>SLAN-96p</w:t>
      </w:r>
      <w:r>
        <w:rPr>
          <w:rFonts w:ascii="Times New Roman" w:eastAsia="Times New Roman"/>
          <w:spacing w:val="-7"/>
          <w:sz w:val="18"/>
        </w:rPr>
        <w:t> </w:t>
      </w:r>
      <w:r>
        <w:rPr>
          <w:sz w:val="18"/>
        </w:rPr>
        <w:t>仪器：</w:t>
      </w:r>
    </w:p>
    <w:p>
      <w:pPr>
        <w:pStyle w:val="BodyText"/>
        <w:spacing w:line="206" w:lineRule="auto" w:before="11"/>
        <w:ind w:left="134" w:right="109" w:firstLine="369"/>
      </w:pPr>
      <w:r>
        <w:rPr>
          <w:rFonts w:ascii="Times New Roman" w:eastAsia="Times New Roman"/>
          <w:spacing w:val="-34"/>
        </w:rPr>
        <w:t>1</w:t>
      </w:r>
      <w:r>
        <w:rPr>
          <w:spacing w:val="-34"/>
        </w:rPr>
        <w:t>）</w:t>
      </w:r>
      <w:r>
        <w:rPr>
          <w:spacing w:val="-3"/>
        </w:rPr>
        <w:t>选择</w:t>
      </w:r>
      <w:r>
        <w:rPr>
          <w:rFonts w:ascii="Times New Roman" w:eastAsia="Times New Roman"/>
        </w:rPr>
        <w:t>FAM</w:t>
      </w:r>
      <w:r>
        <w:rPr>
          <w:spacing w:val="-32"/>
        </w:rPr>
        <w:t>通道</w:t>
      </w:r>
      <w:r>
        <w:rPr>
          <w:spacing w:val="-3"/>
        </w:rPr>
        <w:t>（</w:t>
      </w:r>
      <w:r>
        <w:rPr>
          <w:rFonts w:ascii="Times New Roman" w:eastAsia="Times New Roman"/>
          <w:spacing w:val="-3"/>
        </w:rPr>
        <w:t>Reporter</w:t>
      </w:r>
      <w:r>
        <w:rPr>
          <w:rFonts w:ascii="Times New Roman" w:eastAsia="Times New Roman"/>
          <w:b/>
          <w:spacing w:val="-3"/>
        </w:rPr>
        <w:t>: </w:t>
      </w:r>
      <w:r>
        <w:rPr>
          <w:rFonts w:ascii="Times New Roman" w:eastAsia="Times New Roman"/>
        </w:rPr>
        <w:t>FAM</w:t>
      </w:r>
      <w:r>
        <w:rPr>
          <w:rFonts w:ascii="Times New Roman" w:eastAsia="Times New Roman"/>
          <w:spacing w:val="-3"/>
        </w:rPr>
        <w:t>, Quencher</w:t>
      </w:r>
      <w:r>
        <w:rPr>
          <w:rFonts w:ascii="Times New Roman" w:eastAsia="Times New Roman"/>
          <w:b/>
          <w:spacing w:val="-3"/>
        </w:rPr>
        <w:t>: </w:t>
      </w:r>
      <w:r>
        <w:rPr>
          <w:rFonts w:ascii="Times New Roman" w:eastAsia="Times New Roman"/>
          <w:spacing w:val="-15"/>
        </w:rPr>
        <w:t>none</w:t>
      </w:r>
      <w:r>
        <w:rPr>
          <w:spacing w:val="-15"/>
        </w:rPr>
        <w:t>）</w:t>
      </w:r>
      <w:r>
        <w:rPr>
          <w:spacing w:val="-4"/>
        </w:rPr>
        <w:t>检测</w:t>
      </w:r>
      <w:r>
        <w:rPr>
          <w:rFonts w:ascii="Times New Roman" w:eastAsia="Times New Roman"/>
          <w:spacing w:val="-15"/>
        </w:rPr>
        <w:t>HBV-DNA</w:t>
      </w:r>
      <w:r>
        <w:rPr>
          <w:spacing w:val="-15"/>
        </w:rPr>
        <w:t>；</w:t>
      </w:r>
      <w:r>
        <w:rPr>
          <w:rFonts w:ascii="Times New Roman" w:eastAsia="Times New Roman"/>
          <w:spacing w:val="-15"/>
        </w:rPr>
        <w:t>2</w:t>
      </w:r>
      <w:r>
        <w:rPr>
          <w:spacing w:val="-15"/>
        </w:rPr>
        <w:t>）</w:t>
      </w:r>
      <w:r>
        <w:rPr>
          <w:spacing w:val="-3"/>
        </w:rPr>
        <w:t>选择</w:t>
      </w:r>
      <w:r>
        <w:rPr>
          <w:rFonts w:ascii="Times New Roman" w:eastAsia="Times New Roman"/>
          <w:spacing w:val="-2"/>
        </w:rPr>
        <w:t>HEX</w:t>
      </w:r>
      <w:r>
        <w:rPr>
          <w:spacing w:val="-3"/>
        </w:rPr>
        <w:t>或</w:t>
      </w:r>
      <w:r>
        <w:rPr>
          <w:rFonts w:ascii="Times New Roman" w:eastAsia="Times New Roman"/>
          <w:spacing w:val="-3"/>
        </w:rPr>
        <w:t>VIC</w:t>
      </w:r>
      <w:r>
        <w:rPr>
          <w:spacing w:val="-32"/>
        </w:rPr>
        <w:t>通道</w:t>
      </w:r>
      <w:r>
        <w:rPr>
          <w:spacing w:val="-3"/>
        </w:rPr>
        <w:t>（</w:t>
      </w:r>
      <w:r>
        <w:rPr>
          <w:rFonts w:ascii="Times New Roman" w:eastAsia="Times New Roman"/>
          <w:spacing w:val="-3"/>
        </w:rPr>
        <w:t>Reporter</w:t>
      </w:r>
      <w:r>
        <w:rPr>
          <w:rFonts w:ascii="Times New Roman" w:eastAsia="Times New Roman"/>
          <w:b/>
          <w:spacing w:val="-5"/>
        </w:rPr>
        <w:t>: </w:t>
      </w:r>
      <w:r>
        <w:rPr>
          <w:rFonts w:ascii="Times New Roman" w:eastAsia="Times New Roman"/>
        </w:rPr>
        <w:t>HEX/VIC</w:t>
      </w:r>
      <w:r>
        <w:rPr>
          <w:rFonts w:ascii="Times New Roman" w:eastAsia="Times New Roman"/>
          <w:spacing w:val="-3"/>
        </w:rPr>
        <w:t>, Quencher</w:t>
      </w:r>
      <w:r>
        <w:rPr>
          <w:rFonts w:ascii="Times New Roman" w:eastAsia="Times New Roman"/>
          <w:b/>
          <w:spacing w:val="-5"/>
        </w:rPr>
        <w:t>; </w:t>
      </w:r>
      <w:r>
        <w:rPr>
          <w:rFonts w:ascii="Times New Roman" w:eastAsia="Times New Roman"/>
        </w:rPr>
        <w:t>none</w:t>
      </w:r>
      <w:r>
        <w:rPr/>
        <w:t>） </w:t>
      </w:r>
      <w:r>
        <w:rPr>
          <w:spacing w:val="-4"/>
        </w:rPr>
        <w:t>检测</w:t>
      </w:r>
      <w:r>
        <w:rPr>
          <w:rFonts w:ascii="Times New Roman" w:eastAsia="Times New Roman"/>
          <w:spacing w:val="-3"/>
        </w:rPr>
        <w:t>HBV</w:t>
      </w:r>
      <w:r>
        <w:rPr>
          <w:spacing w:val="-5"/>
        </w:rPr>
        <w:t>内标；</w:t>
      </w:r>
      <w:r>
        <w:rPr>
          <w:rFonts w:ascii="Times New Roman" w:eastAsia="Times New Roman"/>
          <w:spacing w:val="-5"/>
        </w:rPr>
        <w:t>3</w:t>
      </w:r>
      <w:r>
        <w:rPr>
          <w:spacing w:val="-5"/>
        </w:rPr>
        <w:t>）参比荧光</w:t>
      </w:r>
      <w:r>
        <w:rPr>
          <w:spacing w:val="-3"/>
        </w:rPr>
        <w:t>（</w:t>
      </w:r>
      <w:r>
        <w:rPr>
          <w:rFonts w:ascii="Times New Roman" w:eastAsia="Times New Roman"/>
          <w:spacing w:val="-3"/>
        </w:rPr>
        <w:t>Reference </w:t>
      </w:r>
      <w:r>
        <w:rPr>
          <w:rFonts w:ascii="Times New Roman" w:eastAsia="Times New Roman"/>
          <w:spacing w:val="-4"/>
        </w:rPr>
        <w:t>Dye</w:t>
      </w:r>
      <w:r>
        <w:rPr>
          <w:spacing w:val="-4"/>
        </w:rPr>
        <w:t>）</w:t>
      </w:r>
      <w:r>
        <w:rPr>
          <w:spacing w:val="-5"/>
        </w:rPr>
        <w:t>：选择</w:t>
      </w:r>
      <w:r>
        <w:rPr>
          <w:rFonts w:ascii="Times New Roman" w:eastAsia="Times New Roman"/>
          <w:spacing w:val="-3"/>
        </w:rPr>
        <w:t>ROX</w:t>
      </w:r>
      <w:r>
        <w:rPr>
          <w:spacing w:val="-3"/>
        </w:rPr>
        <w:t>（</w:t>
      </w:r>
      <w:r>
        <w:rPr>
          <w:spacing w:val="-5"/>
        </w:rPr>
        <w:t>无</w:t>
      </w:r>
      <w:r>
        <w:rPr>
          <w:rFonts w:ascii="Times New Roman" w:eastAsia="Times New Roman"/>
          <w:spacing w:val="-3"/>
        </w:rPr>
        <w:t>ROX</w:t>
      </w:r>
      <w:r>
        <w:rPr>
          <w:spacing w:val="-5"/>
        </w:rPr>
        <w:t>矫正系统的仪器不选此设置）。设置</w:t>
      </w:r>
      <w:r>
        <w:rPr>
          <w:rFonts w:ascii="Times New Roman" w:eastAsia="Times New Roman"/>
        </w:rPr>
        <w:t>Sample </w:t>
      </w:r>
      <w:r>
        <w:rPr>
          <w:rFonts w:ascii="Times New Roman" w:eastAsia="Times New Roman"/>
          <w:spacing w:val="-3"/>
        </w:rPr>
        <w:t>Volume</w:t>
      </w:r>
      <w:r>
        <w:rPr>
          <w:spacing w:val="-5"/>
        </w:rPr>
        <w:t>为</w:t>
      </w:r>
      <w:r>
        <w:rPr>
          <w:rFonts w:ascii="Times New Roman" w:eastAsia="Times New Roman"/>
          <w:spacing w:val="-3"/>
        </w:rPr>
        <w:t>50</w:t>
      </w:r>
      <w:r>
        <w:rPr/>
        <w:t>。</w:t>
      </w:r>
    </w:p>
    <w:p>
      <w:pPr>
        <w:pStyle w:val="ListParagraph"/>
        <w:numPr>
          <w:ilvl w:val="2"/>
          <w:numId w:val="3"/>
        </w:numPr>
        <w:tabs>
          <w:tab w:pos="521" w:val="left" w:leader="none"/>
        </w:tabs>
        <w:spacing w:line="193" w:lineRule="exact" w:before="0" w:after="0"/>
        <w:ind w:left="520" w:right="0" w:hanging="394"/>
        <w:jc w:val="left"/>
        <w:rPr>
          <w:sz w:val="18"/>
        </w:rPr>
      </w:pPr>
      <w:r>
        <w:rPr>
          <w:rFonts w:ascii="Times New Roman" w:eastAsia="Times New Roman"/>
          <w:spacing w:val="-3"/>
          <w:sz w:val="18"/>
        </w:rPr>
        <w:t>Roche</w:t>
      </w:r>
      <w:r>
        <w:rPr>
          <w:rFonts w:ascii="Times New Roman" w:eastAsia="Times New Roman"/>
          <w:spacing w:val="-5"/>
          <w:sz w:val="18"/>
        </w:rPr>
        <w:t> </w:t>
      </w:r>
      <w:r>
        <w:rPr>
          <w:rFonts w:ascii="Times New Roman" w:eastAsia="Times New Roman"/>
          <w:sz w:val="18"/>
        </w:rPr>
        <w:t>480</w:t>
      </w:r>
      <w:r>
        <w:rPr>
          <w:rFonts w:ascii="Times New Roman" w:eastAsia="Times New Roman"/>
          <w:spacing w:val="1"/>
          <w:sz w:val="18"/>
        </w:rPr>
        <w:t> </w:t>
      </w:r>
      <w:r>
        <w:rPr>
          <w:spacing w:val="17"/>
          <w:sz w:val="18"/>
        </w:rPr>
        <w:t>荧光</w:t>
      </w:r>
      <w:r>
        <w:rPr>
          <w:rFonts w:ascii="Times New Roman" w:eastAsia="Times New Roman"/>
          <w:sz w:val="18"/>
        </w:rPr>
        <w:t>PCR</w:t>
      </w:r>
      <w:r>
        <w:rPr>
          <w:rFonts w:ascii="Times New Roman" w:eastAsia="Times New Roman"/>
          <w:spacing w:val="-5"/>
          <w:sz w:val="18"/>
        </w:rPr>
        <w:t> </w:t>
      </w:r>
      <w:r>
        <w:rPr>
          <w:spacing w:val="-3"/>
          <w:sz w:val="18"/>
        </w:rPr>
        <w:t>仪：</w:t>
      </w:r>
    </w:p>
    <w:p>
      <w:pPr>
        <w:pStyle w:val="BodyText"/>
        <w:ind w:left="542"/>
        <w:rPr>
          <w:rFonts w:ascii="Times New Roman" w:eastAsia="Times New Roman"/>
        </w:rPr>
      </w:pPr>
      <w:r>
        <w:rPr/>
        <w:t>选择</w:t>
      </w:r>
      <w:r>
        <w:rPr>
          <w:rFonts w:ascii="Times New Roman" w:eastAsia="Times New Roman"/>
        </w:rPr>
        <w:t>New Experiment, </w:t>
      </w:r>
      <w:r>
        <w:rPr/>
        <w:t>在</w:t>
      </w:r>
      <w:r>
        <w:rPr>
          <w:rFonts w:ascii="Times New Roman" w:eastAsia="Times New Roman"/>
        </w:rPr>
        <w:t>setup</w:t>
      </w:r>
      <w:r>
        <w:rPr/>
        <w:t>设置面板</w:t>
      </w:r>
      <w:r>
        <w:rPr>
          <w:rFonts w:ascii="Times New Roman" w:eastAsia="Times New Roman"/>
        </w:rPr>
        <w:t>Detection format</w:t>
      </w:r>
      <w:r>
        <w:rPr/>
        <w:t>下拉菜单中选择</w:t>
      </w:r>
      <w:r>
        <w:rPr>
          <w:rFonts w:ascii="Times New Roman" w:eastAsia="Times New Roman"/>
        </w:rPr>
        <w:t>Dual Color Hydrolysis Probe/UPL Probe</w:t>
      </w:r>
      <w:r>
        <w:rPr/>
        <w:t>，在</w:t>
      </w:r>
      <w:r>
        <w:rPr>
          <w:rFonts w:ascii="Times New Roman" w:eastAsia="Times New Roman"/>
        </w:rPr>
        <w:t>Customize</w:t>
      </w:r>
    </w:p>
    <w:p>
      <w:pPr>
        <w:pStyle w:val="BodyText"/>
        <w:spacing w:line="199" w:lineRule="exact"/>
        <w:ind w:left="132"/>
      </w:pPr>
      <w:r>
        <w:rPr/>
        <w:t>下拉菜单中：</w:t>
      </w:r>
      <w:r>
        <w:rPr>
          <w:rFonts w:ascii="Times New Roman" w:hAnsi="Times New Roman" w:eastAsia="Times New Roman"/>
        </w:rPr>
        <w:t>1</w:t>
      </w:r>
      <w:r>
        <w:rPr/>
        <w:t>）选择</w:t>
      </w:r>
      <w:r>
        <w:rPr>
          <w:rFonts w:ascii="Times New Roman" w:hAnsi="Times New Roman" w:eastAsia="Times New Roman"/>
        </w:rPr>
        <w:t>FAM</w:t>
      </w:r>
      <w:r>
        <w:rPr/>
        <w:t>通道检测</w:t>
      </w:r>
      <w:r>
        <w:rPr>
          <w:rFonts w:ascii="Times New Roman" w:hAnsi="Times New Roman" w:eastAsia="Times New Roman"/>
        </w:rPr>
        <w:t>HBV-DNA</w:t>
      </w:r>
      <w:r>
        <w:rPr/>
        <w:t>；</w:t>
      </w:r>
      <w:r>
        <w:rPr>
          <w:rFonts w:ascii="Times New Roman" w:hAnsi="Times New Roman" w:eastAsia="Times New Roman"/>
        </w:rPr>
        <w:t>2</w:t>
      </w:r>
      <w:r>
        <w:rPr/>
        <w:t>）选择</w:t>
      </w:r>
      <w:r>
        <w:rPr>
          <w:rFonts w:ascii="Times New Roman" w:hAnsi="Times New Roman" w:eastAsia="Times New Roman"/>
        </w:rPr>
        <w:t>VIC/HEX /Yellow 555</w:t>
      </w:r>
      <w:r>
        <w:rPr/>
        <w:t>通道检测内标。设置</w:t>
      </w:r>
      <w:r>
        <w:rPr>
          <w:rFonts w:ascii="Times New Roman" w:hAnsi="Times New Roman" w:eastAsia="Times New Roman"/>
        </w:rPr>
        <w:t>Reaction Volume</w:t>
      </w:r>
      <w:r>
        <w:rPr/>
        <w:t>为</w:t>
      </w:r>
      <w:r>
        <w:rPr>
          <w:rFonts w:ascii="Times New Roman" w:hAnsi="Times New Roman" w:eastAsia="Times New Roman"/>
        </w:rPr>
        <w:t>50μ</w:t>
      </w:r>
      <w:r>
        <w:rPr/>
        <w:t>L。</w:t>
      </w:r>
    </w:p>
    <w:p>
      <w:pPr>
        <w:pStyle w:val="ListParagraph"/>
        <w:numPr>
          <w:ilvl w:val="1"/>
          <w:numId w:val="3"/>
        </w:numPr>
        <w:tabs>
          <w:tab w:pos="432" w:val="left" w:leader="none"/>
        </w:tabs>
        <w:spacing w:line="215" w:lineRule="exact" w:before="0" w:after="0"/>
        <w:ind w:left="432" w:right="0" w:hanging="305"/>
        <w:jc w:val="left"/>
        <w:rPr>
          <w:sz w:val="18"/>
        </w:rPr>
      </w:pPr>
      <w:r>
        <w:rPr>
          <w:spacing w:val="-5"/>
          <w:sz w:val="18"/>
        </w:rPr>
        <w:t>循环参数设定：</w:t>
      </w:r>
    </w:p>
    <w:tbl>
      <w:tblPr>
        <w:tblW w:w="0" w:type="auto"/>
        <w:jc w:val="left"/>
        <w:tblInd w:w="17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02"/>
        <w:gridCol w:w="3060"/>
        <w:gridCol w:w="966"/>
        <w:gridCol w:w="1080"/>
        <w:gridCol w:w="1260"/>
      </w:tblGrid>
      <w:tr>
        <w:trPr>
          <w:trHeight w:val="200" w:hRule="atLeast"/>
        </w:trPr>
        <w:tc>
          <w:tcPr>
            <w:tcW w:w="3462" w:type="dxa"/>
            <w:gridSpan w:val="2"/>
          </w:tcPr>
          <w:p>
            <w:pPr>
              <w:pStyle w:val="TableParagraph"/>
              <w:ind w:left="1531" w:right="1520"/>
              <w:rPr>
                <w:sz w:val="18"/>
              </w:rPr>
            </w:pPr>
            <w:r>
              <w:rPr>
                <w:sz w:val="18"/>
              </w:rPr>
              <w:t>步骤</w:t>
            </w:r>
          </w:p>
        </w:tc>
        <w:tc>
          <w:tcPr>
            <w:tcW w:w="966" w:type="dxa"/>
          </w:tcPr>
          <w:p>
            <w:pPr>
              <w:pStyle w:val="TableParagraph"/>
              <w:ind w:left="0" w:right="291"/>
              <w:jc w:val="right"/>
              <w:rPr>
                <w:sz w:val="18"/>
              </w:rPr>
            </w:pPr>
            <w:r>
              <w:rPr>
                <w:sz w:val="18"/>
              </w:rPr>
              <w:t>温度</w:t>
            </w:r>
          </w:p>
        </w:tc>
        <w:tc>
          <w:tcPr>
            <w:tcW w:w="1080" w:type="dxa"/>
          </w:tcPr>
          <w:p>
            <w:pPr>
              <w:pStyle w:val="TableParagraph"/>
              <w:ind w:left="273" w:right="261"/>
              <w:rPr>
                <w:sz w:val="18"/>
              </w:rPr>
            </w:pPr>
            <w:r>
              <w:rPr>
                <w:sz w:val="18"/>
              </w:rPr>
              <w:t>时间</w:t>
            </w:r>
          </w:p>
        </w:tc>
        <w:tc>
          <w:tcPr>
            <w:tcW w:w="1260" w:type="dxa"/>
          </w:tcPr>
          <w:p>
            <w:pPr>
              <w:pStyle w:val="TableParagraph"/>
              <w:ind w:left="342" w:right="328"/>
              <w:rPr>
                <w:sz w:val="18"/>
              </w:rPr>
            </w:pPr>
            <w:r>
              <w:rPr>
                <w:sz w:val="18"/>
              </w:rPr>
              <w:t>循环数</w:t>
            </w:r>
          </w:p>
        </w:tc>
      </w:tr>
      <w:tr>
        <w:trPr>
          <w:trHeight w:val="200" w:hRule="atLeast"/>
        </w:trPr>
        <w:tc>
          <w:tcPr>
            <w:tcW w:w="402" w:type="dxa"/>
          </w:tcPr>
          <w:p>
            <w:pPr>
              <w:pStyle w:val="TableParagraph"/>
              <w:ind w:left="12"/>
              <w:rPr>
                <w:rFonts w:ascii="Times New Roman"/>
                <w:sz w:val="18"/>
              </w:rPr>
            </w:pPr>
            <w:r>
              <w:rPr>
                <w:rFonts w:ascii="Times New Roman"/>
                <w:sz w:val="18"/>
              </w:rPr>
              <w:t>1</w:t>
            </w:r>
          </w:p>
        </w:tc>
        <w:tc>
          <w:tcPr>
            <w:tcW w:w="3060" w:type="dxa"/>
          </w:tcPr>
          <w:p>
            <w:pPr>
              <w:pStyle w:val="TableParagraph"/>
              <w:ind w:left="107"/>
              <w:jc w:val="left"/>
              <w:rPr>
                <w:sz w:val="18"/>
              </w:rPr>
            </w:pPr>
            <w:r>
              <w:rPr>
                <w:rFonts w:ascii="Times New Roman" w:eastAsia="Times New Roman"/>
                <w:sz w:val="18"/>
              </w:rPr>
              <w:t>UNG </w:t>
            </w:r>
            <w:r>
              <w:rPr>
                <w:sz w:val="18"/>
              </w:rPr>
              <w:t>酶反应</w:t>
            </w:r>
          </w:p>
        </w:tc>
        <w:tc>
          <w:tcPr>
            <w:tcW w:w="966" w:type="dxa"/>
          </w:tcPr>
          <w:p>
            <w:pPr>
              <w:pStyle w:val="TableParagraph"/>
              <w:ind w:left="0" w:right="291"/>
              <w:jc w:val="right"/>
              <w:rPr>
                <w:sz w:val="18"/>
              </w:rPr>
            </w:pPr>
            <w:r>
              <w:rPr>
                <w:rFonts w:ascii="Times New Roman" w:hAnsi="Times New Roman"/>
                <w:sz w:val="18"/>
              </w:rPr>
              <w:t>50</w:t>
            </w:r>
            <w:r>
              <w:rPr>
                <w:sz w:val="18"/>
              </w:rPr>
              <w:t>℃</w:t>
            </w:r>
          </w:p>
        </w:tc>
        <w:tc>
          <w:tcPr>
            <w:tcW w:w="1080" w:type="dxa"/>
          </w:tcPr>
          <w:p>
            <w:pPr>
              <w:pStyle w:val="TableParagraph"/>
              <w:ind w:left="273" w:right="261"/>
              <w:rPr>
                <w:sz w:val="18"/>
              </w:rPr>
            </w:pPr>
            <w:r>
              <w:rPr>
                <w:rFonts w:ascii="Times New Roman" w:eastAsia="Times New Roman"/>
                <w:sz w:val="18"/>
              </w:rPr>
              <w:t>2 </w:t>
            </w:r>
            <w:r>
              <w:rPr>
                <w:sz w:val="18"/>
              </w:rPr>
              <w:t>分钟</w:t>
            </w:r>
          </w:p>
        </w:tc>
        <w:tc>
          <w:tcPr>
            <w:tcW w:w="1260" w:type="dxa"/>
          </w:tcPr>
          <w:p>
            <w:pPr>
              <w:pStyle w:val="TableParagraph"/>
              <w:rPr>
                <w:rFonts w:ascii="Times New Roman"/>
                <w:sz w:val="18"/>
              </w:rPr>
            </w:pPr>
            <w:r>
              <w:rPr>
                <w:rFonts w:ascii="Times New Roman"/>
                <w:sz w:val="18"/>
              </w:rPr>
              <w:t>1</w:t>
            </w:r>
          </w:p>
        </w:tc>
      </w:tr>
      <w:tr>
        <w:trPr>
          <w:trHeight w:val="197" w:hRule="atLeast"/>
        </w:trPr>
        <w:tc>
          <w:tcPr>
            <w:tcW w:w="402" w:type="dxa"/>
          </w:tcPr>
          <w:p>
            <w:pPr>
              <w:pStyle w:val="TableParagraph"/>
              <w:spacing w:line="178" w:lineRule="exact"/>
              <w:ind w:left="12"/>
              <w:rPr>
                <w:rFonts w:ascii="Times New Roman"/>
                <w:sz w:val="18"/>
              </w:rPr>
            </w:pPr>
            <w:r>
              <w:rPr>
                <w:rFonts w:ascii="Times New Roman"/>
                <w:sz w:val="18"/>
              </w:rPr>
              <w:t>2</w:t>
            </w:r>
          </w:p>
        </w:tc>
        <w:tc>
          <w:tcPr>
            <w:tcW w:w="3060" w:type="dxa"/>
          </w:tcPr>
          <w:p>
            <w:pPr>
              <w:pStyle w:val="TableParagraph"/>
              <w:spacing w:line="178" w:lineRule="exact"/>
              <w:ind w:left="107"/>
              <w:jc w:val="left"/>
              <w:rPr>
                <w:sz w:val="18"/>
              </w:rPr>
            </w:pPr>
            <w:r>
              <w:rPr>
                <w:rFonts w:ascii="Times New Roman" w:eastAsia="Times New Roman"/>
                <w:sz w:val="18"/>
              </w:rPr>
              <w:t>UNG </w:t>
            </w:r>
            <w:r>
              <w:rPr>
                <w:sz w:val="18"/>
              </w:rPr>
              <w:t>酶灭活</w:t>
            </w:r>
          </w:p>
        </w:tc>
        <w:tc>
          <w:tcPr>
            <w:tcW w:w="966" w:type="dxa"/>
          </w:tcPr>
          <w:p>
            <w:pPr>
              <w:pStyle w:val="TableParagraph"/>
              <w:spacing w:line="178" w:lineRule="exact"/>
              <w:ind w:left="0" w:right="291"/>
              <w:jc w:val="right"/>
              <w:rPr>
                <w:sz w:val="18"/>
              </w:rPr>
            </w:pPr>
            <w:r>
              <w:rPr>
                <w:rFonts w:ascii="Times New Roman" w:hAnsi="Times New Roman"/>
                <w:sz w:val="18"/>
              </w:rPr>
              <w:t>94</w:t>
            </w:r>
            <w:r>
              <w:rPr>
                <w:sz w:val="18"/>
              </w:rPr>
              <w:t>℃</w:t>
            </w:r>
          </w:p>
        </w:tc>
        <w:tc>
          <w:tcPr>
            <w:tcW w:w="1080" w:type="dxa"/>
          </w:tcPr>
          <w:p>
            <w:pPr>
              <w:pStyle w:val="TableParagraph"/>
              <w:spacing w:line="178" w:lineRule="exact"/>
              <w:ind w:left="273" w:right="261"/>
              <w:rPr>
                <w:sz w:val="18"/>
              </w:rPr>
            </w:pPr>
            <w:r>
              <w:rPr>
                <w:rFonts w:ascii="Times New Roman" w:eastAsia="Times New Roman"/>
                <w:sz w:val="18"/>
              </w:rPr>
              <w:t>5 </w:t>
            </w:r>
            <w:r>
              <w:rPr>
                <w:sz w:val="18"/>
              </w:rPr>
              <w:t>分钟</w:t>
            </w:r>
          </w:p>
        </w:tc>
        <w:tc>
          <w:tcPr>
            <w:tcW w:w="1260" w:type="dxa"/>
          </w:tcPr>
          <w:p>
            <w:pPr>
              <w:pStyle w:val="TableParagraph"/>
              <w:spacing w:line="178" w:lineRule="exact"/>
              <w:rPr>
                <w:rFonts w:ascii="Times New Roman"/>
                <w:sz w:val="18"/>
              </w:rPr>
            </w:pPr>
            <w:r>
              <w:rPr>
                <w:rFonts w:ascii="Times New Roman"/>
                <w:sz w:val="18"/>
              </w:rPr>
              <w:t>1</w:t>
            </w:r>
          </w:p>
        </w:tc>
      </w:tr>
    </w:tbl>
    <w:p>
      <w:pPr>
        <w:spacing w:after="0" w:line="178" w:lineRule="exact"/>
        <w:rPr>
          <w:rFonts w:ascii="Times New Roman"/>
          <w:sz w:val="18"/>
        </w:rPr>
        <w:sectPr>
          <w:type w:val="continuous"/>
          <w:pgSz w:w="11910" w:h="16840"/>
          <w:pgMar w:top="680" w:bottom="660" w:left="780" w:right="660"/>
        </w:sectPr>
      </w:pPr>
    </w:p>
    <w:tbl>
      <w:tblPr>
        <w:tblW w:w="0" w:type="auto"/>
        <w:jc w:val="left"/>
        <w:tblInd w:w="1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662"/>
        <w:gridCol w:w="402"/>
        <w:gridCol w:w="3060"/>
        <w:gridCol w:w="966"/>
        <w:gridCol w:w="1080"/>
        <w:gridCol w:w="1260"/>
        <w:gridCol w:w="1662"/>
      </w:tblGrid>
      <w:tr>
        <w:trPr>
          <w:trHeight w:val="197" w:hRule="atLeast"/>
        </w:trPr>
        <w:tc>
          <w:tcPr>
            <w:tcW w:w="1662" w:type="dxa"/>
            <w:vMerge w:val="restart"/>
            <w:tcBorders>
              <w:left w:val="nil"/>
              <w:bottom w:val="nil"/>
              <w:right w:val="single" w:sz="4" w:space="0" w:color="000000"/>
            </w:tcBorders>
          </w:tcPr>
          <w:p>
            <w:pPr>
              <w:pStyle w:val="TableParagraph"/>
              <w:spacing w:line="240" w:lineRule="auto"/>
              <w:ind w:left="0"/>
              <w:jc w:val="left"/>
              <w:rPr>
                <w:rFonts w:ascii="Times New Roman"/>
                <w:sz w:val="18"/>
              </w:rPr>
            </w:pPr>
          </w:p>
        </w:tc>
        <w:tc>
          <w:tcPr>
            <w:tcW w:w="402" w:type="dxa"/>
            <w:vMerge w:val="restart"/>
            <w:tcBorders>
              <w:top w:val="single" w:sz="12" w:space="0" w:color="000000"/>
              <w:left w:val="single" w:sz="4" w:space="0" w:color="000000"/>
              <w:bottom w:val="single" w:sz="4" w:space="0" w:color="000000"/>
              <w:right w:val="single" w:sz="4" w:space="0" w:color="000000"/>
            </w:tcBorders>
          </w:tcPr>
          <w:p>
            <w:pPr>
              <w:pStyle w:val="TableParagraph"/>
              <w:spacing w:line="240" w:lineRule="auto" w:before="133"/>
              <w:ind w:left="17"/>
              <w:rPr>
                <w:rFonts w:ascii="Times New Roman"/>
                <w:sz w:val="18"/>
              </w:rPr>
            </w:pPr>
            <w:r>
              <w:rPr>
                <w:rFonts w:ascii="Times New Roman"/>
                <w:sz w:val="18"/>
              </w:rPr>
              <w:t>3</w:t>
            </w:r>
          </w:p>
        </w:tc>
        <w:tc>
          <w:tcPr>
            <w:tcW w:w="3060" w:type="dxa"/>
            <w:tcBorders>
              <w:top w:val="single" w:sz="12" w:space="0" w:color="000000"/>
              <w:left w:val="single" w:sz="4" w:space="0" w:color="000000"/>
              <w:bottom w:val="single" w:sz="4" w:space="0" w:color="000000"/>
              <w:right w:val="single" w:sz="4" w:space="0" w:color="000000"/>
            </w:tcBorders>
          </w:tcPr>
          <w:p>
            <w:pPr>
              <w:pStyle w:val="TableParagraph"/>
              <w:spacing w:line="178" w:lineRule="exact"/>
              <w:ind w:left="110"/>
              <w:jc w:val="left"/>
              <w:rPr>
                <w:sz w:val="18"/>
              </w:rPr>
            </w:pPr>
            <w:r>
              <w:rPr>
                <w:sz w:val="18"/>
              </w:rPr>
              <w:t>变性</w:t>
            </w:r>
          </w:p>
        </w:tc>
        <w:tc>
          <w:tcPr>
            <w:tcW w:w="966" w:type="dxa"/>
            <w:tcBorders>
              <w:top w:val="single" w:sz="12" w:space="0" w:color="000000"/>
              <w:left w:val="single" w:sz="4" w:space="0" w:color="000000"/>
              <w:bottom w:val="single" w:sz="4" w:space="0" w:color="000000"/>
              <w:right w:val="single" w:sz="4" w:space="0" w:color="000000"/>
            </w:tcBorders>
          </w:tcPr>
          <w:p>
            <w:pPr>
              <w:pStyle w:val="TableParagraph"/>
              <w:spacing w:line="178" w:lineRule="exact"/>
              <w:ind w:left="0" w:right="289"/>
              <w:jc w:val="right"/>
              <w:rPr>
                <w:sz w:val="18"/>
              </w:rPr>
            </w:pPr>
            <w:r>
              <w:rPr>
                <w:rFonts w:ascii="Times New Roman" w:hAnsi="Times New Roman"/>
                <w:sz w:val="18"/>
              </w:rPr>
              <w:t>94</w:t>
            </w:r>
            <w:r>
              <w:rPr>
                <w:sz w:val="18"/>
              </w:rPr>
              <w:t>℃</w:t>
            </w:r>
          </w:p>
        </w:tc>
        <w:tc>
          <w:tcPr>
            <w:tcW w:w="1080" w:type="dxa"/>
            <w:tcBorders>
              <w:top w:val="single" w:sz="12" w:space="0" w:color="000000"/>
              <w:left w:val="single" w:sz="4" w:space="0" w:color="000000"/>
              <w:bottom w:val="single" w:sz="4" w:space="0" w:color="000000"/>
              <w:right w:val="single" w:sz="4" w:space="0" w:color="000000"/>
            </w:tcBorders>
          </w:tcPr>
          <w:p>
            <w:pPr>
              <w:pStyle w:val="TableParagraph"/>
              <w:spacing w:line="178" w:lineRule="exact"/>
              <w:ind w:left="322"/>
              <w:jc w:val="left"/>
              <w:rPr>
                <w:sz w:val="18"/>
              </w:rPr>
            </w:pPr>
            <w:r>
              <w:rPr>
                <w:rFonts w:ascii="Times New Roman" w:eastAsia="Times New Roman"/>
                <w:sz w:val="18"/>
              </w:rPr>
              <w:t>15 </w:t>
            </w:r>
            <w:r>
              <w:rPr>
                <w:sz w:val="18"/>
              </w:rPr>
              <w:t>秒</w:t>
            </w:r>
          </w:p>
        </w:tc>
        <w:tc>
          <w:tcPr>
            <w:tcW w:w="1260" w:type="dxa"/>
            <w:vMerge w:val="restart"/>
            <w:tcBorders>
              <w:top w:val="single" w:sz="12" w:space="0" w:color="000000"/>
              <w:left w:val="single" w:sz="4" w:space="0" w:color="000000"/>
              <w:bottom w:val="single" w:sz="4" w:space="0" w:color="000000"/>
              <w:right w:val="single" w:sz="4" w:space="0" w:color="000000"/>
            </w:tcBorders>
          </w:tcPr>
          <w:p>
            <w:pPr>
              <w:pStyle w:val="TableParagraph"/>
              <w:spacing w:line="240" w:lineRule="auto" w:before="133"/>
              <w:ind w:left="342" w:right="327"/>
              <w:rPr>
                <w:rFonts w:ascii="Times New Roman"/>
                <w:sz w:val="18"/>
              </w:rPr>
            </w:pPr>
            <w:r>
              <w:rPr>
                <w:rFonts w:ascii="Times New Roman"/>
                <w:sz w:val="18"/>
              </w:rPr>
              <w:t>45</w:t>
            </w:r>
          </w:p>
        </w:tc>
        <w:tc>
          <w:tcPr>
            <w:tcW w:w="1662" w:type="dxa"/>
            <w:vMerge w:val="restart"/>
            <w:tcBorders>
              <w:left w:val="single" w:sz="4" w:space="0" w:color="000000"/>
              <w:bottom w:val="nil"/>
              <w:right w:val="nil"/>
            </w:tcBorders>
          </w:tcPr>
          <w:p>
            <w:pPr>
              <w:pStyle w:val="TableParagraph"/>
              <w:spacing w:line="240" w:lineRule="auto"/>
              <w:ind w:left="0"/>
              <w:jc w:val="left"/>
              <w:rPr>
                <w:rFonts w:ascii="Times New Roman"/>
                <w:sz w:val="18"/>
              </w:rPr>
            </w:pPr>
          </w:p>
        </w:tc>
      </w:tr>
      <w:tr>
        <w:trPr>
          <w:trHeight w:val="270" w:hRule="atLeast"/>
        </w:trPr>
        <w:tc>
          <w:tcPr>
            <w:tcW w:w="1662" w:type="dxa"/>
            <w:vMerge/>
            <w:tcBorders>
              <w:top w:val="nil"/>
              <w:left w:val="nil"/>
              <w:bottom w:val="nil"/>
              <w:right w:val="single" w:sz="4" w:space="0" w:color="000000"/>
            </w:tcBorders>
          </w:tcPr>
          <w:p>
            <w:pPr>
              <w:rPr>
                <w:sz w:val="2"/>
                <w:szCs w:val="2"/>
              </w:rPr>
            </w:pPr>
          </w:p>
        </w:tc>
        <w:tc>
          <w:tcPr>
            <w:tcW w:w="402" w:type="dxa"/>
            <w:vMerge/>
            <w:tcBorders>
              <w:top w:val="nil"/>
              <w:left w:val="single" w:sz="4" w:space="0" w:color="000000"/>
              <w:bottom w:val="single" w:sz="4" w:space="0" w:color="000000"/>
              <w:right w:val="single" w:sz="4" w:space="0" w:color="000000"/>
            </w:tcBorders>
          </w:tcPr>
          <w:p>
            <w:pPr>
              <w:rPr>
                <w:sz w:val="2"/>
                <w:szCs w:val="2"/>
              </w:rPr>
            </w:pPr>
          </w:p>
        </w:tc>
        <w:tc>
          <w:tcPr>
            <w:tcW w:w="3060" w:type="dxa"/>
            <w:tcBorders>
              <w:top w:val="single" w:sz="4" w:space="0" w:color="000000"/>
              <w:left w:val="single" w:sz="4" w:space="0" w:color="000000"/>
              <w:bottom w:val="single" w:sz="4" w:space="0" w:color="000000"/>
              <w:right w:val="single" w:sz="4" w:space="0" w:color="000000"/>
            </w:tcBorders>
          </w:tcPr>
          <w:p>
            <w:pPr>
              <w:pStyle w:val="TableParagraph"/>
              <w:spacing w:line="214" w:lineRule="exact"/>
              <w:ind w:left="110"/>
              <w:jc w:val="left"/>
              <w:rPr>
                <w:sz w:val="18"/>
              </w:rPr>
            </w:pPr>
            <w:r>
              <w:rPr>
                <w:sz w:val="18"/>
              </w:rPr>
              <w:t>退火，延伸，及荧光采集</w:t>
            </w:r>
          </w:p>
        </w:tc>
        <w:tc>
          <w:tcPr>
            <w:tcW w:w="966" w:type="dxa"/>
            <w:tcBorders>
              <w:top w:val="single" w:sz="4" w:space="0" w:color="000000"/>
              <w:left w:val="single" w:sz="4" w:space="0" w:color="000000"/>
              <w:bottom w:val="single" w:sz="4" w:space="0" w:color="000000"/>
              <w:right w:val="single" w:sz="4" w:space="0" w:color="000000"/>
            </w:tcBorders>
          </w:tcPr>
          <w:p>
            <w:pPr>
              <w:pStyle w:val="TableParagraph"/>
              <w:spacing w:line="240" w:lineRule="auto" w:before="19"/>
              <w:ind w:left="0" w:right="289"/>
              <w:jc w:val="right"/>
              <w:rPr>
                <w:sz w:val="18"/>
              </w:rPr>
            </w:pPr>
            <w:r>
              <w:rPr>
                <w:rFonts w:ascii="Times New Roman" w:hAnsi="Times New Roman"/>
                <w:sz w:val="18"/>
              </w:rPr>
              <w:t>57</w:t>
            </w:r>
            <w:r>
              <w:rPr>
                <w:sz w:val="18"/>
              </w:rPr>
              <w:t>℃</w:t>
            </w:r>
          </w:p>
        </w:tc>
        <w:tc>
          <w:tcPr>
            <w:tcW w:w="1080" w:type="dxa"/>
            <w:tcBorders>
              <w:top w:val="single" w:sz="4" w:space="0" w:color="000000"/>
              <w:left w:val="single" w:sz="4" w:space="0" w:color="000000"/>
              <w:bottom w:val="single" w:sz="4" w:space="0" w:color="000000"/>
              <w:right w:val="single" w:sz="4" w:space="0" w:color="000000"/>
            </w:tcBorders>
          </w:tcPr>
          <w:p>
            <w:pPr>
              <w:pStyle w:val="TableParagraph"/>
              <w:spacing w:line="240" w:lineRule="auto" w:before="19"/>
              <w:ind w:left="279"/>
              <w:jc w:val="left"/>
              <w:rPr>
                <w:rFonts w:ascii="Times New Roman" w:eastAsia="Times New Roman"/>
                <w:sz w:val="18"/>
              </w:rPr>
            </w:pPr>
            <w:r>
              <w:rPr>
                <w:rFonts w:ascii="Times New Roman" w:eastAsia="Times New Roman"/>
                <w:sz w:val="18"/>
              </w:rPr>
              <w:t>30 </w:t>
            </w:r>
            <w:r>
              <w:rPr>
                <w:sz w:val="18"/>
              </w:rPr>
              <w:t>秒</w:t>
            </w:r>
            <w:r>
              <w:rPr>
                <w:rFonts w:ascii="Times New Roman" w:eastAsia="Times New Roman"/>
                <w:sz w:val="18"/>
              </w:rPr>
              <w:t>*</w:t>
            </w:r>
          </w:p>
        </w:tc>
        <w:tc>
          <w:tcPr>
            <w:tcW w:w="1260" w:type="dxa"/>
            <w:vMerge/>
            <w:tcBorders>
              <w:top w:val="nil"/>
              <w:left w:val="single" w:sz="4" w:space="0" w:color="000000"/>
              <w:bottom w:val="single" w:sz="4" w:space="0" w:color="000000"/>
              <w:right w:val="single" w:sz="4" w:space="0" w:color="000000"/>
            </w:tcBorders>
          </w:tcPr>
          <w:p>
            <w:pPr>
              <w:rPr>
                <w:sz w:val="2"/>
                <w:szCs w:val="2"/>
              </w:rPr>
            </w:pPr>
          </w:p>
        </w:tc>
        <w:tc>
          <w:tcPr>
            <w:tcW w:w="1662" w:type="dxa"/>
            <w:vMerge/>
            <w:tcBorders>
              <w:top w:val="nil"/>
              <w:left w:val="single" w:sz="4" w:space="0" w:color="000000"/>
              <w:bottom w:val="nil"/>
              <w:right w:val="nil"/>
            </w:tcBorders>
          </w:tcPr>
          <w:p>
            <w:pPr>
              <w:rPr>
                <w:sz w:val="2"/>
                <w:szCs w:val="2"/>
              </w:rPr>
            </w:pPr>
          </w:p>
        </w:tc>
      </w:tr>
      <w:tr>
        <w:trPr>
          <w:trHeight w:val="200" w:hRule="atLeast"/>
        </w:trPr>
        <w:tc>
          <w:tcPr>
            <w:tcW w:w="1662" w:type="dxa"/>
            <w:vMerge/>
            <w:tcBorders>
              <w:top w:val="nil"/>
              <w:left w:val="nil"/>
              <w:bottom w:val="nil"/>
              <w:right w:val="single" w:sz="4" w:space="0" w:color="000000"/>
            </w:tcBorders>
          </w:tcPr>
          <w:p>
            <w:pPr>
              <w:rPr>
                <w:sz w:val="2"/>
                <w:szCs w:val="2"/>
              </w:rPr>
            </w:pPr>
          </w:p>
        </w:tc>
        <w:tc>
          <w:tcPr>
            <w:tcW w:w="402" w:type="dxa"/>
            <w:tcBorders>
              <w:top w:val="single" w:sz="4" w:space="0" w:color="000000"/>
              <w:left w:val="single" w:sz="4" w:space="0" w:color="000000"/>
              <w:bottom w:val="single" w:sz="4" w:space="0" w:color="000000"/>
              <w:right w:val="single" w:sz="4" w:space="0" w:color="000000"/>
            </w:tcBorders>
          </w:tcPr>
          <w:p>
            <w:pPr>
              <w:pStyle w:val="TableParagraph"/>
              <w:ind w:left="17"/>
              <w:rPr>
                <w:rFonts w:ascii="Times New Roman"/>
                <w:sz w:val="18"/>
              </w:rPr>
            </w:pPr>
            <w:r>
              <w:rPr>
                <w:rFonts w:ascii="Times New Roman"/>
                <w:sz w:val="18"/>
              </w:rPr>
              <w:t>4</w:t>
            </w:r>
          </w:p>
        </w:tc>
        <w:tc>
          <w:tcPr>
            <w:tcW w:w="3060" w:type="dxa"/>
            <w:tcBorders>
              <w:top w:val="single" w:sz="4" w:space="0" w:color="000000"/>
              <w:left w:val="single" w:sz="4" w:space="0" w:color="000000"/>
              <w:bottom w:val="single" w:sz="4" w:space="0" w:color="000000"/>
              <w:right w:val="single" w:sz="4" w:space="0" w:color="000000"/>
            </w:tcBorders>
          </w:tcPr>
          <w:p>
            <w:pPr>
              <w:pStyle w:val="TableParagraph"/>
              <w:ind w:left="110"/>
              <w:jc w:val="left"/>
              <w:rPr>
                <w:sz w:val="18"/>
              </w:rPr>
            </w:pPr>
            <w:r>
              <w:rPr>
                <w:sz w:val="18"/>
              </w:rPr>
              <w:t>仪器冷却</w:t>
            </w:r>
          </w:p>
        </w:tc>
        <w:tc>
          <w:tcPr>
            <w:tcW w:w="966" w:type="dxa"/>
            <w:tcBorders>
              <w:top w:val="single" w:sz="4" w:space="0" w:color="000000"/>
              <w:left w:val="single" w:sz="4" w:space="0" w:color="000000"/>
              <w:bottom w:val="single" w:sz="4" w:space="0" w:color="000000"/>
              <w:right w:val="single" w:sz="4" w:space="0" w:color="000000"/>
            </w:tcBorders>
          </w:tcPr>
          <w:p>
            <w:pPr>
              <w:pStyle w:val="TableParagraph"/>
              <w:ind w:left="0" w:right="289"/>
              <w:jc w:val="right"/>
              <w:rPr>
                <w:sz w:val="18"/>
              </w:rPr>
            </w:pPr>
            <w:r>
              <w:rPr>
                <w:rFonts w:ascii="Times New Roman" w:hAnsi="Times New Roman"/>
                <w:sz w:val="18"/>
              </w:rPr>
              <w:t>37</w:t>
            </w:r>
            <w:r>
              <w:rPr>
                <w:sz w:val="18"/>
              </w:rPr>
              <w:t>℃</w:t>
            </w:r>
          </w:p>
        </w:tc>
        <w:tc>
          <w:tcPr>
            <w:tcW w:w="1080" w:type="dxa"/>
            <w:tcBorders>
              <w:top w:val="single" w:sz="4" w:space="0" w:color="000000"/>
              <w:left w:val="single" w:sz="4" w:space="0" w:color="000000"/>
              <w:bottom w:val="single" w:sz="4" w:space="0" w:color="000000"/>
              <w:right w:val="single" w:sz="4" w:space="0" w:color="000000"/>
            </w:tcBorders>
          </w:tcPr>
          <w:p>
            <w:pPr>
              <w:pStyle w:val="TableParagraph"/>
              <w:ind w:left="322"/>
              <w:jc w:val="left"/>
              <w:rPr>
                <w:sz w:val="18"/>
              </w:rPr>
            </w:pPr>
            <w:r>
              <w:rPr>
                <w:rFonts w:ascii="Times New Roman" w:eastAsia="Times New Roman"/>
                <w:sz w:val="18"/>
              </w:rPr>
              <w:t>10 </w:t>
            </w:r>
            <w:r>
              <w:rPr>
                <w:sz w:val="18"/>
              </w:rPr>
              <w:t>秒</w:t>
            </w:r>
          </w:p>
        </w:tc>
        <w:tc>
          <w:tcPr>
            <w:tcW w:w="1260" w:type="dxa"/>
            <w:tcBorders>
              <w:top w:val="single" w:sz="4" w:space="0" w:color="000000"/>
              <w:left w:val="single" w:sz="4" w:space="0" w:color="000000"/>
              <w:bottom w:val="single" w:sz="4" w:space="0" w:color="000000"/>
              <w:right w:val="single" w:sz="4" w:space="0" w:color="000000"/>
            </w:tcBorders>
          </w:tcPr>
          <w:p>
            <w:pPr>
              <w:pStyle w:val="TableParagraph"/>
              <w:ind w:left="18"/>
              <w:rPr>
                <w:rFonts w:ascii="Times New Roman"/>
                <w:sz w:val="18"/>
              </w:rPr>
            </w:pPr>
            <w:r>
              <w:rPr>
                <w:rFonts w:ascii="Times New Roman"/>
                <w:sz w:val="18"/>
              </w:rPr>
              <w:t>1</w:t>
            </w:r>
          </w:p>
        </w:tc>
        <w:tc>
          <w:tcPr>
            <w:tcW w:w="1662" w:type="dxa"/>
            <w:vMerge/>
            <w:tcBorders>
              <w:top w:val="nil"/>
              <w:left w:val="single" w:sz="4" w:space="0" w:color="000000"/>
              <w:bottom w:val="nil"/>
              <w:right w:val="nil"/>
            </w:tcBorders>
          </w:tcPr>
          <w:p>
            <w:pPr>
              <w:rPr>
                <w:sz w:val="2"/>
                <w:szCs w:val="2"/>
              </w:rPr>
            </w:pPr>
          </w:p>
        </w:tc>
      </w:tr>
    </w:tbl>
    <w:p>
      <w:pPr>
        <w:pStyle w:val="BodyText"/>
        <w:spacing w:line="204" w:lineRule="exact"/>
        <w:ind w:left="480"/>
        <w:rPr>
          <w:rFonts w:ascii="Times New Roman" w:eastAsia="Times New Roman"/>
        </w:rPr>
      </w:pPr>
      <w:r>
        <w:rPr/>
        <w:t>设置完毕，保存文件，运行反应程序。</w:t>
      </w:r>
      <w:r>
        <w:rPr>
          <w:rFonts w:ascii="Times New Roman" w:eastAsia="Times New Roman"/>
        </w:rPr>
        <w:t>(*</w:t>
      </w:r>
      <w:r>
        <w:rPr/>
        <w:t>注：由于</w:t>
      </w:r>
      <w:r>
        <w:rPr>
          <w:rFonts w:ascii="Times New Roman" w:eastAsia="Times New Roman"/>
        </w:rPr>
        <w:t>ABI7500 </w:t>
      </w:r>
      <w:r>
        <w:rPr/>
        <w:t>仪器原因，不能设置为 </w:t>
      </w:r>
      <w:r>
        <w:rPr>
          <w:rFonts w:ascii="Times New Roman" w:eastAsia="Times New Roman"/>
        </w:rPr>
        <w:t>30 </w:t>
      </w:r>
      <w:r>
        <w:rPr/>
        <w:t>秒，可以设置为 </w:t>
      </w:r>
      <w:r>
        <w:rPr>
          <w:rFonts w:ascii="Times New Roman" w:eastAsia="Times New Roman"/>
        </w:rPr>
        <w:t>31 </w:t>
      </w:r>
      <w:r>
        <w:rPr/>
        <w:t>秒或 </w:t>
      </w:r>
      <w:r>
        <w:rPr>
          <w:rFonts w:ascii="Times New Roman" w:eastAsia="Times New Roman"/>
        </w:rPr>
        <w:t>32 </w:t>
      </w:r>
      <w:r>
        <w:rPr/>
        <w:t>秒。</w:t>
      </w:r>
      <w:r>
        <w:rPr>
          <w:rFonts w:ascii="Times New Roman" w:eastAsia="Times New Roman"/>
        </w:rPr>
        <w:t>)</w:t>
      </w:r>
    </w:p>
    <w:p>
      <w:pPr>
        <w:pStyle w:val="ListParagraph"/>
        <w:numPr>
          <w:ilvl w:val="0"/>
          <w:numId w:val="3"/>
        </w:numPr>
        <w:tabs>
          <w:tab w:pos="344" w:val="left" w:leader="none"/>
        </w:tabs>
        <w:spacing w:line="200" w:lineRule="exact" w:before="0" w:after="0"/>
        <w:ind w:left="343" w:right="0" w:hanging="217"/>
        <w:jc w:val="left"/>
        <w:rPr>
          <w:sz w:val="18"/>
        </w:rPr>
      </w:pPr>
      <w:r>
        <w:rPr>
          <w:b/>
          <w:spacing w:val="-5"/>
          <w:sz w:val="18"/>
        </w:rPr>
        <w:t>结果分析</w:t>
      </w:r>
      <w:r>
        <w:rPr>
          <w:spacing w:val="-5"/>
          <w:sz w:val="18"/>
        </w:rPr>
        <w:t>（</w:t>
      </w:r>
      <w:r>
        <w:rPr>
          <w:spacing w:val="-3"/>
          <w:sz w:val="18"/>
        </w:rPr>
        <w:t>请参照各仪器使用说明书进行设置，以下分析以</w:t>
      </w:r>
      <w:r>
        <w:rPr>
          <w:rFonts w:ascii="Times New Roman" w:eastAsia="Times New Roman"/>
          <w:sz w:val="18"/>
        </w:rPr>
        <w:t>ABI</w:t>
      </w:r>
      <w:r>
        <w:rPr>
          <w:rFonts w:ascii="Times New Roman" w:eastAsia="Times New Roman"/>
          <w:spacing w:val="-1"/>
          <w:sz w:val="18"/>
        </w:rPr>
        <w:t> </w:t>
      </w:r>
      <w:r>
        <w:rPr>
          <w:sz w:val="18"/>
        </w:rPr>
        <w:t>系列仪器为例）</w:t>
      </w:r>
    </w:p>
    <w:p>
      <w:pPr>
        <w:pStyle w:val="BodyText"/>
        <w:spacing w:line="208" w:lineRule="auto" w:before="7"/>
        <w:ind w:right="241" w:firstLine="352"/>
      </w:pPr>
      <w:r>
        <w:rPr>
          <w:spacing w:val="-8"/>
        </w:rPr>
        <w:t>反应结束后自动保存结果，对</w:t>
      </w:r>
      <w:r>
        <w:rPr>
          <w:rFonts w:ascii="Times New Roman" w:eastAsia="Times New Roman"/>
          <w:spacing w:val="-3"/>
        </w:rPr>
        <w:t>HBV</w:t>
      </w:r>
      <w:r>
        <w:rPr>
          <w:spacing w:val="-20"/>
        </w:rPr>
        <w:t>曲线</w:t>
      </w:r>
      <w:r>
        <w:rPr>
          <w:spacing w:val="-7"/>
        </w:rPr>
        <w:t>（</w:t>
      </w:r>
      <w:r>
        <w:rPr>
          <w:rFonts w:ascii="Times New Roman" w:eastAsia="Times New Roman"/>
          <w:spacing w:val="-7"/>
        </w:rPr>
        <w:t>FAM</w:t>
      </w:r>
      <w:r>
        <w:rPr>
          <w:spacing w:val="-5"/>
        </w:rPr>
        <w:t>通道</w:t>
      </w:r>
      <w:r>
        <w:rPr>
          <w:spacing w:val="-36"/>
        </w:rPr>
        <w:t>）</w:t>
      </w:r>
      <w:r>
        <w:rPr>
          <w:spacing w:val="-11"/>
        </w:rPr>
        <w:t>和内标曲线</w:t>
      </w:r>
      <w:r>
        <w:rPr>
          <w:spacing w:val="-4"/>
        </w:rPr>
        <w:t>（</w:t>
      </w:r>
      <w:r>
        <w:rPr>
          <w:rFonts w:ascii="Times New Roman" w:eastAsia="Times New Roman"/>
          <w:spacing w:val="-4"/>
        </w:rPr>
        <w:t>HEX</w:t>
      </w:r>
      <w:r>
        <w:rPr>
          <w:spacing w:val="-5"/>
        </w:rPr>
        <w:t>或</w:t>
      </w:r>
      <w:r>
        <w:rPr>
          <w:rFonts w:ascii="Times New Roman" w:eastAsia="Times New Roman"/>
          <w:spacing w:val="-3"/>
        </w:rPr>
        <w:t>VIC</w:t>
      </w:r>
      <w:r>
        <w:rPr>
          <w:spacing w:val="-4"/>
        </w:rPr>
        <w:t>通道</w:t>
      </w:r>
      <w:r>
        <w:rPr>
          <w:spacing w:val="-39"/>
        </w:rPr>
        <w:t>）</w:t>
      </w:r>
      <w:r>
        <w:rPr>
          <w:spacing w:val="-10"/>
        </w:rPr>
        <w:t>分别进行分析。根据分析后图像调节</w:t>
      </w:r>
      <w:r>
        <w:rPr>
          <w:rFonts w:ascii="Times New Roman" w:eastAsia="Times New Roman"/>
        </w:rPr>
        <w:t>Baseline </w:t>
      </w:r>
      <w:r>
        <w:rPr>
          <w:spacing w:val="-5"/>
        </w:rPr>
        <w:t>的</w:t>
      </w:r>
      <w:r>
        <w:rPr>
          <w:rFonts w:ascii="Times New Roman" w:eastAsia="Times New Roman"/>
          <w:spacing w:val="-3"/>
        </w:rPr>
        <w:t>Start</w:t>
      </w:r>
      <w:r>
        <w:rPr>
          <w:spacing w:val="-4"/>
        </w:rPr>
        <w:t>值、</w:t>
      </w:r>
      <w:r>
        <w:rPr>
          <w:rFonts w:ascii="Times New Roman" w:eastAsia="Times New Roman"/>
          <w:spacing w:val="-3"/>
        </w:rPr>
        <w:t>End</w:t>
      </w:r>
      <w:r>
        <w:rPr>
          <w:spacing w:val="-5"/>
        </w:rPr>
        <w:t>值</w:t>
      </w:r>
      <w:r>
        <w:rPr>
          <w:spacing w:val="-3"/>
        </w:rPr>
        <w:t>（</w:t>
      </w:r>
      <w:r>
        <w:rPr>
          <w:spacing w:val="-5"/>
        </w:rPr>
        <w:t>用户可根据实际情况自行调整，</w:t>
      </w:r>
      <w:r>
        <w:rPr>
          <w:rFonts w:ascii="Times New Roman" w:eastAsia="Times New Roman"/>
          <w:spacing w:val="-3"/>
        </w:rPr>
        <w:t>Start</w:t>
      </w:r>
      <w:r>
        <w:rPr>
          <w:spacing w:val="-5"/>
        </w:rPr>
        <w:t>值可以在</w:t>
      </w:r>
      <w:r>
        <w:rPr>
          <w:rFonts w:ascii="Times New Roman" w:eastAsia="Times New Roman"/>
          <w:spacing w:val="-3"/>
        </w:rPr>
        <w:t>3</w:t>
      </w:r>
      <w:r>
        <w:rPr>
          <w:spacing w:val="-3"/>
        </w:rPr>
        <w:t>～</w:t>
      </w:r>
      <w:r>
        <w:rPr>
          <w:rFonts w:ascii="Times New Roman" w:eastAsia="Times New Roman"/>
          <w:spacing w:val="-3"/>
        </w:rPr>
        <w:t>15</w:t>
      </w:r>
      <w:r>
        <w:rPr>
          <w:spacing w:val="-5"/>
        </w:rPr>
        <w:t>、</w:t>
      </w:r>
      <w:r>
        <w:rPr>
          <w:rFonts w:ascii="Times New Roman" w:eastAsia="Times New Roman"/>
          <w:spacing w:val="-3"/>
        </w:rPr>
        <w:t>End</w:t>
      </w:r>
      <w:r>
        <w:rPr>
          <w:spacing w:val="-5"/>
        </w:rPr>
        <w:t>值可设在</w:t>
      </w:r>
      <w:r>
        <w:rPr>
          <w:rFonts w:ascii="Times New Roman" w:eastAsia="Times New Roman"/>
          <w:spacing w:val="-4"/>
        </w:rPr>
        <w:t>5</w:t>
      </w:r>
      <w:r>
        <w:rPr>
          <w:spacing w:val="-4"/>
        </w:rPr>
        <w:t>～</w:t>
      </w:r>
      <w:r>
        <w:rPr>
          <w:rFonts w:ascii="Times New Roman" w:eastAsia="Times New Roman"/>
          <w:spacing w:val="-4"/>
        </w:rPr>
        <w:t>20</w:t>
      </w:r>
      <w:r>
        <w:rPr>
          <w:spacing w:val="-4"/>
        </w:rPr>
        <w:t>）以及</w:t>
      </w:r>
      <w:r>
        <w:rPr>
          <w:rFonts w:ascii="Times New Roman" w:eastAsia="Times New Roman"/>
          <w:spacing w:val="-3"/>
        </w:rPr>
        <w:t>Threshold</w:t>
      </w:r>
      <w:r>
        <w:rPr>
          <w:spacing w:val="-5"/>
        </w:rPr>
        <w:t>值（阈值设定原则以阈值线刚好超过正常阴性对照品检测曲线的最高点），</w:t>
      </w:r>
      <w:r>
        <w:rPr>
          <w:spacing w:val="-4"/>
        </w:rPr>
        <w:t>点击</w:t>
      </w:r>
      <w:r>
        <w:rPr>
          <w:rFonts w:ascii="Times New Roman" w:eastAsia="Times New Roman"/>
          <w:spacing w:val="-3"/>
        </w:rPr>
        <w:t>Analyze</w:t>
      </w:r>
      <w:r>
        <w:rPr>
          <w:spacing w:val="-5"/>
        </w:rPr>
        <w:t>进行分析，然后到</w:t>
      </w:r>
      <w:r>
        <w:rPr>
          <w:rFonts w:ascii="Times New Roman" w:eastAsia="Times New Roman"/>
          <w:spacing w:val="-3"/>
        </w:rPr>
        <w:t>Plate</w:t>
      </w:r>
      <w:r>
        <w:rPr>
          <w:spacing w:val="-5"/>
        </w:rPr>
        <w:t>窗口下记录检测结果。</w:t>
      </w:r>
    </w:p>
    <w:p>
      <w:pPr>
        <w:pStyle w:val="Heading1"/>
        <w:numPr>
          <w:ilvl w:val="0"/>
          <w:numId w:val="3"/>
        </w:numPr>
        <w:tabs>
          <w:tab w:pos="344" w:val="left" w:leader="none"/>
        </w:tabs>
        <w:spacing w:line="190" w:lineRule="exact" w:before="0" w:after="0"/>
        <w:ind w:left="343" w:right="0" w:hanging="217"/>
        <w:jc w:val="left"/>
      </w:pPr>
      <w:r>
        <w:rPr>
          <w:spacing w:val="-3"/>
        </w:rPr>
        <w:t>质量控制</w:t>
      </w:r>
    </w:p>
    <w:p>
      <w:pPr>
        <w:pStyle w:val="ListParagraph"/>
        <w:numPr>
          <w:ilvl w:val="1"/>
          <w:numId w:val="3"/>
        </w:numPr>
        <w:tabs>
          <w:tab w:pos="432" w:val="left" w:leader="none"/>
        </w:tabs>
        <w:spacing w:line="200" w:lineRule="exact" w:before="0" w:after="0"/>
        <w:ind w:left="432" w:right="0" w:hanging="305"/>
        <w:jc w:val="left"/>
        <w:rPr>
          <w:sz w:val="18"/>
        </w:rPr>
      </w:pPr>
      <w:r>
        <w:rPr>
          <w:spacing w:val="2"/>
          <w:sz w:val="18"/>
        </w:rPr>
        <w:t>阴性对照：无</w:t>
      </w:r>
      <w:r>
        <w:rPr>
          <w:rFonts w:ascii="Times New Roman" w:hAnsi="Times New Roman" w:eastAsia="Times New Roman"/>
          <w:sz w:val="18"/>
        </w:rPr>
        <w:t>Ct</w:t>
      </w:r>
      <w:r>
        <w:rPr>
          <w:rFonts w:ascii="Times New Roman" w:hAnsi="Times New Roman" w:eastAsia="Times New Roman"/>
          <w:spacing w:val="-4"/>
          <w:sz w:val="18"/>
        </w:rPr>
        <w:t> </w:t>
      </w:r>
      <w:r>
        <w:rPr>
          <w:spacing w:val="-2"/>
          <w:sz w:val="18"/>
        </w:rPr>
        <w:t>值显示，且内标检测为阳性</w:t>
      </w:r>
      <w:r>
        <w:rPr>
          <w:rFonts w:ascii="Times New Roman" w:hAnsi="Times New Roman" w:eastAsia="Times New Roman"/>
          <w:spacing w:val="-3"/>
          <w:sz w:val="18"/>
        </w:rPr>
        <w:t>Ct≤40</w:t>
      </w:r>
      <w:r>
        <w:rPr>
          <w:sz w:val="18"/>
        </w:rPr>
        <w:t>。</w:t>
      </w:r>
    </w:p>
    <w:p>
      <w:pPr>
        <w:pStyle w:val="ListParagraph"/>
        <w:numPr>
          <w:ilvl w:val="1"/>
          <w:numId w:val="3"/>
        </w:numPr>
        <w:tabs>
          <w:tab w:pos="468" w:val="left" w:leader="none"/>
        </w:tabs>
        <w:spacing w:line="200" w:lineRule="exact" w:before="0" w:after="0"/>
        <w:ind w:left="468" w:right="0" w:hanging="341"/>
        <w:jc w:val="left"/>
        <w:rPr>
          <w:sz w:val="18"/>
        </w:rPr>
      </w:pPr>
      <w:r>
        <w:rPr>
          <w:spacing w:val="17"/>
          <w:sz w:val="18"/>
        </w:rPr>
        <w:t>阳性对照： 强阳性对照检测浓度值介于 </w:t>
      </w:r>
      <w:r>
        <w:rPr>
          <w:rFonts w:ascii="Times New Roman" w:eastAsia="Times New Roman"/>
          <w:sz w:val="18"/>
        </w:rPr>
        <w:t>1.58E+04</w:t>
      </w:r>
      <w:r>
        <w:rPr>
          <w:rFonts w:ascii="Times New Roman" w:eastAsia="Times New Roman"/>
          <w:spacing w:val="-13"/>
          <w:sz w:val="18"/>
        </w:rPr>
        <w:t> </w:t>
      </w:r>
      <w:r>
        <w:rPr>
          <w:sz w:val="18"/>
        </w:rPr>
        <w:t>～</w:t>
      </w:r>
      <w:r>
        <w:rPr>
          <w:spacing w:val="-58"/>
          <w:sz w:val="18"/>
        </w:rPr>
        <w:t> </w:t>
      </w:r>
      <w:r>
        <w:rPr>
          <w:rFonts w:ascii="Times New Roman" w:eastAsia="Times New Roman"/>
          <w:spacing w:val="-3"/>
          <w:sz w:val="18"/>
        </w:rPr>
        <w:t>1.58E+05IU/mL</w:t>
      </w:r>
      <w:r>
        <w:rPr>
          <w:rFonts w:ascii="Times New Roman" w:eastAsia="Times New Roman"/>
          <w:spacing w:val="-11"/>
          <w:sz w:val="18"/>
        </w:rPr>
        <w:t> </w:t>
      </w:r>
      <w:r>
        <w:rPr>
          <w:spacing w:val="-29"/>
          <w:sz w:val="18"/>
        </w:rPr>
        <w:t>， </w:t>
      </w:r>
      <w:r>
        <w:rPr>
          <w:rFonts w:ascii="Times New Roman" w:eastAsia="Times New Roman"/>
          <w:sz w:val="18"/>
        </w:rPr>
        <w:t>Ct</w:t>
      </w:r>
      <w:r>
        <w:rPr>
          <w:rFonts w:ascii="Times New Roman" w:eastAsia="Times New Roman"/>
          <w:spacing w:val="31"/>
          <w:sz w:val="18"/>
        </w:rPr>
        <w:t> </w:t>
      </w:r>
      <w:r>
        <w:rPr>
          <w:spacing w:val="33"/>
          <w:sz w:val="18"/>
        </w:rPr>
        <w:t>值</w:t>
      </w:r>
      <w:r>
        <w:rPr>
          <w:rFonts w:ascii="Times New Roman" w:eastAsia="Times New Roman"/>
          <w:sz w:val="18"/>
        </w:rPr>
        <w:t>&lt;32</w:t>
      </w:r>
      <w:r>
        <w:rPr>
          <w:rFonts w:ascii="Times New Roman" w:eastAsia="Times New Roman"/>
          <w:spacing w:val="-13"/>
          <w:sz w:val="18"/>
        </w:rPr>
        <w:t> </w:t>
      </w:r>
      <w:r>
        <w:rPr>
          <w:spacing w:val="19"/>
          <w:sz w:val="18"/>
        </w:rPr>
        <w:t>； 临界阳性对照检测浓度值介于</w:t>
      </w:r>
    </w:p>
    <w:p>
      <w:pPr>
        <w:pStyle w:val="BodyText"/>
        <w:spacing w:line="199" w:lineRule="exact"/>
      </w:pPr>
      <w:r>
        <w:rPr>
          <w:rFonts w:ascii="Times New Roman" w:eastAsia="Times New Roman"/>
        </w:rPr>
        <w:t>1.58E+02~1.58E+03IU/mL</w:t>
      </w:r>
      <w:r>
        <w:rPr/>
        <w:t>，</w:t>
      </w:r>
      <w:r>
        <w:rPr>
          <w:rFonts w:ascii="Times New Roman" w:eastAsia="Times New Roman"/>
        </w:rPr>
        <w:t>Ct </w:t>
      </w:r>
      <w:r>
        <w:rPr/>
        <w:t>值</w:t>
      </w:r>
      <w:r>
        <w:rPr>
          <w:rFonts w:ascii="Times New Roman" w:eastAsia="Times New Roman"/>
        </w:rPr>
        <w:t>&lt;38</w:t>
      </w:r>
      <w:r>
        <w:rPr/>
        <w:t>。</w:t>
      </w:r>
    </w:p>
    <w:p>
      <w:pPr>
        <w:pStyle w:val="ListParagraph"/>
        <w:numPr>
          <w:ilvl w:val="1"/>
          <w:numId w:val="3"/>
        </w:numPr>
        <w:tabs>
          <w:tab w:pos="432" w:val="left" w:leader="none"/>
        </w:tabs>
        <w:spacing w:line="200" w:lineRule="exact" w:before="0" w:after="0"/>
        <w:ind w:left="432" w:right="0" w:hanging="305"/>
        <w:jc w:val="left"/>
        <w:rPr>
          <w:sz w:val="18"/>
        </w:rPr>
      </w:pPr>
      <w:r>
        <w:rPr>
          <w:spacing w:val="-5"/>
          <w:sz w:val="18"/>
        </w:rPr>
        <w:t>定量标准品：均检测为阳性，且相关系数</w:t>
      </w:r>
      <w:r>
        <w:rPr>
          <w:rFonts w:ascii="Times New Roman" w:hAnsi="Times New Roman" w:eastAsia="Times New Roman"/>
          <w:spacing w:val="-3"/>
          <w:sz w:val="18"/>
        </w:rPr>
        <w:t>|r|≥0.98</w:t>
      </w:r>
      <w:r>
        <w:rPr>
          <w:sz w:val="18"/>
        </w:rPr>
        <w:t>。</w:t>
      </w:r>
    </w:p>
    <w:p>
      <w:pPr>
        <w:pStyle w:val="ListParagraph"/>
        <w:numPr>
          <w:ilvl w:val="1"/>
          <w:numId w:val="3"/>
        </w:numPr>
        <w:tabs>
          <w:tab w:pos="432" w:val="left" w:leader="none"/>
        </w:tabs>
        <w:spacing w:line="200" w:lineRule="exact" w:before="0" w:after="0"/>
        <w:ind w:left="432" w:right="0" w:hanging="305"/>
        <w:jc w:val="left"/>
        <w:rPr>
          <w:sz w:val="18"/>
        </w:rPr>
      </w:pPr>
      <w:r>
        <w:rPr>
          <w:spacing w:val="-5"/>
          <w:sz w:val="18"/>
        </w:rPr>
        <w:t>以上要求需在同一次实验中同时满足，否则本次实验无效，需重新进行。</w:t>
      </w:r>
    </w:p>
    <w:p>
      <w:pPr>
        <w:pStyle w:val="Heading1"/>
        <w:spacing w:line="199" w:lineRule="exact"/>
      </w:pPr>
      <w:r>
        <w:rPr/>
        <w:t>【阳性判断值】</w:t>
      </w:r>
    </w:p>
    <w:p>
      <w:pPr>
        <w:pStyle w:val="BodyText"/>
        <w:ind w:left="475"/>
      </w:pPr>
      <w:r>
        <w:rPr/>
        <w:t>通过参考值的研究试验确定，检测样本体积为 </w:t>
      </w:r>
      <w:r>
        <w:rPr>
          <w:rFonts w:ascii="Times New Roman" w:hAnsi="Times New Roman" w:eastAsia="Times New Roman"/>
        </w:rPr>
        <w:t>200μL </w:t>
      </w:r>
      <w:r>
        <w:rPr/>
        <w:t>时检出限为 </w:t>
      </w:r>
      <w:r>
        <w:rPr>
          <w:rFonts w:ascii="Times New Roman" w:hAnsi="Times New Roman" w:eastAsia="Times New Roman"/>
        </w:rPr>
        <w:t>8IU/mL</w:t>
      </w:r>
      <w:r>
        <w:rPr/>
        <w:t>；检测样本体积为 </w:t>
      </w:r>
      <w:r>
        <w:rPr>
          <w:rFonts w:ascii="Times New Roman" w:hAnsi="Times New Roman" w:eastAsia="Times New Roman"/>
        </w:rPr>
        <w:t>400μL </w:t>
      </w:r>
      <w:r>
        <w:rPr/>
        <w:t>时检出限为 </w:t>
      </w:r>
      <w:r>
        <w:rPr>
          <w:rFonts w:ascii="Times New Roman" w:hAnsi="Times New Roman" w:eastAsia="Times New Roman"/>
        </w:rPr>
        <w:t>5IU/mL</w:t>
      </w:r>
      <w:r>
        <w:rPr/>
        <w:t>。</w:t>
      </w:r>
    </w:p>
    <w:p>
      <w:pPr>
        <w:pStyle w:val="Heading1"/>
      </w:pPr>
      <w:r>
        <w:rPr/>
        <w:t>【检验结果的解释】</w:t>
      </w:r>
    </w:p>
    <w:p>
      <w:pPr>
        <w:pStyle w:val="ListParagraph"/>
        <w:numPr>
          <w:ilvl w:val="0"/>
          <w:numId w:val="4"/>
        </w:numPr>
        <w:tabs>
          <w:tab w:pos="346" w:val="left" w:leader="none"/>
        </w:tabs>
        <w:spacing w:line="199" w:lineRule="exact" w:before="0" w:after="0"/>
        <w:ind w:left="345" w:right="0" w:hanging="217"/>
        <w:jc w:val="left"/>
        <w:rPr>
          <w:sz w:val="18"/>
        </w:rPr>
      </w:pPr>
      <w:r>
        <w:rPr>
          <w:spacing w:val="-10"/>
          <w:sz w:val="18"/>
        </w:rPr>
        <w:t>待测样本测定值在 </w:t>
      </w:r>
      <w:r>
        <w:rPr>
          <w:rFonts w:ascii="Times New Roman" w:eastAsia="Times New Roman"/>
          <w:sz w:val="18"/>
        </w:rPr>
        <w:t>20</w:t>
      </w:r>
      <w:r>
        <w:rPr>
          <w:rFonts w:ascii="Times New Roman" w:eastAsia="Times New Roman"/>
          <w:spacing w:val="-6"/>
          <w:sz w:val="18"/>
        </w:rPr>
        <w:t> </w:t>
      </w:r>
      <w:r>
        <w:rPr>
          <w:rFonts w:ascii="Times New Roman" w:eastAsia="Times New Roman"/>
          <w:spacing w:val="-3"/>
          <w:sz w:val="18"/>
        </w:rPr>
        <w:t>IU/mL</w:t>
      </w:r>
      <w:r>
        <w:rPr>
          <w:spacing w:val="-3"/>
          <w:sz w:val="18"/>
        </w:rPr>
        <w:t>～</w:t>
      </w:r>
      <w:r>
        <w:rPr>
          <w:rFonts w:ascii="Times New Roman" w:eastAsia="Times New Roman"/>
          <w:spacing w:val="-3"/>
          <w:sz w:val="18"/>
        </w:rPr>
        <w:t>2.0E+09IU/mL</w:t>
      </w:r>
      <w:r>
        <w:rPr>
          <w:rFonts w:ascii="Times New Roman" w:eastAsia="Times New Roman"/>
          <w:spacing w:val="-4"/>
          <w:sz w:val="18"/>
        </w:rPr>
        <w:t> </w:t>
      </w:r>
      <w:r>
        <w:rPr>
          <w:spacing w:val="-1"/>
          <w:sz w:val="18"/>
        </w:rPr>
        <w:t>之间，且扩增曲线成明显</w:t>
      </w:r>
      <w:r>
        <w:rPr>
          <w:rFonts w:ascii="Times New Roman" w:eastAsia="Times New Roman"/>
          <w:sz w:val="18"/>
        </w:rPr>
        <w:t>S</w:t>
      </w:r>
      <w:r>
        <w:rPr>
          <w:rFonts w:ascii="Times New Roman" w:eastAsia="Times New Roman"/>
          <w:spacing w:val="-4"/>
          <w:sz w:val="18"/>
        </w:rPr>
        <w:t> </w:t>
      </w:r>
      <w:r>
        <w:rPr>
          <w:spacing w:val="-5"/>
          <w:sz w:val="18"/>
        </w:rPr>
        <w:t>型，可直接报告阳性及测定结果。</w:t>
      </w:r>
    </w:p>
    <w:p>
      <w:pPr>
        <w:pStyle w:val="ListParagraph"/>
        <w:numPr>
          <w:ilvl w:val="0"/>
          <w:numId w:val="4"/>
        </w:numPr>
        <w:tabs>
          <w:tab w:pos="346" w:val="left" w:leader="none"/>
        </w:tabs>
        <w:spacing w:line="200" w:lineRule="exact" w:before="0" w:after="0"/>
        <w:ind w:left="345" w:right="0" w:hanging="217"/>
        <w:jc w:val="left"/>
        <w:rPr>
          <w:sz w:val="18"/>
        </w:rPr>
      </w:pPr>
      <w:r>
        <w:rPr>
          <w:spacing w:val="-5"/>
          <w:sz w:val="18"/>
        </w:rPr>
        <w:t>待测样本测定值</w:t>
      </w:r>
      <w:r>
        <w:rPr>
          <w:rFonts w:ascii="Times New Roman" w:eastAsia="Times New Roman"/>
          <w:sz w:val="18"/>
        </w:rPr>
        <w:t>&gt;2.0E+09</w:t>
      </w:r>
      <w:r>
        <w:rPr>
          <w:rFonts w:ascii="Times New Roman" w:eastAsia="Times New Roman"/>
          <w:spacing w:val="-24"/>
          <w:sz w:val="18"/>
        </w:rPr>
        <w:t> </w:t>
      </w:r>
      <w:r>
        <w:rPr>
          <w:rFonts w:ascii="Times New Roman" w:eastAsia="Times New Roman"/>
          <w:sz w:val="18"/>
        </w:rPr>
        <w:t>IU/mL</w:t>
      </w:r>
      <w:r>
        <w:rPr>
          <w:rFonts w:ascii="Times New Roman" w:eastAsia="Times New Roman"/>
          <w:spacing w:val="32"/>
          <w:sz w:val="18"/>
        </w:rPr>
        <w:t> </w:t>
      </w:r>
      <w:r>
        <w:rPr>
          <w:spacing w:val="-5"/>
          <w:sz w:val="18"/>
        </w:rPr>
        <w:t>的样本，可做适当稀释，使其落入有效范围内再进行检测。</w:t>
      </w:r>
    </w:p>
    <w:p>
      <w:pPr>
        <w:pStyle w:val="ListParagraph"/>
        <w:numPr>
          <w:ilvl w:val="0"/>
          <w:numId w:val="4"/>
        </w:numPr>
        <w:tabs>
          <w:tab w:pos="346" w:val="left" w:leader="none"/>
        </w:tabs>
        <w:spacing w:line="206" w:lineRule="auto" w:before="11" w:after="0"/>
        <w:ind w:left="367" w:right="232" w:hanging="238"/>
        <w:jc w:val="both"/>
        <w:rPr>
          <w:sz w:val="18"/>
        </w:rPr>
      </w:pPr>
      <w:r>
        <w:rPr>
          <w:spacing w:val="-11"/>
          <w:sz w:val="18"/>
        </w:rPr>
        <w:t>检测样本体积为 </w:t>
      </w:r>
      <w:r>
        <w:rPr>
          <w:rFonts w:ascii="Times New Roman" w:hAnsi="Times New Roman" w:eastAsia="Times New Roman"/>
          <w:spacing w:val="-3"/>
          <w:sz w:val="18"/>
        </w:rPr>
        <w:t>200μL</w:t>
      </w:r>
      <w:r>
        <w:rPr>
          <w:rFonts w:ascii="Times New Roman" w:hAnsi="Times New Roman" w:eastAsia="Times New Roman"/>
          <w:spacing w:val="-4"/>
          <w:sz w:val="18"/>
        </w:rPr>
        <w:t> </w:t>
      </w:r>
      <w:r>
        <w:rPr>
          <w:spacing w:val="-5"/>
          <w:sz w:val="18"/>
        </w:rPr>
        <w:t>时，待测样本测定值</w:t>
      </w:r>
      <w:r>
        <w:rPr>
          <w:rFonts w:ascii="Times New Roman" w:hAnsi="Times New Roman" w:eastAsia="Times New Roman"/>
          <w:sz w:val="18"/>
        </w:rPr>
        <w:t>≥8</w:t>
      </w:r>
      <w:r>
        <w:rPr>
          <w:rFonts w:ascii="Times New Roman" w:hAnsi="Times New Roman" w:eastAsia="Times New Roman"/>
          <w:spacing w:val="-4"/>
          <w:sz w:val="18"/>
        </w:rPr>
        <w:t> </w:t>
      </w:r>
      <w:r>
        <w:rPr>
          <w:rFonts w:ascii="Times New Roman" w:hAnsi="Times New Roman" w:eastAsia="Times New Roman"/>
          <w:spacing w:val="-3"/>
          <w:sz w:val="18"/>
        </w:rPr>
        <w:t>IU/mL</w:t>
      </w:r>
      <w:r>
        <w:rPr>
          <w:spacing w:val="-4"/>
          <w:sz w:val="18"/>
        </w:rPr>
        <w:t>，而</w:t>
      </w:r>
      <w:r>
        <w:rPr>
          <w:rFonts w:ascii="Times New Roman" w:hAnsi="Times New Roman" w:eastAsia="Times New Roman"/>
          <w:sz w:val="18"/>
        </w:rPr>
        <w:t>&lt;20</w:t>
      </w:r>
      <w:r>
        <w:rPr>
          <w:rFonts w:ascii="Times New Roman" w:hAnsi="Times New Roman" w:eastAsia="Times New Roman"/>
          <w:spacing w:val="-7"/>
          <w:sz w:val="18"/>
        </w:rPr>
        <w:t> </w:t>
      </w:r>
      <w:r>
        <w:rPr>
          <w:rFonts w:ascii="Times New Roman" w:hAnsi="Times New Roman" w:eastAsia="Times New Roman"/>
          <w:sz w:val="18"/>
        </w:rPr>
        <w:t>IU/mL</w:t>
      </w:r>
      <w:r>
        <w:rPr>
          <w:rFonts w:ascii="Times New Roman" w:hAnsi="Times New Roman" w:eastAsia="Times New Roman"/>
          <w:spacing w:val="-5"/>
          <w:sz w:val="18"/>
        </w:rPr>
        <w:t> </w:t>
      </w:r>
      <w:r>
        <w:rPr>
          <w:spacing w:val="-5"/>
          <w:sz w:val="18"/>
        </w:rPr>
        <w:t>的样本，表明病毒载量低，测定值仅供参考；检测样本体积</w:t>
      </w:r>
      <w:r>
        <w:rPr>
          <w:spacing w:val="-28"/>
          <w:sz w:val="18"/>
        </w:rPr>
        <w:t>为 </w:t>
      </w:r>
      <w:r>
        <w:rPr>
          <w:rFonts w:ascii="Times New Roman" w:hAnsi="Times New Roman" w:eastAsia="Times New Roman"/>
          <w:spacing w:val="-3"/>
          <w:sz w:val="18"/>
        </w:rPr>
        <w:t>400μL</w:t>
      </w:r>
      <w:r>
        <w:rPr>
          <w:rFonts w:ascii="Times New Roman" w:hAnsi="Times New Roman" w:eastAsia="Times New Roman"/>
          <w:spacing w:val="-4"/>
          <w:sz w:val="18"/>
        </w:rPr>
        <w:t> </w:t>
      </w:r>
      <w:r>
        <w:rPr>
          <w:spacing w:val="-5"/>
          <w:sz w:val="18"/>
        </w:rPr>
        <w:t>时，待测样本测定值</w:t>
      </w:r>
      <w:r>
        <w:rPr>
          <w:rFonts w:ascii="Times New Roman" w:hAnsi="Times New Roman" w:eastAsia="Times New Roman"/>
          <w:sz w:val="18"/>
        </w:rPr>
        <w:t>≥5</w:t>
      </w:r>
      <w:r>
        <w:rPr>
          <w:rFonts w:ascii="Times New Roman" w:hAnsi="Times New Roman" w:eastAsia="Times New Roman"/>
          <w:spacing w:val="-6"/>
          <w:sz w:val="18"/>
        </w:rPr>
        <w:t> </w:t>
      </w:r>
      <w:r>
        <w:rPr>
          <w:rFonts w:ascii="Times New Roman" w:hAnsi="Times New Roman" w:eastAsia="Times New Roman"/>
          <w:spacing w:val="-3"/>
          <w:sz w:val="18"/>
        </w:rPr>
        <w:t>IU/mL</w:t>
      </w:r>
      <w:r>
        <w:rPr>
          <w:spacing w:val="-3"/>
          <w:sz w:val="18"/>
        </w:rPr>
        <w:t>，而</w:t>
      </w:r>
      <w:r>
        <w:rPr>
          <w:rFonts w:ascii="Times New Roman" w:hAnsi="Times New Roman" w:eastAsia="Times New Roman"/>
          <w:sz w:val="18"/>
        </w:rPr>
        <w:t>&lt;20</w:t>
      </w:r>
      <w:r>
        <w:rPr>
          <w:rFonts w:ascii="Times New Roman" w:hAnsi="Times New Roman" w:eastAsia="Times New Roman"/>
          <w:spacing w:val="-6"/>
          <w:sz w:val="18"/>
        </w:rPr>
        <w:t> </w:t>
      </w:r>
      <w:r>
        <w:rPr>
          <w:rFonts w:ascii="Times New Roman" w:hAnsi="Times New Roman" w:eastAsia="Times New Roman"/>
          <w:sz w:val="18"/>
        </w:rPr>
        <w:t>IU/mL</w:t>
      </w:r>
      <w:r>
        <w:rPr>
          <w:rFonts w:ascii="Times New Roman" w:hAnsi="Times New Roman" w:eastAsia="Times New Roman"/>
          <w:spacing w:val="-4"/>
          <w:sz w:val="18"/>
        </w:rPr>
        <w:t> </w:t>
      </w:r>
      <w:r>
        <w:rPr>
          <w:spacing w:val="-5"/>
          <w:sz w:val="18"/>
        </w:rPr>
        <w:t>的样本，表明病毒载量低，测定值仅供参考。</w:t>
      </w:r>
    </w:p>
    <w:p>
      <w:pPr>
        <w:pStyle w:val="ListParagraph"/>
        <w:numPr>
          <w:ilvl w:val="0"/>
          <w:numId w:val="4"/>
        </w:numPr>
        <w:tabs>
          <w:tab w:pos="344" w:val="left" w:leader="none"/>
        </w:tabs>
        <w:spacing w:line="208" w:lineRule="auto" w:before="0" w:after="0"/>
        <w:ind w:left="372" w:right="230" w:hanging="245"/>
        <w:jc w:val="both"/>
        <w:rPr>
          <w:sz w:val="18"/>
        </w:rPr>
      </w:pPr>
      <w:r>
        <w:rPr>
          <w:spacing w:val="-11"/>
          <w:sz w:val="18"/>
        </w:rPr>
        <w:t>检测样本体积为 </w:t>
      </w:r>
      <w:r>
        <w:rPr>
          <w:rFonts w:ascii="Times New Roman" w:hAnsi="Times New Roman" w:eastAsia="Times New Roman"/>
          <w:spacing w:val="-3"/>
          <w:sz w:val="18"/>
        </w:rPr>
        <w:t>200μL</w:t>
      </w:r>
      <w:r>
        <w:rPr>
          <w:rFonts w:ascii="Times New Roman" w:hAnsi="Times New Roman" w:eastAsia="Times New Roman"/>
          <w:spacing w:val="-6"/>
          <w:sz w:val="18"/>
        </w:rPr>
        <w:t> </w:t>
      </w:r>
      <w:r>
        <w:rPr>
          <w:spacing w:val="-6"/>
          <w:sz w:val="18"/>
        </w:rPr>
        <w:t>时，待测样本测定值</w:t>
      </w:r>
      <w:r>
        <w:rPr>
          <w:rFonts w:ascii="Times New Roman" w:hAnsi="Times New Roman" w:eastAsia="Times New Roman"/>
          <w:sz w:val="18"/>
        </w:rPr>
        <w:t>&lt;8</w:t>
      </w:r>
      <w:r>
        <w:rPr>
          <w:rFonts w:ascii="Times New Roman" w:hAnsi="Times New Roman" w:eastAsia="Times New Roman"/>
          <w:spacing w:val="-5"/>
          <w:sz w:val="18"/>
        </w:rPr>
        <w:t> </w:t>
      </w:r>
      <w:r>
        <w:rPr>
          <w:rFonts w:ascii="Times New Roman" w:hAnsi="Times New Roman" w:eastAsia="Times New Roman"/>
          <w:sz w:val="18"/>
        </w:rPr>
        <w:t>IU/mL</w:t>
      </w:r>
      <w:r>
        <w:rPr>
          <w:rFonts w:ascii="Times New Roman" w:hAnsi="Times New Roman" w:eastAsia="Times New Roman"/>
          <w:spacing w:val="-6"/>
          <w:sz w:val="18"/>
        </w:rPr>
        <w:t> </w:t>
      </w:r>
      <w:r>
        <w:rPr>
          <w:spacing w:val="-1"/>
          <w:sz w:val="18"/>
        </w:rPr>
        <w:t>的样本，同时内标</w:t>
      </w:r>
      <w:r>
        <w:rPr>
          <w:rFonts w:ascii="Times New Roman" w:hAnsi="Times New Roman" w:eastAsia="Times New Roman"/>
          <w:spacing w:val="-4"/>
          <w:sz w:val="18"/>
        </w:rPr>
        <w:t>Ct≤40</w:t>
      </w:r>
      <w:r>
        <w:rPr>
          <w:spacing w:val="6"/>
          <w:sz w:val="18"/>
        </w:rPr>
        <w:t>，则报告</w:t>
      </w:r>
      <w:r>
        <w:rPr>
          <w:rFonts w:ascii="Times New Roman" w:hAnsi="Times New Roman" w:eastAsia="Times New Roman"/>
          <w:sz w:val="18"/>
        </w:rPr>
        <w:t>HBV</w:t>
      </w:r>
      <w:r>
        <w:rPr>
          <w:rFonts w:ascii="Times New Roman" w:hAnsi="Times New Roman" w:eastAsia="Times New Roman"/>
          <w:spacing w:val="-9"/>
          <w:sz w:val="18"/>
        </w:rPr>
        <w:t> </w:t>
      </w:r>
      <w:r>
        <w:rPr>
          <w:rFonts w:ascii="Times New Roman" w:hAnsi="Times New Roman" w:eastAsia="Times New Roman"/>
          <w:sz w:val="18"/>
        </w:rPr>
        <w:t>DNA</w:t>
      </w:r>
      <w:r>
        <w:rPr>
          <w:rFonts w:ascii="Times New Roman" w:hAnsi="Times New Roman" w:eastAsia="Times New Roman"/>
          <w:spacing w:val="-7"/>
          <w:sz w:val="18"/>
        </w:rPr>
        <w:t> </w:t>
      </w:r>
      <w:r>
        <w:rPr>
          <w:spacing w:val="-6"/>
          <w:sz w:val="18"/>
        </w:rPr>
        <w:t>含量低于试剂盒检测下限；检</w:t>
      </w:r>
      <w:r>
        <w:rPr>
          <w:spacing w:val="-12"/>
          <w:sz w:val="18"/>
        </w:rPr>
        <w:t>测样本体积为 </w:t>
      </w:r>
      <w:r>
        <w:rPr>
          <w:rFonts w:ascii="Times New Roman" w:hAnsi="Times New Roman" w:eastAsia="Times New Roman"/>
          <w:spacing w:val="-3"/>
          <w:sz w:val="18"/>
        </w:rPr>
        <w:t>400μL</w:t>
      </w:r>
      <w:r>
        <w:rPr>
          <w:rFonts w:ascii="Times New Roman" w:hAnsi="Times New Roman" w:eastAsia="Times New Roman"/>
          <w:spacing w:val="-4"/>
          <w:sz w:val="18"/>
        </w:rPr>
        <w:t> </w:t>
      </w:r>
      <w:r>
        <w:rPr>
          <w:spacing w:val="-8"/>
          <w:sz w:val="18"/>
        </w:rPr>
        <w:t>时，待测样本测定值</w:t>
      </w:r>
      <w:r>
        <w:rPr>
          <w:rFonts w:ascii="Times New Roman" w:hAnsi="Times New Roman" w:eastAsia="Times New Roman"/>
          <w:sz w:val="18"/>
        </w:rPr>
        <w:t>&lt;5</w:t>
      </w:r>
      <w:r>
        <w:rPr>
          <w:rFonts w:ascii="Times New Roman" w:hAnsi="Times New Roman" w:eastAsia="Times New Roman"/>
          <w:spacing w:val="-6"/>
          <w:sz w:val="18"/>
        </w:rPr>
        <w:t> </w:t>
      </w:r>
      <w:r>
        <w:rPr>
          <w:rFonts w:ascii="Times New Roman" w:hAnsi="Times New Roman" w:eastAsia="Times New Roman"/>
          <w:sz w:val="18"/>
        </w:rPr>
        <w:t>IU/mL</w:t>
      </w:r>
      <w:r>
        <w:rPr>
          <w:rFonts w:ascii="Times New Roman" w:hAnsi="Times New Roman" w:eastAsia="Times New Roman"/>
          <w:spacing w:val="-6"/>
          <w:sz w:val="18"/>
        </w:rPr>
        <w:t> </w:t>
      </w:r>
      <w:r>
        <w:rPr>
          <w:spacing w:val="-2"/>
          <w:sz w:val="18"/>
        </w:rPr>
        <w:t>的样本，同时内标</w:t>
      </w:r>
      <w:r>
        <w:rPr>
          <w:rFonts w:ascii="Times New Roman" w:hAnsi="Times New Roman" w:eastAsia="Times New Roman"/>
          <w:spacing w:val="-5"/>
          <w:sz w:val="18"/>
        </w:rPr>
        <w:t>Ct≤40</w:t>
      </w:r>
      <w:r>
        <w:rPr>
          <w:spacing w:val="5"/>
          <w:sz w:val="18"/>
        </w:rPr>
        <w:t>，则报告</w:t>
      </w:r>
      <w:r>
        <w:rPr>
          <w:rFonts w:ascii="Times New Roman" w:hAnsi="Times New Roman" w:eastAsia="Times New Roman"/>
          <w:sz w:val="18"/>
        </w:rPr>
        <w:t>HBV</w:t>
      </w:r>
      <w:r>
        <w:rPr>
          <w:rFonts w:ascii="Times New Roman" w:hAnsi="Times New Roman" w:eastAsia="Times New Roman"/>
          <w:spacing w:val="-9"/>
          <w:sz w:val="18"/>
        </w:rPr>
        <w:t> </w:t>
      </w:r>
      <w:r>
        <w:rPr>
          <w:rFonts w:ascii="Times New Roman" w:hAnsi="Times New Roman" w:eastAsia="Times New Roman"/>
          <w:sz w:val="18"/>
        </w:rPr>
        <w:t>DNA</w:t>
      </w:r>
      <w:r>
        <w:rPr>
          <w:rFonts w:ascii="Times New Roman" w:hAnsi="Times New Roman" w:eastAsia="Times New Roman"/>
          <w:spacing w:val="-6"/>
          <w:sz w:val="18"/>
        </w:rPr>
        <w:t> </w:t>
      </w:r>
      <w:r>
        <w:rPr>
          <w:spacing w:val="-6"/>
          <w:sz w:val="18"/>
        </w:rPr>
        <w:t>含量低于试剂盒检测下限；若内</w:t>
      </w:r>
      <w:r>
        <w:rPr>
          <w:spacing w:val="-5"/>
          <w:sz w:val="18"/>
        </w:rPr>
        <w:t>标不正常</w:t>
      </w:r>
      <w:r>
        <w:rPr>
          <w:sz w:val="18"/>
        </w:rPr>
        <w:t>（</w:t>
      </w:r>
      <w:r>
        <w:rPr>
          <w:rFonts w:ascii="Times New Roman" w:hAnsi="Times New Roman" w:eastAsia="Times New Roman"/>
          <w:sz w:val="18"/>
        </w:rPr>
        <w:t>Ct&gt;40</w:t>
      </w:r>
      <w:r>
        <w:rPr>
          <w:rFonts w:ascii="Times New Roman" w:hAnsi="Times New Roman" w:eastAsia="Times New Roman"/>
          <w:spacing w:val="34"/>
          <w:sz w:val="18"/>
        </w:rPr>
        <w:t> </w:t>
      </w:r>
      <w:r>
        <w:rPr>
          <w:spacing w:val="-5"/>
          <w:sz w:val="18"/>
        </w:rPr>
        <w:t>或无数值</w:t>
      </w:r>
      <w:r>
        <w:rPr>
          <w:spacing w:val="-4"/>
          <w:sz w:val="18"/>
        </w:rPr>
        <w:t>）</w:t>
      </w:r>
      <w:r>
        <w:rPr>
          <w:spacing w:val="-5"/>
          <w:sz w:val="18"/>
        </w:rPr>
        <w:t>，则该样本的检测结果无效，应查找并排除原因，并对此样本进行重复实验。</w:t>
      </w:r>
    </w:p>
    <w:p>
      <w:pPr>
        <w:pStyle w:val="Heading1"/>
        <w:spacing w:line="191" w:lineRule="exact"/>
      </w:pPr>
      <w:r>
        <w:rPr/>
        <w:t>【检验方法的局限性】</w:t>
      </w:r>
    </w:p>
    <w:p>
      <w:pPr>
        <w:pStyle w:val="ListParagraph"/>
        <w:numPr>
          <w:ilvl w:val="0"/>
          <w:numId w:val="5"/>
        </w:numPr>
        <w:tabs>
          <w:tab w:pos="262" w:val="left" w:leader="none"/>
        </w:tabs>
        <w:spacing w:line="200" w:lineRule="exact" w:before="0" w:after="0"/>
        <w:ind w:left="261" w:right="0" w:hanging="135"/>
        <w:jc w:val="left"/>
        <w:rPr>
          <w:sz w:val="18"/>
        </w:rPr>
      </w:pPr>
      <w:r>
        <w:rPr>
          <w:spacing w:val="-6"/>
          <w:sz w:val="18"/>
        </w:rPr>
        <w:t>本试剂盒检测结果不能作为临床确诊的依据。对患者的诊治应结合症状</w:t>
      </w:r>
      <w:r>
        <w:rPr>
          <w:rFonts w:ascii="Times New Roman" w:eastAsia="Times New Roman"/>
          <w:sz w:val="18"/>
        </w:rPr>
        <w:t>/</w:t>
      </w:r>
      <w:r>
        <w:rPr>
          <w:spacing w:val="-9"/>
          <w:sz w:val="18"/>
        </w:rPr>
        <w:t>体征、病史、其他实验室检查及治疗反应等情况综合考虑。</w:t>
      </w:r>
    </w:p>
    <w:p>
      <w:pPr>
        <w:pStyle w:val="ListParagraph"/>
        <w:numPr>
          <w:ilvl w:val="0"/>
          <w:numId w:val="5"/>
        </w:numPr>
        <w:tabs>
          <w:tab w:pos="262" w:val="left" w:leader="none"/>
        </w:tabs>
        <w:spacing w:line="199" w:lineRule="exact" w:before="0" w:after="0"/>
        <w:ind w:left="261" w:right="0" w:hanging="135"/>
        <w:jc w:val="left"/>
        <w:rPr>
          <w:sz w:val="18"/>
        </w:rPr>
      </w:pPr>
      <w:r>
        <w:rPr>
          <w:spacing w:val="-5"/>
          <w:sz w:val="18"/>
        </w:rPr>
        <w:t>样本检测结果与样本收集、处理、运送及保存质量有关，其中任何失误都将会导致结果不准确。</w:t>
      </w:r>
    </w:p>
    <w:p>
      <w:pPr>
        <w:pStyle w:val="ListParagraph"/>
        <w:numPr>
          <w:ilvl w:val="0"/>
          <w:numId w:val="5"/>
        </w:numPr>
        <w:tabs>
          <w:tab w:pos="262" w:val="left" w:leader="none"/>
        </w:tabs>
        <w:spacing w:line="200" w:lineRule="exact" w:before="0" w:after="0"/>
        <w:ind w:left="261" w:right="0" w:hanging="135"/>
        <w:jc w:val="left"/>
        <w:rPr>
          <w:sz w:val="18"/>
        </w:rPr>
      </w:pPr>
      <w:r>
        <w:rPr>
          <w:spacing w:val="-5"/>
          <w:sz w:val="18"/>
        </w:rPr>
        <w:t>如果样本处理时没有控制好交叉污染，可能出现假阳性结果。</w:t>
      </w:r>
    </w:p>
    <w:p>
      <w:pPr>
        <w:pStyle w:val="Heading1"/>
      </w:pPr>
      <w:r>
        <w:rPr/>
        <w:t>【产品性能指标】</w:t>
      </w:r>
    </w:p>
    <w:p>
      <w:pPr>
        <w:pStyle w:val="BodyText"/>
        <w:spacing w:line="206" w:lineRule="auto" w:before="9"/>
        <w:ind w:right="241" w:firstLine="352"/>
      </w:pPr>
      <w:r>
        <w:rPr>
          <w:spacing w:val="-9"/>
        </w:rPr>
        <w:t>本试剂盒检测中国药品生物制品检定所的乙型肝炎病毒核酸国家参考品，阴、阳符合率为 </w:t>
      </w:r>
      <w:r>
        <w:rPr>
          <w:rFonts w:ascii="Times New Roman" w:hAnsi="Times New Roman" w:eastAsia="Times New Roman"/>
          <w:spacing w:val="-6"/>
        </w:rPr>
        <w:t>100%</w:t>
      </w:r>
      <w:r>
        <w:rPr>
          <w:spacing w:val="-6"/>
        </w:rPr>
        <w:t>，最低检测量参考品为阳性，精</w:t>
      </w:r>
      <w:r>
        <w:rPr>
          <w:spacing w:val="4"/>
        </w:rPr>
        <w:t>密度参考品</w:t>
      </w:r>
      <w:r>
        <w:rPr>
          <w:rFonts w:ascii="Times New Roman" w:hAnsi="Times New Roman" w:eastAsia="Times New Roman"/>
        </w:rPr>
        <w:t>CV </w:t>
      </w:r>
      <w:r>
        <w:rPr>
          <w:spacing w:val="-5"/>
        </w:rPr>
        <w:t>值</w:t>
      </w:r>
      <w:r>
        <w:rPr>
          <w:rFonts w:ascii="Times New Roman" w:hAnsi="Times New Roman" w:eastAsia="Times New Roman"/>
          <w:spacing w:val="-3"/>
        </w:rPr>
        <w:t>≤5%</w:t>
      </w:r>
      <w:r>
        <w:rPr/>
        <w:t>。</w:t>
      </w:r>
    </w:p>
    <w:p>
      <w:pPr>
        <w:pStyle w:val="BodyText"/>
        <w:spacing w:line="206" w:lineRule="auto" w:before="5"/>
        <w:ind w:right="141" w:firstLine="352"/>
      </w:pPr>
      <w:r>
        <w:rPr>
          <w:spacing w:val="-15"/>
        </w:rPr>
        <w:t>检出限及定量限：本试剂盒检测样本体积为 </w:t>
      </w:r>
      <w:r>
        <w:rPr>
          <w:rFonts w:ascii="Times New Roman" w:hAnsi="Times New Roman" w:eastAsia="Times New Roman"/>
        </w:rPr>
        <w:t>200μL</w:t>
      </w:r>
      <w:r>
        <w:rPr>
          <w:rFonts w:ascii="Times New Roman" w:hAnsi="Times New Roman" w:eastAsia="Times New Roman"/>
          <w:spacing w:val="-6"/>
        </w:rPr>
        <w:t> </w:t>
      </w:r>
      <w:r>
        <w:rPr>
          <w:spacing w:val="-18"/>
        </w:rPr>
        <w:t>时，最低检出限为 </w:t>
      </w:r>
      <w:r>
        <w:rPr>
          <w:rFonts w:ascii="Times New Roman" w:hAnsi="Times New Roman" w:eastAsia="Times New Roman"/>
          <w:spacing w:val="-12"/>
        </w:rPr>
        <w:t>8IU/mL</w:t>
      </w:r>
      <w:r>
        <w:rPr>
          <w:spacing w:val="-12"/>
        </w:rPr>
        <w:t>，检测样本体积为 </w:t>
      </w:r>
      <w:r>
        <w:rPr>
          <w:rFonts w:ascii="Times New Roman" w:hAnsi="Times New Roman" w:eastAsia="Times New Roman"/>
          <w:spacing w:val="-3"/>
        </w:rPr>
        <w:t>400μL</w:t>
      </w:r>
      <w:r>
        <w:rPr>
          <w:rFonts w:ascii="Times New Roman" w:hAnsi="Times New Roman" w:eastAsia="Times New Roman"/>
          <w:spacing w:val="-7"/>
        </w:rPr>
        <w:t> </w:t>
      </w:r>
      <w:r>
        <w:rPr>
          <w:spacing w:val="-19"/>
        </w:rPr>
        <w:t>时，最低检出限为 </w:t>
      </w:r>
      <w:r>
        <w:rPr>
          <w:rFonts w:ascii="Times New Roman" w:hAnsi="Times New Roman" w:eastAsia="Times New Roman"/>
        </w:rPr>
        <w:t>5IU/mL</w:t>
      </w:r>
      <w:r>
        <w:rPr/>
        <w:t>； </w:t>
      </w:r>
      <w:r>
        <w:rPr>
          <w:spacing w:val="-10"/>
        </w:rPr>
        <w:t>本试剂盒最低定量限为 </w:t>
      </w:r>
      <w:r>
        <w:rPr>
          <w:rFonts w:ascii="Times New Roman" w:hAnsi="Times New Roman" w:eastAsia="Times New Roman"/>
        </w:rPr>
        <w:t>20</w:t>
      </w:r>
      <w:r>
        <w:rPr>
          <w:rFonts w:ascii="Times New Roman" w:hAnsi="Times New Roman" w:eastAsia="Times New Roman"/>
          <w:spacing w:val="-6"/>
        </w:rPr>
        <w:t> </w:t>
      </w:r>
      <w:r>
        <w:rPr>
          <w:rFonts w:ascii="Times New Roman" w:hAnsi="Times New Roman" w:eastAsia="Times New Roman"/>
          <w:spacing w:val="-3"/>
        </w:rPr>
        <w:t>IU/mL</w:t>
      </w:r>
      <w:r>
        <w:rPr/>
        <w:t>。</w:t>
      </w:r>
    </w:p>
    <w:p>
      <w:pPr>
        <w:pStyle w:val="BodyText"/>
        <w:spacing w:line="193" w:lineRule="exact"/>
        <w:ind w:left="480"/>
      </w:pPr>
      <w:r>
        <w:rPr/>
        <w:t>精密度：本试剂盒检测精密度参考品（</w:t>
      </w:r>
      <w:r>
        <w:rPr>
          <w:rFonts w:ascii="Times New Roman" w:hAnsi="Times New Roman" w:eastAsia="Times New Roman"/>
        </w:rPr>
        <w:t>500IU/mL</w:t>
      </w:r>
      <w:r>
        <w:rPr/>
        <w:t>）浓度对数值的变异系数</w:t>
      </w:r>
      <w:r>
        <w:rPr>
          <w:rFonts w:ascii="Times New Roman" w:hAnsi="Times New Roman" w:eastAsia="Times New Roman"/>
        </w:rPr>
        <w:t>≤5%</w:t>
      </w:r>
      <w:r>
        <w:rPr/>
        <w:t>。</w:t>
      </w:r>
    </w:p>
    <w:p>
      <w:pPr>
        <w:pStyle w:val="BodyText"/>
        <w:ind w:left="480"/>
      </w:pPr>
      <w:r>
        <w:rPr/>
        <w:t>线性范围：本试剂盒的线性范围为 </w:t>
      </w:r>
      <w:r>
        <w:rPr>
          <w:rFonts w:ascii="Times New Roman" w:hAnsi="Times New Roman" w:eastAsia="Times New Roman"/>
        </w:rPr>
        <w:t>20 IU/mL</w:t>
      </w:r>
      <w:r>
        <w:rPr/>
        <w:t>～</w:t>
      </w:r>
      <w:r>
        <w:rPr>
          <w:rFonts w:ascii="Times New Roman" w:hAnsi="Times New Roman" w:eastAsia="Times New Roman"/>
        </w:rPr>
        <w:t>2.0E+09 IU/mL</w:t>
      </w:r>
      <w:r>
        <w:rPr/>
        <w:t>，线性相关系数</w:t>
      </w:r>
      <w:r>
        <w:rPr>
          <w:rFonts w:ascii="Times New Roman" w:hAnsi="Times New Roman" w:eastAsia="Times New Roman"/>
        </w:rPr>
        <w:t>|r|≥0.98</w:t>
      </w:r>
      <w:r>
        <w:rPr/>
        <w:t>。</w:t>
      </w:r>
    </w:p>
    <w:p>
      <w:pPr>
        <w:pStyle w:val="BodyText"/>
        <w:spacing w:line="199" w:lineRule="exact"/>
        <w:ind w:left="480"/>
      </w:pPr>
      <w:r>
        <w:rPr/>
        <w:t>亚型检测能力：本试剂盒检测乙型肝炎病毒基因型别包括</w:t>
      </w:r>
      <w:r>
        <w:rPr>
          <w:rFonts w:ascii="Times New Roman" w:eastAsia="Times New Roman"/>
        </w:rPr>
        <w:t>A</w:t>
      </w:r>
      <w:r>
        <w:rPr/>
        <w:t>、</w:t>
      </w:r>
      <w:r>
        <w:rPr>
          <w:rFonts w:ascii="Times New Roman" w:eastAsia="Times New Roman"/>
        </w:rPr>
        <w:t>B</w:t>
      </w:r>
      <w:r>
        <w:rPr/>
        <w:t>、</w:t>
      </w:r>
      <w:r>
        <w:rPr>
          <w:rFonts w:ascii="Times New Roman" w:eastAsia="Times New Roman"/>
        </w:rPr>
        <w:t>C</w:t>
      </w:r>
      <w:r>
        <w:rPr/>
        <w:t>、</w:t>
      </w:r>
      <w:r>
        <w:rPr>
          <w:rFonts w:ascii="Times New Roman" w:eastAsia="Times New Roman"/>
        </w:rPr>
        <w:t>D</w:t>
      </w:r>
      <w:r>
        <w:rPr/>
        <w:t>、</w:t>
      </w:r>
      <w:r>
        <w:rPr>
          <w:rFonts w:ascii="Times New Roman" w:eastAsia="Times New Roman"/>
        </w:rPr>
        <w:t>E</w:t>
      </w:r>
      <w:r>
        <w:rPr/>
        <w:t>、</w:t>
      </w:r>
      <w:r>
        <w:rPr>
          <w:rFonts w:ascii="Times New Roman" w:eastAsia="Times New Roman"/>
        </w:rPr>
        <w:t>F</w:t>
      </w:r>
      <w:r>
        <w:rPr/>
        <w:t>、</w:t>
      </w:r>
      <w:r>
        <w:rPr>
          <w:rFonts w:ascii="Times New Roman" w:eastAsia="Times New Roman"/>
        </w:rPr>
        <w:t>G</w:t>
      </w:r>
      <w:r>
        <w:rPr/>
        <w:t>、</w:t>
      </w:r>
      <w:r>
        <w:rPr>
          <w:rFonts w:ascii="Times New Roman" w:eastAsia="Times New Roman"/>
        </w:rPr>
        <w:t>H </w:t>
      </w:r>
      <w:r>
        <w:rPr/>
        <w:t>型。</w:t>
      </w:r>
    </w:p>
    <w:p>
      <w:pPr>
        <w:pStyle w:val="BodyText"/>
        <w:spacing w:line="208" w:lineRule="auto" w:before="7"/>
        <w:ind w:right="235" w:firstLine="352"/>
      </w:pPr>
      <w:r>
        <w:rPr>
          <w:spacing w:val="-8"/>
        </w:rPr>
        <w:t>分析特异性：对人巨细胞病毒、</w:t>
      </w:r>
      <w:r>
        <w:rPr>
          <w:rFonts w:ascii="Times New Roman" w:eastAsia="Times New Roman"/>
        </w:rPr>
        <w:t>EB </w:t>
      </w:r>
      <w:r>
        <w:rPr>
          <w:spacing w:val="-11"/>
        </w:rPr>
        <w:t>病毒、人类免疫缺陷病毒、丙型肝炎病毒、甲型肝炎病毒、梅毒、单纯疱疹病毒 </w:t>
      </w:r>
      <w:r>
        <w:rPr>
          <w:rFonts w:ascii="Times New Roman" w:eastAsia="Times New Roman"/>
        </w:rPr>
        <w:t>2 </w:t>
      </w:r>
      <w:r>
        <w:rPr>
          <w:spacing w:val="-6"/>
        </w:rPr>
        <w:t>型、甲型</w:t>
      </w:r>
      <w:r>
        <w:rPr>
          <w:spacing w:val="-5"/>
        </w:rPr>
        <w:t>流感病毒、金黄色葡萄球菌、白色念珠菌阳性样本无交叉反应。</w:t>
      </w:r>
    </w:p>
    <w:p>
      <w:pPr>
        <w:pStyle w:val="BodyText"/>
        <w:spacing w:line="206" w:lineRule="auto" w:before="2"/>
        <w:ind w:right="223" w:firstLine="352"/>
      </w:pPr>
      <w:r>
        <w:rPr>
          <w:spacing w:val="-5"/>
        </w:rPr>
        <w:t>抗干扰物检测能力：内源性干扰物血红蛋白</w:t>
      </w:r>
      <w:r>
        <w:rPr>
          <w:spacing w:val="-4"/>
        </w:rPr>
        <w:t>（</w:t>
      </w:r>
      <w:r>
        <w:rPr>
          <w:rFonts w:ascii="Times New Roman" w:hAnsi="Times New Roman" w:eastAsia="Times New Roman"/>
          <w:spacing w:val="-4"/>
        </w:rPr>
        <w:t>≤2g/dL</w:t>
      </w:r>
      <w:r>
        <w:rPr>
          <w:spacing w:val="-4"/>
        </w:rPr>
        <w:t>）</w:t>
      </w:r>
      <w:r>
        <w:rPr>
          <w:spacing w:val="-5"/>
        </w:rPr>
        <w:t>、总胆红素</w:t>
      </w:r>
      <w:r>
        <w:rPr>
          <w:spacing w:val="-3"/>
        </w:rPr>
        <w:t>（</w:t>
      </w:r>
      <w:r>
        <w:rPr>
          <w:rFonts w:ascii="Times New Roman" w:hAnsi="Times New Roman" w:eastAsia="Times New Roman"/>
          <w:spacing w:val="-3"/>
        </w:rPr>
        <w:t>≤28mg/dL</w:t>
      </w:r>
      <w:r>
        <w:rPr>
          <w:spacing w:val="-3"/>
        </w:rPr>
        <w:t>）</w:t>
      </w:r>
      <w:r>
        <w:rPr>
          <w:spacing w:val="-5"/>
        </w:rPr>
        <w:t>、甘油三酯</w:t>
      </w:r>
      <w:r>
        <w:rPr>
          <w:spacing w:val="-4"/>
        </w:rPr>
        <w:t>（</w:t>
      </w:r>
      <w:r>
        <w:rPr>
          <w:rFonts w:ascii="Times New Roman" w:hAnsi="Times New Roman" w:eastAsia="Times New Roman"/>
          <w:spacing w:val="-4"/>
        </w:rPr>
        <w:t>≤3g/dL</w:t>
      </w:r>
      <w:r>
        <w:rPr>
          <w:spacing w:val="-4"/>
        </w:rPr>
        <w:t>）</w:t>
      </w:r>
      <w:r>
        <w:rPr>
          <w:spacing w:val="18"/>
        </w:rPr>
        <w:t>、总</w:t>
      </w:r>
      <w:r>
        <w:rPr>
          <w:rFonts w:ascii="Times New Roman" w:hAnsi="Times New Roman" w:eastAsia="Times New Roman"/>
          <w:spacing w:val="-3"/>
        </w:rPr>
        <w:t>IgG</w:t>
      </w:r>
      <w:r>
        <w:rPr>
          <w:spacing w:val="-3"/>
        </w:rPr>
        <w:t>（</w:t>
      </w:r>
      <w:r>
        <w:rPr>
          <w:rFonts w:ascii="Times New Roman" w:hAnsi="Times New Roman" w:eastAsia="Times New Roman"/>
          <w:spacing w:val="-3"/>
        </w:rPr>
        <w:t>≤40mg/mL</w:t>
      </w:r>
      <w:r>
        <w:rPr>
          <w:spacing w:val="-3"/>
        </w:rPr>
        <w:t>） </w:t>
      </w:r>
      <w:r>
        <w:rPr>
          <w:spacing w:val="-5"/>
        </w:rPr>
        <w:t>对检测无影响。</w:t>
      </w:r>
    </w:p>
    <w:p>
      <w:pPr>
        <w:pStyle w:val="Heading1"/>
        <w:spacing w:line="194" w:lineRule="exact"/>
      </w:pPr>
      <w:r>
        <w:rPr/>
        <w:t>【注意事项】</w:t>
      </w:r>
    </w:p>
    <w:p>
      <w:pPr>
        <w:pStyle w:val="ListParagraph"/>
        <w:numPr>
          <w:ilvl w:val="0"/>
          <w:numId w:val="6"/>
        </w:numPr>
        <w:tabs>
          <w:tab w:pos="262" w:val="left" w:leader="none"/>
        </w:tabs>
        <w:spacing w:line="199" w:lineRule="exact" w:before="0" w:after="0"/>
        <w:ind w:left="261" w:right="0" w:hanging="135"/>
        <w:jc w:val="left"/>
        <w:rPr>
          <w:sz w:val="18"/>
        </w:rPr>
      </w:pPr>
      <w:r>
        <w:rPr>
          <w:spacing w:val="-5"/>
          <w:sz w:val="18"/>
        </w:rPr>
        <w:t>本品仅用于体外诊断，使用前请仔细阅读本说明书。</w:t>
      </w:r>
    </w:p>
    <w:p>
      <w:pPr>
        <w:pStyle w:val="ListParagraph"/>
        <w:numPr>
          <w:ilvl w:val="0"/>
          <w:numId w:val="6"/>
        </w:numPr>
        <w:tabs>
          <w:tab w:pos="262" w:val="left" w:leader="none"/>
        </w:tabs>
        <w:spacing w:line="200" w:lineRule="exact" w:before="0" w:after="0"/>
        <w:ind w:left="261" w:right="0" w:hanging="135"/>
        <w:jc w:val="left"/>
        <w:rPr>
          <w:sz w:val="18"/>
        </w:rPr>
      </w:pPr>
      <w:r>
        <w:rPr>
          <w:spacing w:val="-5"/>
          <w:sz w:val="18"/>
        </w:rPr>
        <w:t>试验前请熟悉和掌握需使用的各种仪器的操作方法和注意事项，对每次实验进行质量控制。</w:t>
      </w:r>
    </w:p>
    <w:p>
      <w:pPr>
        <w:pStyle w:val="ListParagraph"/>
        <w:numPr>
          <w:ilvl w:val="0"/>
          <w:numId w:val="6"/>
        </w:numPr>
        <w:tabs>
          <w:tab w:pos="262" w:val="left" w:leader="none"/>
        </w:tabs>
        <w:spacing w:line="206" w:lineRule="auto" w:before="10" w:after="0"/>
        <w:ind w:left="256" w:right="240" w:hanging="130"/>
        <w:jc w:val="left"/>
        <w:rPr>
          <w:sz w:val="18"/>
        </w:rPr>
      </w:pPr>
      <w:r>
        <w:rPr>
          <w:spacing w:val="-1"/>
          <w:sz w:val="18"/>
        </w:rPr>
        <w:t>实验室管理应严格按照</w:t>
      </w:r>
      <w:r>
        <w:rPr>
          <w:rFonts w:ascii="Times New Roman" w:eastAsia="Times New Roman"/>
          <w:sz w:val="18"/>
        </w:rPr>
        <w:t>PCR</w:t>
      </w:r>
      <w:r>
        <w:rPr>
          <w:rFonts w:ascii="Times New Roman" w:eastAsia="Times New Roman"/>
          <w:spacing w:val="-7"/>
          <w:sz w:val="18"/>
        </w:rPr>
        <w:t> </w:t>
      </w:r>
      <w:r>
        <w:rPr>
          <w:spacing w:val="-5"/>
          <w:sz w:val="18"/>
        </w:rPr>
        <w:t>基因扩增实验室的管理规范，实验人员必须进行专业培训，实验过程严格分区进行，所用消耗品应灭菌后一次性使用，实验操作的每个阶段使用专用的仪器和设备，各区各阶段用品不能交叉使用。</w:t>
      </w:r>
    </w:p>
    <w:p>
      <w:pPr>
        <w:pStyle w:val="ListParagraph"/>
        <w:numPr>
          <w:ilvl w:val="0"/>
          <w:numId w:val="6"/>
        </w:numPr>
        <w:tabs>
          <w:tab w:pos="262" w:val="left" w:leader="none"/>
        </w:tabs>
        <w:spacing w:line="208" w:lineRule="auto" w:before="0" w:after="0"/>
        <w:ind w:left="256" w:right="170" w:hanging="130"/>
        <w:jc w:val="left"/>
        <w:rPr>
          <w:sz w:val="18"/>
        </w:rPr>
      </w:pPr>
      <w:r>
        <w:rPr>
          <w:spacing w:val="-5"/>
          <w:sz w:val="18"/>
        </w:rPr>
        <w:t>所有检测样品应视为具有传染性物质，实验过程中穿工作服，戴一次性手套并经常替换手套以避免样品间的交叉污染；样本操作、废弃物处理均需符合相关法规要求：卫生部《微生物生物医学实验室生物安全通用准则》和《医疗废物管理条例》。</w:t>
      </w:r>
    </w:p>
    <w:p>
      <w:pPr>
        <w:pStyle w:val="ListParagraph"/>
        <w:numPr>
          <w:ilvl w:val="0"/>
          <w:numId w:val="6"/>
        </w:numPr>
        <w:tabs>
          <w:tab w:pos="262" w:val="left" w:leader="none"/>
        </w:tabs>
        <w:spacing w:line="191" w:lineRule="exact" w:before="0" w:after="0"/>
        <w:ind w:left="261" w:right="0" w:hanging="135"/>
        <w:jc w:val="left"/>
        <w:rPr>
          <w:sz w:val="18"/>
        </w:rPr>
      </w:pPr>
      <w:r>
        <w:rPr>
          <w:spacing w:val="-5"/>
          <w:sz w:val="18"/>
        </w:rPr>
        <w:t>所有的试剂在使用前，均需在室温下充分融化、混匀后使用。</w:t>
      </w:r>
      <w:r>
        <w:rPr>
          <w:rFonts w:ascii="Times New Roman" w:eastAsia="Times New Roman"/>
          <w:spacing w:val="-3"/>
          <w:sz w:val="18"/>
        </w:rPr>
        <w:t>HBV</w:t>
      </w:r>
      <w:r>
        <w:rPr>
          <w:spacing w:val="-5"/>
          <w:sz w:val="18"/>
        </w:rPr>
        <w:t>酶混合液易粘着于管壁，使用前请瞬时离心数秒。</w:t>
      </w:r>
    </w:p>
    <w:p>
      <w:pPr>
        <w:pStyle w:val="ListParagraph"/>
        <w:numPr>
          <w:ilvl w:val="0"/>
          <w:numId w:val="6"/>
        </w:numPr>
        <w:tabs>
          <w:tab w:pos="262" w:val="left" w:leader="none"/>
        </w:tabs>
        <w:spacing w:line="200" w:lineRule="exact" w:before="0" w:after="0"/>
        <w:ind w:left="262" w:right="0" w:hanging="135"/>
        <w:jc w:val="left"/>
        <w:rPr>
          <w:sz w:val="18"/>
        </w:rPr>
      </w:pPr>
      <w:r>
        <w:rPr>
          <w:spacing w:val="-8"/>
          <w:sz w:val="18"/>
        </w:rPr>
        <w:t>建议运输采用泡沫箱加蓄冷剂的方式运输 </w:t>
      </w:r>
      <w:r>
        <w:rPr>
          <w:rFonts w:ascii="Times New Roman" w:hAnsi="Times New Roman" w:eastAsia="Times New Roman"/>
          <w:sz w:val="18"/>
        </w:rPr>
        <w:t>5</w:t>
      </w:r>
      <w:r>
        <w:rPr>
          <w:rFonts w:ascii="Times New Roman" w:hAnsi="Times New Roman" w:eastAsia="Times New Roman"/>
          <w:spacing w:val="-3"/>
          <w:sz w:val="18"/>
        </w:rPr>
        <w:t> </w:t>
      </w:r>
      <w:r>
        <w:rPr>
          <w:spacing w:val="-11"/>
          <w:sz w:val="18"/>
        </w:rPr>
        <w:t>天，温度不超过 </w:t>
      </w:r>
      <w:r>
        <w:rPr>
          <w:rFonts w:ascii="Times New Roman" w:hAnsi="Times New Roman" w:eastAsia="Times New Roman"/>
          <w:spacing w:val="-3"/>
          <w:sz w:val="18"/>
        </w:rPr>
        <w:t>20</w:t>
      </w:r>
      <w:r>
        <w:rPr>
          <w:spacing w:val="-2"/>
          <w:sz w:val="18"/>
        </w:rPr>
        <w:t>℃。</w:t>
      </w:r>
    </w:p>
    <w:p>
      <w:pPr>
        <w:pStyle w:val="ListParagraph"/>
        <w:numPr>
          <w:ilvl w:val="0"/>
          <w:numId w:val="6"/>
        </w:numPr>
        <w:tabs>
          <w:tab w:pos="262" w:val="left" w:leader="none"/>
        </w:tabs>
        <w:spacing w:line="200" w:lineRule="exact" w:before="0" w:after="0"/>
        <w:ind w:left="262" w:right="0" w:hanging="135"/>
        <w:jc w:val="left"/>
        <w:rPr>
          <w:sz w:val="18"/>
        </w:rPr>
      </w:pPr>
      <w:r>
        <w:rPr>
          <w:spacing w:val="4"/>
          <w:sz w:val="18"/>
        </w:rPr>
        <w:t>若实时荧光</w:t>
      </w:r>
      <w:r>
        <w:rPr>
          <w:rFonts w:ascii="Times New Roman" w:eastAsia="Times New Roman"/>
          <w:sz w:val="18"/>
        </w:rPr>
        <w:t>PCR</w:t>
      </w:r>
      <w:r>
        <w:rPr>
          <w:rFonts w:ascii="Times New Roman" w:eastAsia="Times New Roman"/>
          <w:spacing w:val="-6"/>
          <w:sz w:val="18"/>
        </w:rPr>
        <w:t> </w:t>
      </w:r>
      <w:r>
        <w:rPr>
          <w:spacing w:val="-5"/>
          <w:sz w:val="18"/>
        </w:rPr>
        <w:t>仪仅有双通道（</w:t>
      </w:r>
      <w:r>
        <w:rPr>
          <w:spacing w:val="40"/>
          <w:sz w:val="18"/>
        </w:rPr>
        <w:t>如</w:t>
      </w:r>
      <w:r>
        <w:rPr>
          <w:rFonts w:ascii="Times New Roman" w:eastAsia="Times New Roman"/>
          <w:spacing w:val="-6"/>
          <w:sz w:val="18"/>
        </w:rPr>
        <w:t>FAM</w:t>
      </w:r>
      <w:r>
        <w:rPr>
          <w:rFonts w:ascii="Times New Roman" w:eastAsia="Times New Roman"/>
          <w:spacing w:val="-4"/>
          <w:sz w:val="18"/>
        </w:rPr>
        <w:t> </w:t>
      </w:r>
      <w:r>
        <w:rPr>
          <w:spacing w:val="40"/>
          <w:sz w:val="18"/>
        </w:rPr>
        <w:t>和</w:t>
      </w:r>
      <w:r>
        <w:rPr>
          <w:rFonts w:ascii="Times New Roman" w:eastAsia="Times New Roman"/>
          <w:spacing w:val="-4"/>
          <w:sz w:val="18"/>
        </w:rPr>
        <w:t>ROX</w:t>
      </w:r>
      <w:r>
        <w:rPr>
          <w:spacing w:val="-4"/>
          <w:sz w:val="18"/>
        </w:rPr>
        <w:t>），则可忽略内标扩增监测；若只有单通道可以忽略参比荧光</w:t>
      </w:r>
      <w:r>
        <w:rPr>
          <w:rFonts w:ascii="Times New Roman" w:eastAsia="Times New Roman"/>
          <w:sz w:val="18"/>
        </w:rPr>
        <w:t>ROX</w:t>
      </w:r>
      <w:r>
        <w:rPr>
          <w:rFonts w:ascii="Times New Roman" w:eastAsia="Times New Roman"/>
          <w:spacing w:val="-5"/>
          <w:sz w:val="18"/>
        </w:rPr>
        <w:t> </w:t>
      </w:r>
      <w:r>
        <w:rPr>
          <w:spacing w:val="-3"/>
          <w:sz w:val="18"/>
        </w:rPr>
        <w:t>设置。</w:t>
      </w:r>
    </w:p>
    <w:p>
      <w:pPr>
        <w:pStyle w:val="ListParagraph"/>
        <w:numPr>
          <w:ilvl w:val="0"/>
          <w:numId w:val="6"/>
        </w:numPr>
        <w:tabs>
          <w:tab w:pos="262" w:val="left" w:leader="none"/>
        </w:tabs>
        <w:spacing w:line="206" w:lineRule="auto" w:before="10" w:after="0"/>
        <w:ind w:left="302" w:right="148" w:hanging="176"/>
        <w:jc w:val="left"/>
        <w:rPr>
          <w:sz w:val="18"/>
        </w:rPr>
      </w:pPr>
      <w:r>
        <w:rPr>
          <w:spacing w:val="-12"/>
          <w:sz w:val="18"/>
        </w:rPr>
        <w:t>对每次实验进行质量控制，对于检测为阴性的样本，应确定 </w:t>
      </w:r>
      <w:r>
        <w:rPr>
          <w:rFonts w:ascii="Times New Roman" w:eastAsia="Times New Roman"/>
          <w:sz w:val="18"/>
        </w:rPr>
        <w:t>HBV</w:t>
      </w:r>
      <w:r>
        <w:rPr>
          <w:rFonts w:ascii="Times New Roman" w:eastAsia="Times New Roman"/>
          <w:spacing w:val="-5"/>
          <w:sz w:val="18"/>
        </w:rPr>
        <w:t> </w:t>
      </w:r>
      <w:r>
        <w:rPr>
          <w:spacing w:val="-8"/>
          <w:sz w:val="18"/>
        </w:rPr>
        <w:t>内标的扩增信号是否正常，以评估实验操作和检测试剂是否正常， </w:t>
      </w:r>
      <w:r>
        <w:rPr>
          <w:spacing w:val="-5"/>
          <w:sz w:val="18"/>
        </w:rPr>
        <w:t>以及是否受到抑制物的影响，避免假阴性结果；对于阳性检测样本，内标的扩增信号可不予考虑。</w:t>
      </w:r>
    </w:p>
    <w:p>
      <w:pPr>
        <w:pStyle w:val="Heading1"/>
        <w:spacing w:line="194" w:lineRule="exact"/>
      </w:pPr>
      <w:r>
        <w:rPr/>
        <w:t>【参考文献】</w:t>
      </w:r>
    </w:p>
    <w:p>
      <w:pPr>
        <w:pStyle w:val="ListParagraph"/>
        <w:numPr>
          <w:ilvl w:val="0"/>
          <w:numId w:val="7"/>
        </w:numPr>
        <w:tabs>
          <w:tab w:pos="418" w:val="left" w:leader="none"/>
        </w:tabs>
        <w:spacing w:line="199" w:lineRule="exact" w:before="0" w:after="0"/>
        <w:ind w:left="417" w:right="0" w:hanging="289"/>
        <w:jc w:val="left"/>
        <w:rPr>
          <w:rFonts w:ascii="Times New Roman" w:eastAsia="Times New Roman"/>
          <w:sz w:val="18"/>
        </w:rPr>
      </w:pPr>
      <w:r>
        <w:rPr>
          <w:spacing w:val="-5"/>
          <w:sz w:val="18"/>
        </w:rPr>
        <w:t>刘敬忠</w:t>
      </w:r>
      <w:r>
        <w:rPr>
          <w:rFonts w:ascii="Times New Roman" w:eastAsia="Times New Roman"/>
          <w:sz w:val="18"/>
        </w:rPr>
        <w:t>,</w:t>
      </w:r>
      <w:r>
        <w:rPr>
          <w:spacing w:val="-5"/>
          <w:sz w:val="18"/>
        </w:rPr>
        <w:t>谭淑珍</w:t>
      </w:r>
      <w:r>
        <w:rPr>
          <w:rFonts w:ascii="Times New Roman" w:eastAsia="Times New Roman"/>
          <w:sz w:val="18"/>
        </w:rPr>
        <w:t>,</w:t>
      </w:r>
      <w:r>
        <w:rPr>
          <w:spacing w:val="-4"/>
          <w:sz w:val="18"/>
        </w:rPr>
        <w:t>吴艳</w:t>
      </w:r>
      <w:r>
        <w:rPr>
          <w:rFonts w:ascii="Times New Roman" w:eastAsia="Times New Roman"/>
          <w:spacing w:val="17"/>
          <w:sz w:val="18"/>
        </w:rPr>
        <w:t>. </w:t>
      </w:r>
      <w:r>
        <w:rPr>
          <w:spacing w:val="-5"/>
          <w:sz w:val="18"/>
        </w:rPr>
        <w:t>荧光定量聚合酶链反应检测乙型肝炎病毒</w:t>
      </w:r>
      <w:r>
        <w:rPr>
          <w:rFonts w:ascii="Times New Roman" w:eastAsia="Times New Roman"/>
          <w:sz w:val="18"/>
        </w:rPr>
        <w:t>DNA[J</w:t>
      </w:r>
      <w:r>
        <w:rPr>
          <w:rFonts w:ascii="Times New Roman" w:eastAsia="Times New Roman"/>
          <w:spacing w:val="12"/>
          <w:sz w:val="18"/>
        </w:rPr>
        <w:t>]. </w:t>
      </w:r>
      <w:r>
        <w:rPr>
          <w:spacing w:val="-5"/>
          <w:sz w:val="18"/>
        </w:rPr>
        <w:t>中华微生物学和免疫学杂志</w:t>
      </w:r>
      <w:r>
        <w:rPr>
          <w:rFonts w:ascii="Times New Roman" w:eastAsia="Times New Roman"/>
          <w:spacing w:val="-2"/>
          <w:sz w:val="18"/>
        </w:rPr>
        <w:t>, </w:t>
      </w:r>
      <w:r>
        <w:rPr>
          <w:rFonts w:ascii="Times New Roman" w:eastAsia="Times New Roman"/>
          <w:sz w:val="18"/>
        </w:rPr>
        <w:t>2001</w:t>
      </w:r>
      <w:r>
        <w:rPr>
          <w:rFonts w:ascii="Times New Roman" w:eastAsia="Times New Roman"/>
          <w:spacing w:val="-5"/>
          <w:sz w:val="18"/>
        </w:rPr>
        <w:t>. </w:t>
      </w:r>
      <w:r>
        <w:rPr>
          <w:rFonts w:ascii="Times New Roman" w:eastAsia="Times New Roman"/>
          <w:spacing w:val="-3"/>
          <w:sz w:val="18"/>
        </w:rPr>
        <w:t>21(6)</w:t>
      </w:r>
      <w:r>
        <w:rPr>
          <w:spacing w:val="-3"/>
          <w:sz w:val="18"/>
        </w:rPr>
        <w:t>：</w:t>
      </w:r>
      <w:r>
        <w:rPr>
          <w:rFonts w:ascii="Times New Roman" w:eastAsia="Times New Roman"/>
          <w:spacing w:val="-3"/>
          <w:sz w:val="18"/>
        </w:rPr>
        <w:t>690-692.</w:t>
      </w:r>
    </w:p>
    <w:p>
      <w:pPr>
        <w:pStyle w:val="ListParagraph"/>
        <w:numPr>
          <w:ilvl w:val="0"/>
          <w:numId w:val="7"/>
        </w:numPr>
        <w:tabs>
          <w:tab w:pos="418" w:val="left" w:leader="none"/>
        </w:tabs>
        <w:spacing w:line="208" w:lineRule="auto" w:before="7" w:after="0"/>
        <w:ind w:left="424" w:right="640" w:hanging="298"/>
        <w:jc w:val="left"/>
        <w:rPr>
          <w:sz w:val="18"/>
        </w:rPr>
      </w:pPr>
      <w:r>
        <w:rPr>
          <w:rFonts w:ascii="Times New Roman" w:eastAsia="Times New Roman"/>
          <w:sz w:val="18"/>
        </w:rPr>
        <w:t>Schutten</w:t>
      </w:r>
      <w:r>
        <w:rPr>
          <w:rFonts w:ascii="Times New Roman" w:eastAsia="Times New Roman"/>
          <w:spacing w:val="-10"/>
          <w:sz w:val="18"/>
        </w:rPr>
        <w:t> </w:t>
      </w:r>
      <w:r>
        <w:rPr>
          <w:rFonts w:ascii="Times New Roman" w:eastAsia="Times New Roman"/>
          <w:sz w:val="18"/>
        </w:rPr>
        <w:t>M,</w:t>
      </w:r>
      <w:r>
        <w:rPr>
          <w:rFonts w:ascii="Times New Roman" w:eastAsia="Times New Roman"/>
          <w:spacing w:val="-8"/>
          <w:sz w:val="18"/>
        </w:rPr>
        <w:t> </w:t>
      </w:r>
      <w:r>
        <w:rPr>
          <w:rFonts w:ascii="Times New Roman" w:eastAsia="Times New Roman"/>
          <w:sz w:val="18"/>
        </w:rPr>
        <w:t>Niestem</w:t>
      </w:r>
      <w:r>
        <w:rPr>
          <w:rFonts w:ascii="Times New Roman" w:eastAsia="Times New Roman"/>
          <w:spacing w:val="-9"/>
          <w:sz w:val="18"/>
        </w:rPr>
        <w:t> </w:t>
      </w:r>
      <w:r>
        <w:rPr>
          <w:rFonts w:ascii="Times New Roman" w:eastAsia="Times New Roman"/>
          <w:sz w:val="18"/>
        </w:rPr>
        <w:t>HG.</w:t>
      </w:r>
      <w:r>
        <w:rPr>
          <w:rFonts w:ascii="Times New Roman" w:eastAsia="Times New Roman"/>
          <w:spacing w:val="-8"/>
          <w:sz w:val="18"/>
        </w:rPr>
        <w:t> </w:t>
      </w:r>
      <w:r>
        <w:rPr>
          <w:rFonts w:ascii="Times New Roman" w:eastAsia="Times New Roman"/>
          <w:spacing w:val="-3"/>
          <w:sz w:val="18"/>
        </w:rPr>
        <w:t>Clinical</w:t>
      </w:r>
      <w:r>
        <w:rPr>
          <w:rFonts w:ascii="Times New Roman" w:eastAsia="Times New Roman"/>
          <w:spacing w:val="-7"/>
          <w:sz w:val="18"/>
        </w:rPr>
        <w:t> </w:t>
      </w:r>
      <w:r>
        <w:rPr>
          <w:rFonts w:ascii="Times New Roman" w:eastAsia="Times New Roman"/>
          <w:sz w:val="18"/>
        </w:rPr>
        <w:t>utility</w:t>
      </w:r>
      <w:r>
        <w:rPr>
          <w:rFonts w:ascii="Times New Roman" w:eastAsia="Times New Roman"/>
          <w:spacing w:val="-10"/>
          <w:sz w:val="18"/>
        </w:rPr>
        <w:t> </w:t>
      </w:r>
      <w:r>
        <w:rPr>
          <w:rFonts w:ascii="Times New Roman" w:eastAsia="Times New Roman"/>
          <w:sz w:val="18"/>
        </w:rPr>
        <w:t>of</w:t>
      </w:r>
      <w:r>
        <w:rPr>
          <w:rFonts w:ascii="Times New Roman" w:eastAsia="Times New Roman"/>
          <w:spacing w:val="-9"/>
          <w:sz w:val="18"/>
        </w:rPr>
        <w:t> </w:t>
      </w:r>
      <w:r>
        <w:rPr>
          <w:rFonts w:ascii="Times New Roman" w:eastAsia="Times New Roman"/>
          <w:sz w:val="18"/>
        </w:rPr>
        <w:t>viral</w:t>
      </w:r>
      <w:r>
        <w:rPr>
          <w:rFonts w:ascii="Times New Roman" w:eastAsia="Times New Roman"/>
          <w:spacing w:val="-10"/>
          <w:sz w:val="18"/>
        </w:rPr>
        <w:t> </w:t>
      </w:r>
      <w:r>
        <w:rPr>
          <w:rFonts w:ascii="Times New Roman" w:eastAsia="Times New Roman"/>
          <w:spacing w:val="-3"/>
          <w:sz w:val="18"/>
        </w:rPr>
        <w:t>quantification</w:t>
      </w:r>
      <w:r>
        <w:rPr>
          <w:rFonts w:ascii="Times New Roman" w:eastAsia="Times New Roman"/>
          <w:spacing w:val="-10"/>
          <w:sz w:val="18"/>
        </w:rPr>
        <w:t> </w:t>
      </w:r>
      <w:r>
        <w:rPr>
          <w:rFonts w:ascii="Times New Roman" w:eastAsia="Times New Roman"/>
          <w:sz w:val="18"/>
        </w:rPr>
        <w:t>as</w:t>
      </w:r>
      <w:r>
        <w:rPr>
          <w:rFonts w:ascii="Times New Roman" w:eastAsia="Times New Roman"/>
          <w:spacing w:val="-9"/>
          <w:sz w:val="18"/>
        </w:rPr>
        <w:t> </w:t>
      </w:r>
      <w:r>
        <w:rPr>
          <w:rFonts w:ascii="Times New Roman" w:eastAsia="Times New Roman"/>
          <w:sz w:val="18"/>
        </w:rPr>
        <w:t>a</w:t>
      </w:r>
      <w:r>
        <w:rPr>
          <w:rFonts w:ascii="Times New Roman" w:eastAsia="Times New Roman"/>
          <w:spacing w:val="-9"/>
          <w:sz w:val="18"/>
        </w:rPr>
        <w:t> </w:t>
      </w:r>
      <w:r>
        <w:rPr>
          <w:rFonts w:ascii="Times New Roman" w:eastAsia="Times New Roman"/>
          <w:sz w:val="18"/>
        </w:rPr>
        <w:t>tool</w:t>
      </w:r>
      <w:r>
        <w:rPr>
          <w:rFonts w:ascii="Times New Roman" w:eastAsia="Times New Roman"/>
          <w:spacing w:val="-10"/>
          <w:sz w:val="18"/>
        </w:rPr>
        <w:t> </w:t>
      </w:r>
      <w:r>
        <w:rPr>
          <w:rFonts w:ascii="Times New Roman" w:eastAsia="Times New Roman"/>
          <w:sz w:val="18"/>
        </w:rPr>
        <w:t>for</w:t>
      </w:r>
      <w:r>
        <w:rPr>
          <w:rFonts w:ascii="Times New Roman" w:eastAsia="Times New Roman"/>
          <w:spacing w:val="-9"/>
          <w:sz w:val="18"/>
        </w:rPr>
        <w:t> </w:t>
      </w:r>
      <w:r>
        <w:rPr>
          <w:rFonts w:ascii="Times New Roman" w:eastAsia="Times New Roman"/>
          <w:sz w:val="18"/>
        </w:rPr>
        <w:t>disease</w:t>
      </w:r>
      <w:r>
        <w:rPr>
          <w:rFonts w:ascii="Times New Roman" w:eastAsia="Times New Roman"/>
          <w:spacing w:val="-9"/>
          <w:sz w:val="18"/>
        </w:rPr>
        <w:t> </w:t>
      </w:r>
      <w:r>
        <w:rPr>
          <w:rFonts w:ascii="Times New Roman" w:eastAsia="Times New Roman"/>
          <w:spacing w:val="-3"/>
          <w:sz w:val="18"/>
        </w:rPr>
        <w:t>monitoring</w:t>
      </w:r>
      <w:r>
        <w:rPr>
          <w:rFonts w:ascii="Times New Roman" w:eastAsia="Times New Roman"/>
          <w:spacing w:val="-9"/>
          <w:sz w:val="18"/>
        </w:rPr>
        <w:t> </w:t>
      </w:r>
      <w:r>
        <w:rPr>
          <w:rFonts w:ascii="Times New Roman" w:eastAsia="Times New Roman"/>
          <w:sz w:val="18"/>
        </w:rPr>
        <w:t>[J].</w:t>
      </w:r>
      <w:r>
        <w:rPr>
          <w:rFonts w:ascii="Times New Roman" w:eastAsia="Times New Roman"/>
          <w:spacing w:val="-13"/>
          <w:sz w:val="18"/>
        </w:rPr>
        <w:t> </w:t>
      </w:r>
      <w:r>
        <w:rPr>
          <w:rFonts w:ascii="Times New Roman" w:eastAsia="Times New Roman"/>
          <w:spacing w:val="-3"/>
          <w:sz w:val="18"/>
        </w:rPr>
        <w:t>Expert</w:t>
      </w:r>
      <w:r>
        <w:rPr>
          <w:rFonts w:ascii="Times New Roman" w:eastAsia="Times New Roman"/>
          <w:spacing w:val="-7"/>
          <w:sz w:val="18"/>
        </w:rPr>
        <w:t> </w:t>
      </w:r>
      <w:r>
        <w:rPr>
          <w:rFonts w:ascii="Times New Roman" w:eastAsia="Times New Roman"/>
          <w:sz w:val="18"/>
        </w:rPr>
        <w:t>Rev</w:t>
      </w:r>
      <w:r>
        <w:rPr>
          <w:rFonts w:ascii="Times New Roman" w:eastAsia="Times New Roman"/>
          <w:spacing w:val="-10"/>
          <w:sz w:val="18"/>
        </w:rPr>
        <w:t> </w:t>
      </w:r>
      <w:r>
        <w:rPr>
          <w:rFonts w:ascii="Times New Roman" w:eastAsia="Times New Roman"/>
          <w:sz w:val="18"/>
        </w:rPr>
        <w:t>Mol</w:t>
      </w:r>
      <w:r>
        <w:rPr>
          <w:rFonts w:ascii="Times New Roman" w:eastAsia="Times New Roman"/>
          <w:spacing w:val="-8"/>
          <w:sz w:val="18"/>
        </w:rPr>
        <w:t> </w:t>
      </w:r>
      <w:r>
        <w:rPr>
          <w:rFonts w:ascii="Times New Roman" w:eastAsia="Times New Roman"/>
          <w:sz w:val="18"/>
        </w:rPr>
        <w:t>Diagn.</w:t>
      </w:r>
      <w:r>
        <w:rPr>
          <w:rFonts w:ascii="Times New Roman" w:eastAsia="Times New Roman"/>
          <w:spacing w:val="-10"/>
          <w:sz w:val="18"/>
        </w:rPr>
        <w:t> </w:t>
      </w:r>
      <w:r>
        <w:rPr>
          <w:rFonts w:ascii="Times New Roman" w:eastAsia="Times New Roman"/>
          <w:sz w:val="18"/>
        </w:rPr>
        <w:t>2001.</w:t>
      </w:r>
      <w:r>
        <w:rPr>
          <w:rFonts w:ascii="Times New Roman" w:eastAsia="Times New Roman"/>
          <w:spacing w:val="-12"/>
          <w:sz w:val="18"/>
        </w:rPr>
        <w:t> </w:t>
      </w:r>
      <w:r>
        <w:rPr>
          <w:rFonts w:ascii="Times New Roman" w:eastAsia="Times New Roman"/>
          <w:sz w:val="18"/>
        </w:rPr>
        <w:t>1</w:t>
      </w:r>
      <w:r>
        <w:rPr>
          <w:sz w:val="18"/>
        </w:rPr>
        <w:t>： </w:t>
      </w:r>
      <w:r>
        <w:rPr>
          <w:rFonts w:ascii="Times New Roman" w:eastAsia="Times New Roman"/>
          <w:spacing w:val="-3"/>
          <w:sz w:val="18"/>
        </w:rPr>
        <w:t>l53-162</w:t>
      </w:r>
      <w:r>
        <w:rPr>
          <w:spacing w:val="-3"/>
          <w:sz w:val="18"/>
        </w:rPr>
        <w:t>．</w:t>
      </w:r>
    </w:p>
    <w:p>
      <w:pPr>
        <w:pStyle w:val="ListParagraph"/>
        <w:numPr>
          <w:ilvl w:val="0"/>
          <w:numId w:val="7"/>
        </w:numPr>
        <w:tabs>
          <w:tab w:pos="413" w:val="left" w:leader="none"/>
        </w:tabs>
        <w:spacing w:line="191" w:lineRule="exact" w:before="0" w:after="0"/>
        <w:ind w:left="412" w:right="0" w:hanging="284"/>
        <w:jc w:val="left"/>
        <w:rPr>
          <w:rFonts w:ascii="Times New Roman" w:eastAsia="Times New Roman"/>
          <w:sz w:val="18"/>
        </w:rPr>
      </w:pPr>
      <w:r>
        <w:rPr>
          <w:rFonts w:ascii="Times New Roman" w:eastAsia="Times New Roman"/>
          <w:spacing w:val="-4"/>
          <w:sz w:val="18"/>
        </w:rPr>
        <w:t>Valentine</w:t>
      </w:r>
      <w:r>
        <w:rPr>
          <w:rFonts w:ascii="Times New Roman" w:eastAsia="Times New Roman"/>
          <w:spacing w:val="-12"/>
          <w:sz w:val="18"/>
        </w:rPr>
        <w:t> </w:t>
      </w:r>
      <w:r>
        <w:rPr>
          <w:rFonts w:ascii="Times New Roman" w:eastAsia="Times New Roman"/>
          <w:sz w:val="18"/>
        </w:rPr>
        <w:t>T</w:t>
      </w:r>
      <w:r>
        <w:rPr>
          <w:rFonts w:ascii="Times New Roman" w:eastAsia="Times New Roman"/>
          <w:spacing w:val="-10"/>
          <w:sz w:val="18"/>
        </w:rPr>
        <w:t> </w:t>
      </w:r>
      <w:r>
        <w:rPr>
          <w:rFonts w:ascii="Times New Roman" w:eastAsia="Times New Roman"/>
          <w:sz w:val="18"/>
        </w:rPr>
        <w:t>E.</w:t>
      </w:r>
      <w:r>
        <w:rPr>
          <w:rFonts w:ascii="Times New Roman" w:eastAsia="Times New Roman"/>
          <w:spacing w:val="-5"/>
          <w:sz w:val="18"/>
        </w:rPr>
        <w:t> </w:t>
      </w:r>
      <w:r>
        <w:rPr>
          <w:rFonts w:ascii="Times New Roman" w:eastAsia="Times New Roman"/>
          <w:sz w:val="18"/>
        </w:rPr>
        <w:t>Quality</w:t>
      </w:r>
      <w:r>
        <w:rPr>
          <w:rFonts w:ascii="Times New Roman" w:eastAsia="Times New Roman"/>
          <w:spacing w:val="-7"/>
          <w:sz w:val="18"/>
        </w:rPr>
        <w:t> </w:t>
      </w:r>
      <w:r>
        <w:rPr>
          <w:rFonts w:ascii="Times New Roman" w:eastAsia="Times New Roman"/>
          <w:sz w:val="18"/>
        </w:rPr>
        <w:t>control</w:t>
      </w:r>
      <w:r>
        <w:rPr>
          <w:rFonts w:ascii="Times New Roman" w:eastAsia="Times New Roman"/>
          <w:spacing w:val="-8"/>
          <w:sz w:val="18"/>
        </w:rPr>
        <w:t> </w:t>
      </w:r>
      <w:r>
        <w:rPr>
          <w:rFonts w:ascii="Times New Roman" w:eastAsia="Times New Roman"/>
          <w:sz w:val="18"/>
        </w:rPr>
        <w:t>in</w:t>
      </w:r>
      <w:r>
        <w:rPr>
          <w:rFonts w:ascii="Times New Roman" w:eastAsia="Times New Roman"/>
          <w:spacing w:val="-7"/>
          <w:sz w:val="18"/>
        </w:rPr>
        <w:t> </w:t>
      </w:r>
      <w:r>
        <w:rPr>
          <w:rFonts w:ascii="Times New Roman" w:eastAsia="Times New Roman"/>
          <w:sz w:val="18"/>
        </w:rPr>
        <w:t>nucleic</w:t>
      </w:r>
      <w:r>
        <w:rPr>
          <w:rFonts w:ascii="Times New Roman" w:eastAsia="Times New Roman"/>
          <w:spacing w:val="-6"/>
          <w:sz w:val="18"/>
        </w:rPr>
        <w:t> </w:t>
      </w:r>
      <w:r>
        <w:rPr>
          <w:rFonts w:ascii="Times New Roman" w:eastAsia="Times New Roman"/>
          <w:sz w:val="18"/>
        </w:rPr>
        <w:t>acid</w:t>
      </w:r>
      <w:r>
        <w:rPr>
          <w:rFonts w:ascii="Times New Roman" w:eastAsia="Times New Roman"/>
          <w:spacing w:val="-8"/>
          <w:sz w:val="18"/>
        </w:rPr>
        <w:t> </w:t>
      </w:r>
      <w:r>
        <w:rPr>
          <w:rFonts w:ascii="Times New Roman" w:eastAsia="Times New Roman"/>
          <w:sz w:val="18"/>
        </w:rPr>
        <w:t>testing</w:t>
      </w:r>
      <w:r>
        <w:rPr>
          <w:rFonts w:ascii="Times New Roman" w:eastAsia="Times New Roman"/>
          <w:spacing w:val="-7"/>
          <w:sz w:val="18"/>
        </w:rPr>
        <w:t> </w:t>
      </w:r>
      <w:r>
        <w:rPr>
          <w:rFonts w:ascii="Times New Roman" w:eastAsia="Times New Roman"/>
          <w:sz w:val="18"/>
        </w:rPr>
        <w:t>where</w:t>
      </w:r>
      <w:r>
        <w:rPr>
          <w:rFonts w:ascii="Times New Roman" w:eastAsia="Times New Roman"/>
          <w:spacing w:val="-6"/>
          <w:sz w:val="18"/>
        </w:rPr>
        <w:t> </w:t>
      </w:r>
      <w:r>
        <w:rPr>
          <w:rFonts w:ascii="Times New Roman" w:eastAsia="Times New Roman"/>
          <w:sz w:val="18"/>
        </w:rPr>
        <w:t>do</w:t>
      </w:r>
      <w:r>
        <w:rPr>
          <w:rFonts w:ascii="Times New Roman" w:eastAsia="Times New Roman"/>
          <w:spacing w:val="-4"/>
          <w:sz w:val="18"/>
        </w:rPr>
        <w:t> </w:t>
      </w:r>
      <w:r>
        <w:rPr>
          <w:rFonts w:ascii="Times New Roman" w:eastAsia="Times New Roman"/>
          <w:sz w:val="18"/>
        </w:rPr>
        <w:t>we</w:t>
      </w:r>
      <w:r>
        <w:rPr>
          <w:rFonts w:ascii="Times New Roman" w:eastAsia="Times New Roman"/>
          <w:spacing w:val="-6"/>
          <w:sz w:val="18"/>
        </w:rPr>
        <w:t> </w:t>
      </w:r>
      <w:r>
        <w:rPr>
          <w:rFonts w:ascii="Times New Roman" w:eastAsia="Times New Roman"/>
          <w:sz w:val="18"/>
        </w:rPr>
        <w:t>stand[J].</w:t>
      </w:r>
      <w:r>
        <w:rPr>
          <w:rFonts w:ascii="Times New Roman" w:eastAsia="Times New Roman"/>
          <w:spacing w:val="-8"/>
          <w:sz w:val="18"/>
        </w:rPr>
        <w:t> </w:t>
      </w:r>
      <w:r>
        <w:rPr>
          <w:rFonts w:ascii="Times New Roman" w:eastAsia="Times New Roman"/>
          <w:sz w:val="18"/>
        </w:rPr>
        <w:t>Clin</w:t>
      </w:r>
      <w:r>
        <w:rPr>
          <w:rFonts w:ascii="Times New Roman" w:eastAsia="Times New Roman"/>
          <w:spacing w:val="-9"/>
          <w:sz w:val="18"/>
        </w:rPr>
        <w:t> </w:t>
      </w:r>
      <w:r>
        <w:rPr>
          <w:rFonts w:ascii="Times New Roman" w:eastAsia="Times New Roman"/>
          <w:spacing w:val="-4"/>
          <w:sz w:val="18"/>
        </w:rPr>
        <w:t>Viral</w:t>
      </w:r>
      <w:r>
        <w:rPr>
          <w:spacing w:val="-4"/>
          <w:sz w:val="18"/>
        </w:rPr>
        <w:t>，</w:t>
      </w:r>
      <w:r>
        <w:rPr>
          <w:rFonts w:ascii="Times New Roman" w:eastAsia="Times New Roman"/>
          <w:spacing w:val="-4"/>
          <w:sz w:val="18"/>
        </w:rPr>
        <w:t>2002</w:t>
      </w:r>
      <w:r>
        <w:rPr>
          <w:spacing w:val="-4"/>
          <w:sz w:val="18"/>
        </w:rPr>
        <w:t>，</w:t>
      </w:r>
      <w:r>
        <w:rPr>
          <w:rFonts w:ascii="Times New Roman" w:eastAsia="Times New Roman"/>
          <w:spacing w:val="-4"/>
          <w:sz w:val="18"/>
        </w:rPr>
        <w:t>25(Supp</w:t>
      </w:r>
      <w:r>
        <w:rPr>
          <w:rFonts w:ascii="Times New Roman" w:eastAsia="Times New Roman"/>
          <w:spacing w:val="-7"/>
          <w:sz w:val="18"/>
        </w:rPr>
        <w:t> </w:t>
      </w:r>
      <w:r>
        <w:rPr>
          <w:rFonts w:ascii="Times New Roman" w:eastAsia="Times New Roman"/>
          <w:sz w:val="18"/>
        </w:rPr>
        <w:t>l</w:t>
      </w:r>
      <w:r>
        <w:rPr>
          <w:rFonts w:ascii="Times New Roman" w:eastAsia="Times New Roman"/>
          <w:spacing w:val="-8"/>
          <w:sz w:val="18"/>
        </w:rPr>
        <w:t> </w:t>
      </w:r>
      <w:r>
        <w:rPr>
          <w:rFonts w:ascii="Times New Roman" w:eastAsia="Times New Roman"/>
          <w:spacing w:val="-3"/>
          <w:sz w:val="18"/>
        </w:rPr>
        <w:t>3)</w:t>
      </w:r>
      <w:r>
        <w:rPr>
          <w:spacing w:val="-3"/>
          <w:sz w:val="18"/>
        </w:rPr>
        <w:t>：</w:t>
      </w:r>
      <w:r>
        <w:rPr>
          <w:rFonts w:ascii="Times New Roman" w:eastAsia="Times New Roman"/>
          <w:spacing w:val="-3"/>
          <w:sz w:val="18"/>
        </w:rPr>
        <w:t>13-21.</w:t>
      </w:r>
    </w:p>
    <w:p>
      <w:pPr>
        <w:pStyle w:val="ListParagraph"/>
        <w:numPr>
          <w:ilvl w:val="0"/>
          <w:numId w:val="7"/>
        </w:numPr>
        <w:tabs>
          <w:tab w:pos="418" w:val="left" w:leader="none"/>
        </w:tabs>
        <w:spacing w:line="218" w:lineRule="auto" w:before="1" w:after="0"/>
        <w:ind w:left="424" w:right="241" w:hanging="298"/>
        <w:jc w:val="left"/>
        <w:rPr>
          <w:rFonts w:ascii="Times New Roman" w:eastAsia="Times New Roman"/>
          <w:sz w:val="18"/>
        </w:rPr>
      </w:pPr>
      <w:r>
        <w:rPr>
          <w:rFonts w:ascii="Times New Roman" w:eastAsia="Times New Roman"/>
          <w:spacing w:val="-2"/>
          <w:sz w:val="18"/>
        </w:rPr>
        <w:t>Mo</w:t>
      </w:r>
      <w:r>
        <w:rPr>
          <w:rFonts w:ascii="Times New Roman" w:eastAsia="Times New Roman"/>
          <w:spacing w:val="-4"/>
          <w:sz w:val="18"/>
        </w:rPr>
        <w:t>mm</w:t>
      </w:r>
      <w:r>
        <w:rPr>
          <w:rFonts w:ascii="Times New Roman" w:eastAsia="Times New Roman"/>
          <w:spacing w:val="-1"/>
          <w:sz w:val="18"/>
        </w:rPr>
        <w:t>e</w:t>
      </w:r>
      <w:r>
        <w:rPr>
          <w:rFonts w:ascii="Times New Roman" w:eastAsia="Times New Roman"/>
          <w:spacing w:val="-2"/>
          <w:sz w:val="18"/>
        </w:rPr>
        <w:t>j</w:t>
      </w:r>
      <w:r>
        <w:rPr>
          <w:rFonts w:ascii="Times New Roman" w:eastAsia="Times New Roman"/>
          <w:sz w:val="18"/>
        </w:rPr>
        <w:t>a</w:t>
      </w:r>
      <w:r>
        <w:rPr>
          <w:rFonts w:ascii="Times New Roman" w:eastAsia="Times New Roman"/>
          <w:spacing w:val="-3"/>
          <w:sz w:val="18"/>
        </w:rPr>
        <w:t> </w:t>
      </w:r>
      <w:r>
        <w:rPr>
          <w:rFonts w:ascii="Times New Roman" w:eastAsia="Times New Roman"/>
          <w:sz w:val="18"/>
        </w:rPr>
        <w:t>M</w:t>
      </w:r>
      <w:r>
        <w:rPr>
          <w:rFonts w:ascii="Times New Roman" w:eastAsia="Times New Roman"/>
          <w:spacing w:val="-6"/>
          <w:sz w:val="18"/>
        </w:rPr>
        <w:t> </w:t>
      </w:r>
      <w:r>
        <w:rPr>
          <w:rFonts w:ascii="Times New Roman" w:eastAsia="Times New Roman"/>
          <w:spacing w:val="-1"/>
          <w:sz w:val="18"/>
        </w:rPr>
        <w:t>H</w:t>
      </w:r>
      <w:r>
        <w:rPr>
          <w:rFonts w:ascii="Times New Roman" w:eastAsia="Times New Roman"/>
          <w:sz w:val="18"/>
        </w:rPr>
        <w:t>,</w:t>
      </w:r>
      <w:r>
        <w:rPr>
          <w:rFonts w:ascii="Times New Roman" w:eastAsia="Times New Roman"/>
          <w:spacing w:val="-6"/>
          <w:sz w:val="18"/>
        </w:rPr>
        <w:t> </w:t>
      </w:r>
      <w:r>
        <w:rPr>
          <w:rFonts w:ascii="Times New Roman" w:eastAsia="Times New Roman"/>
          <w:spacing w:val="-2"/>
          <w:sz w:val="18"/>
        </w:rPr>
        <w:t>Mondo</w:t>
      </w:r>
      <w:r>
        <w:rPr>
          <w:rFonts w:ascii="Times New Roman" w:eastAsia="Times New Roman"/>
          <w:sz w:val="18"/>
        </w:rPr>
        <w:t>u</w:t>
      </w:r>
      <w:r>
        <w:rPr>
          <w:rFonts w:ascii="Times New Roman" w:eastAsia="Times New Roman"/>
          <w:spacing w:val="-6"/>
          <w:sz w:val="18"/>
        </w:rPr>
        <w:t> </w:t>
      </w:r>
      <w:r>
        <w:rPr>
          <w:rFonts w:ascii="Times New Roman" w:eastAsia="Times New Roman"/>
          <w:spacing w:val="-2"/>
          <w:sz w:val="18"/>
        </w:rPr>
        <w:t>E</w:t>
      </w:r>
      <w:r>
        <w:rPr>
          <w:rFonts w:ascii="Times New Roman" w:eastAsia="Times New Roman"/>
          <w:sz w:val="18"/>
        </w:rPr>
        <w:t>,</w:t>
      </w:r>
      <w:r>
        <w:rPr>
          <w:rFonts w:ascii="Times New Roman" w:eastAsia="Times New Roman"/>
          <w:spacing w:val="-6"/>
          <w:sz w:val="18"/>
        </w:rPr>
        <w:t> </w:t>
      </w:r>
      <w:r>
        <w:rPr>
          <w:rFonts w:ascii="Times New Roman" w:eastAsia="Times New Roman"/>
          <w:spacing w:val="-1"/>
          <w:sz w:val="18"/>
        </w:rPr>
        <w:t>B</w:t>
      </w:r>
      <w:r>
        <w:rPr>
          <w:rFonts w:ascii="Times New Roman" w:eastAsia="Times New Roman"/>
          <w:spacing w:val="-2"/>
          <w:sz w:val="18"/>
        </w:rPr>
        <w:t>lu</w:t>
      </w:r>
      <w:r>
        <w:rPr>
          <w:rFonts w:ascii="Times New Roman" w:eastAsia="Times New Roman"/>
          <w:sz w:val="18"/>
        </w:rPr>
        <w:t>m</w:t>
      </w:r>
      <w:r>
        <w:rPr>
          <w:rFonts w:ascii="Times New Roman" w:eastAsia="Times New Roman"/>
          <w:spacing w:val="-5"/>
          <w:sz w:val="18"/>
        </w:rPr>
        <w:t> </w:t>
      </w:r>
      <w:r>
        <w:rPr>
          <w:rFonts w:ascii="Times New Roman" w:eastAsia="Times New Roman"/>
          <w:spacing w:val="-3"/>
          <w:sz w:val="18"/>
        </w:rPr>
        <w:t>R</w:t>
      </w:r>
      <w:r>
        <w:rPr>
          <w:spacing w:val="-82"/>
          <w:sz w:val="18"/>
        </w:rPr>
        <w:t>，</w:t>
      </w:r>
      <w:r>
        <w:rPr>
          <w:rFonts w:ascii="Times New Roman" w:eastAsia="Times New Roman"/>
          <w:spacing w:val="-1"/>
          <w:sz w:val="18"/>
        </w:rPr>
        <w:t>e</w:t>
      </w:r>
      <w:r>
        <w:rPr>
          <w:rFonts w:ascii="Times New Roman" w:eastAsia="Times New Roman"/>
          <w:sz w:val="18"/>
        </w:rPr>
        <w:t>t</w:t>
      </w:r>
      <w:r>
        <w:rPr>
          <w:rFonts w:ascii="Times New Roman" w:eastAsia="Times New Roman"/>
          <w:spacing w:val="-7"/>
          <w:sz w:val="18"/>
        </w:rPr>
        <w:t> </w:t>
      </w:r>
      <w:r>
        <w:rPr>
          <w:rFonts w:ascii="Times New Roman" w:eastAsia="Times New Roman"/>
          <w:spacing w:val="-1"/>
          <w:sz w:val="18"/>
        </w:rPr>
        <w:t>a</w:t>
      </w:r>
      <w:r>
        <w:rPr>
          <w:rFonts w:ascii="Times New Roman" w:eastAsia="Times New Roman"/>
          <w:spacing w:val="-2"/>
          <w:sz w:val="18"/>
        </w:rPr>
        <w:t>l</w:t>
      </w:r>
      <w:r>
        <w:rPr>
          <w:rFonts w:ascii="Times New Roman" w:eastAsia="Times New Roman"/>
          <w:sz w:val="18"/>
        </w:rPr>
        <w:t>.</w:t>
      </w:r>
      <w:r>
        <w:rPr>
          <w:rFonts w:ascii="Times New Roman" w:eastAsia="Times New Roman"/>
          <w:spacing w:val="-4"/>
          <w:sz w:val="18"/>
        </w:rPr>
        <w:t> </w:t>
      </w:r>
      <w:r>
        <w:rPr>
          <w:rFonts w:ascii="Times New Roman" w:eastAsia="Times New Roman"/>
          <w:spacing w:val="-2"/>
          <w:sz w:val="18"/>
        </w:rPr>
        <w:t>S</w:t>
      </w:r>
      <w:r>
        <w:rPr>
          <w:rFonts w:ascii="Times New Roman" w:eastAsia="Times New Roman"/>
          <w:spacing w:val="-1"/>
          <w:sz w:val="18"/>
        </w:rPr>
        <w:t>e</w:t>
      </w:r>
      <w:r>
        <w:rPr>
          <w:rFonts w:ascii="Times New Roman" w:eastAsia="Times New Roman"/>
          <w:spacing w:val="-3"/>
          <w:sz w:val="18"/>
        </w:rPr>
        <w:t>r</w:t>
      </w:r>
      <w:r>
        <w:rPr>
          <w:rFonts w:ascii="Times New Roman" w:eastAsia="Times New Roman"/>
          <w:spacing w:val="-2"/>
          <w:sz w:val="18"/>
        </w:rPr>
        <w:t>u</w:t>
      </w:r>
      <w:r>
        <w:rPr>
          <w:rFonts w:ascii="Times New Roman" w:eastAsia="Times New Roman"/>
          <w:sz w:val="18"/>
        </w:rPr>
        <w:t>m</w:t>
      </w:r>
      <w:r>
        <w:rPr>
          <w:rFonts w:ascii="Times New Roman" w:eastAsia="Times New Roman"/>
          <w:spacing w:val="-8"/>
          <w:sz w:val="18"/>
        </w:rPr>
        <w:t> </w:t>
      </w:r>
      <w:r>
        <w:rPr>
          <w:rFonts w:ascii="Times New Roman" w:eastAsia="Times New Roman"/>
          <w:spacing w:val="-1"/>
          <w:sz w:val="18"/>
        </w:rPr>
        <w:t>H</w:t>
      </w:r>
      <w:r>
        <w:rPr>
          <w:rFonts w:ascii="Times New Roman" w:eastAsia="Times New Roman"/>
          <w:spacing w:val="-3"/>
          <w:sz w:val="18"/>
        </w:rPr>
        <w:t>B</w:t>
      </w:r>
      <w:r>
        <w:rPr>
          <w:rFonts w:ascii="Times New Roman" w:eastAsia="Times New Roman"/>
          <w:sz w:val="18"/>
        </w:rPr>
        <w:t>V</w:t>
      </w:r>
      <w:r>
        <w:rPr>
          <w:rFonts w:ascii="Times New Roman" w:eastAsia="Times New Roman"/>
          <w:spacing w:val="-7"/>
          <w:sz w:val="18"/>
        </w:rPr>
        <w:t> </w:t>
      </w:r>
      <w:r>
        <w:rPr>
          <w:rFonts w:ascii="Times New Roman" w:eastAsia="Times New Roman"/>
          <w:spacing w:val="-1"/>
          <w:sz w:val="18"/>
        </w:rPr>
        <w:t>D</w:t>
      </w:r>
      <w:r>
        <w:rPr>
          <w:rFonts w:ascii="Times New Roman" w:eastAsia="Times New Roman"/>
          <w:spacing w:val="-3"/>
          <w:sz w:val="18"/>
        </w:rPr>
        <w:t>N</w:t>
      </w:r>
      <w:r>
        <w:rPr>
          <w:rFonts w:ascii="Times New Roman" w:eastAsia="Times New Roman"/>
          <w:sz w:val="18"/>
        </w:rPr>
        <w:t>A</w:t>
      </w:r>
      <w:r>
        <w:rPr>
          <w:rFonts w:ascii="Times New Roman" w:eastAsia="Times New Roman"/>
          <w:spacing w:val="-15"/>
          <w:sz w:val="18"/>
        </w:rPr>
        <w:t> </w:t>
      </w:r>
      <w:r>
        <w:rPr>
          <w:rFonts w:ascii="Times New Roman" w:eastAsia="Times New Roman"/>
          <w:spacing w:val="-1"/>
          <w:sz w:val="18"/>
        </w:rPr>
        <w:t>a</w:t>
      </w:r>
      <w:r>
        <w:rPr>
          <w:rFonts w:ascii="Times New Roman" w:eastAsia="Times New Roman"/>
          <w:sz w:val="18"/>
        </w:rPr>
        <w:t>s</w:t>
      </w:r>
      <w:r>
        <w:rPr>
          <w:rFonts w:ascii="Times New Roman" w:eastAsia="Times New Roman"/>
          <w:spacing w:val="-8"/>
          <w:sz w:val="18"/>
        </w:rPr>
        <w:t> </w:t>
      </w:r>
      <w:r>
        <w:rPr>
          <w:rFonts w:ascii="Times New Roman" w:eastAsia="Times New Roman"/>
          <w:sz w:val="18"/>
        </w:rPr>
        <w:t>a</w:t>
      </w:r>
      <w:r>
        <w:rPr>
          <w:rFonts w:ascii="Times New Roman" w:eastAsia="Times New Roman"/>
          <w:spacing w:val="-3"/>
          <w:sz w:val="18"/>
        </w:rPr>
        <w:t> </w:t>
      </w:r>
      <w:r>
        <w:rPr>
          <w:rFonts w:ascii="Times New Roman" w:eastAsia="Times New Roman"/>
          <w:spacing w:val="-4"/>
          <w:sz w:val="18"/>
        </w:rPr>
        <w:t>m</w:t>
      </w:r>
      <w:r>
        <w:rPr>
          <w:rFonts w:ascii="Times New Roman" w:eastAsia="Times New Roman"/>
          <w:spacing w:val="-1"/>
          <w:sz w:val="18"/>
        </w:rPr>
        <w:t>a</w:t>
      </w:r>
      <w:r>
        <w:rPr>
          <w:rFonts w:ascii="Times New Roman" w:eastAsia="Times New Roman"/>
          <w:spacing w:val="-2"/>
          <w:sz w:val="18"/>
        </w:rPr>
        <w:t>k</w:t>
      </w:r>
      <w:r>
        <w:rPr>
          <w:rFonts w:ascii="Times New Roman" w:eastAsia="Times New Roman"/>
          <w:spacing w:val="-4"/>
          <w:sz w:val="18"/>
        </w:rPr>
        <w:t>e</w:t>
      </w:r>
      <w:r>
        <w:rPr>
          <w:rFonts w:ascii="Times New Roman" w:eastAsia="Times New Roman"/>
          <w:sz w:val="18"/>
        </w:rPr>
        <w:t>r</w:t>
      </w:r>
      <w:r>
        <w:rPr>
          <w:rFonts w:ascii="Times New Roman" w:eastAsia="Times New Roman"/>
          <w:spacing w:val="-5"/>
          <w:sz w:val="18"/>
        </w:rPr>
        <w:t> </w:t>
      </w:r>
      <w:r>
        <w:rPr>
          <w:rFonts w:ascii="Times New Roman" w:eastAsia="Times New Roman"/>
          <w:spacing w:val="-2"/>
          <w:sz w:val="18"/>
        </w:rPr>
        <w:t>o</w:t>
      </w:r>
      <w:r>
        <w:rPr>
          <w:rFonts w:ascii="Times New Roman" w:eastAsia="Times New Roman"/>
          <w:sz w:val="18"/>
        </w:rPr>
        <w:t>f</w:t>
      </w:r>
      <w:r>
        <w:rPr>
          <w:rFonts w:ascii="Times New Roman" w:eastAsia="Times New Roman"/>
          <w:spacing w:val="-5"/>
          <w:sz w:val="18"/>
        </w:rPr>
        <w:t> </w:t>
      </w:r>
      <w:r>
        <w:rPr>
          <w:rFonts w:ascii="Times New Roman" w:eastAsia="Times New Roman"/>
          <w:spacing w:val="-1"/>
          <w:sz w:val="18"/>
        </w:rPr>
        <w:t>e</w:t>
      </w:r>
      <w:r>
        <w:rPr>
          <w:rFonts w:ascii="Times New Roman" w:eastAsia="Times New Roman"/>
          <w:spacing w:val="-5"/>
          <w:sz w:val="18"/>
        </w:rPr>
        <w:t>f</w:t>
      </w:r>
      <w:r>
        <w:rPr>
          <w:rFonts w:ascii="Times New Roman" w:eastAsia="Times New Roman"/>
          <w:spacing w:val="-3"/>
          <w:sz w:val="18"/>
        </w:rPr>
        <w:t>f</w:t>
      </w:r>
      <w:r>
        <w:rPr>
          <w:rFonts w:ascii="Times New Roman" w:eastAsia="Times New Roman"/>
          <w:spacing w:val="-2"/>
          <w:sz w:val="18"/>
        </w:rPr>
        <w:t>i</w:t>
      </w:r>
      <w:r>
        <w:rPr>
          <w:rFonts w:ascii="Times New Roman" w:eastAsia="Times New Roman"/>
          <w:spacing w:val="-4"/>
          <w:sz w:val="18"/>
        </w:rPr>
        <w:t>c</w:t>
      </w:r>
      <w:r>
        <w:rPr>
          <w:rFonts w:ascii="Times New Roman" w:eastAsia="Times New Roman"/>
          <w:spacing w:val="-1"/>
          <w:sz w:val="18"/>
        </w:rPr>
        <w:t>a</w:t>
      </w:r>
      <w:r>
        <w:rPr>
          <w:rFonts w:ascii="Times New Roman" w:eastAsia="Times New Roman"/>
          <w:spacing w:val="-4"/>
          <w:sz w:val="18"/>
        </w:rPr>
        <w:t>c</w:t>
      </w:r>
      <w:r>
        <w:rPr>
          <w:rFonts w:ascii="Times New Roman" w:eastAsia="Times New Roman"/>
          <w:sz w:val="18"/>
        </w:rPr>
        <w:t>y</w:t>
      </w:r>
      <w:r>
        <w:rPr>
          <w:rFonts w:ascii="Times New Roman" w:eastAsia="Times New Roman"/>
          <w:spacing w:val="-6"/>
          <w:sz w:val="18"/>
        </w:rPr>
        <w:t> </w:t>
      </w:r>
      <w:r>
        <w:rPr>
          <w:rFonts w:ascii="Times New Roman" w:eastAsia="Times New Roman"/>
          <w:spacing w:val="-2"/>
          <w:sz w:val="18"/>
        </w:rPr>
        <w:t>du</w:t>
      </w:r>
      <w:r>
        <w:rPr>
          <w:rFonts w:ascii="Times New Roman" w:eastAsia="Times New Roman"/>
          <w:spacing w:val="-3"/>
          <w:sz w:val="18"/>
        </w:rPr>
        <w:t>r</w:t>
      </w:r>
      <w:r>
        <w:rPr>
          <w:rFonts w:ascii="Times New Roman" w:eastAsia="Times New Roman"/>
          <w:spacing w:val="-2"/>
          <w:sz w:val="18"/>
        </w:rPr>
        <w:t>in</w:t>
      </w:r>
      <w:r>
        <w:rPr>
          <w:rFonts w:ascii="Times New Roman" w:eastAsia="Times New Roman"/>
          <w:sz w:val="18"/>
        </w:rPr>
        <w:t>g</w:t>
      </w:r>
      <w:r>
        <w:rPr>
          <w:rFonts w:ascii="Times New Roman" w:eastAsia="Times New Roman"/>
          <w:spacing w:val="-6"/>
          <w:sz w:val="18"/>
        </w:rPr>
        <w:t> </w:t>
      </w:r>
      <w:r>
        <w:rPr>
          <w:rFonts w:ascii="Times New Roman" w:eastAsia="Times New Roman"/>
          <w:spacing w:val="-2"/>
          <w:sz w:val="18"/>
        </w:rPr>
        <w:t>th</w:t>
      </w:r>
      <w:r>
        <w:rPr>
          <w:rFonts w:ascii="Times New Roman" w:eastAsia="Times New Roman"/>
          <w:spacing w:val="-4"/>
          <w:sz w:val="18"/>
        </w:rPr>
        <w:t>e</w:t>
      </w:r>
      <w:r>
        <w:rPr>
          <w:rFonts w:ascii="Times New Roman" w:eastAsia="Times New Roman"/>
          <w:sz w:val="18"/>
        </w:rPr>
        <w:t>r</w:t>
      </w:r>
      <w:r>
        <w:rPr>
          <w:rFonts w:ascii="Times New Roman" w:eastAsia="Times New Roman"/>
          <w:spacing w:val="-4"/>
          <w:sz w:val="18"/>
        </w:rPr>
        <w:t>a</w:t>
      </w:r>
      <w:r>
        <w:rPr>
          <w:rFonts w:ascii="Times New Roman" w:eastAsia="Times New Roman"/>
          <w:spacing w:val="-2"/>
          <w:sz w:val="18"/>
        </w:rPr>
        <w:t>p</w:t>
      </w:r>
      <w:r>
        <w:rPr>
          <w:rFonts w:ascii="Times New Roman" w:eastAsia="Times New Roman"/>
          <w:sz w:val="18"/>
        </w:rPr>
        <w:t>y</w:t>
      </w:r>
      <w:r>
        <w:rPr>
          <w:rFonts w:ascii="Times New Roman" w:eastAsia="Times New Roman"/>
          <w:spacing w:val="-6"/>
          <w:sz w:val="18"/>
        </w:rPr>
        <w:t> </w:t>
      </w:r>
      <w:r>
        <w:rPr>
          <w:rFonts w:ascii="Times New Roman" w:eastAsia="Times New Roman"/>
          <w:spacing w:val="-3"/>
          <w:sz w:val="18"/>
        </w:rPr>
        <w:t>f</w:t>
      </w:r>
      <w:r>
        <w:rPr>
          <w:rFonts w:ascii="Times New Roman" w:eastAsia="Times New Roman"/>
          <w:spacing w:val="-2"/>
          <w:sz w:val="18"/>
        </w:rPr>
        <w:t>o</w:t>
      </w:r>
      <w:r>
        <w:rPr>
          <w:rFonts w:ascii="Times New Roman" w:eastAsia="Times New Roman"/>
          <w:sz w:val="18"/>
        </w:rPr>
        <w:t>r</w:t>
      </w:r>
      <w:r>
        <w:rPr>
          <w:rFonts w:ascii="Times New Roman" w:eastAsia="Times New Roman"/>
          <w:spacing w:val="-7"/>
          <w:sz w:val="18"/>
        </w:rPr>
        <w:t> </w:t>
      </w:r>
      <w:r>
        <w:rPr>
          <w:rFonts w:ascii="Times New Roman" w:eastAsia="Times New Roman"/>
          <w:spacing w:val="-1"/>
          <w:sz w:val="18"/>
        </w:rPr>
        <w:t>c</w:t>
      </w:r>
      <w:r>
        <w:rPr>
          <w:rFonts w:ascii="Times New Roman" w:eastAsia="Times New Roman"/>
          <w:spacing w:val="-2"/>
          <w:sz w:val="18"/>
        </w:rPr>
        <w:t>h</w:t>
      </w:r>
      <w:r>
        <w:rPr>
          <w:rFonts w:ascii="Times New Roman" w:eastAsia="Times New Roman"/>
          <w:spacing w:val="-3"/>
          <w:sz w:val="18"/>
        </w:rPr>
        <w:t>r</w:t>
      </w:r>
      <w:r>
        <w:rPr>
          <w:rFonts w:ascii="Times New Roman" w:eastAsia="Times New Roman"/>
          <w:spacing w:val="-2"/>
          <w:sz w:val="18"/>
        </w:rPr>
        <w:t>oni</w:t>
      </w:r>
      <w:r>
        <w:rPr>
          <w:rFonts w:ascii="Times New Roman" w:eastAsia="Times New Roman"/>
          <w:sz w:val="18"/>
        </w:rPr>
        <w:t>c</w:t>
      </w:r>
      <w:r>
        <w:rPr>
          <w:rFonts w:ascii="Times New Roman" w:eastAsia="Times New Roman"/>
          <w:spacing w:val="-8"/>
          <w:sz w:val="18"/>
        </w:rPr>
        <w:t> </w:t>
      </w:r>
      <w:r>
        <w:rPr>
          <w:rFonts w:ascii="Times New Roman" w:eastAsia="Times New Roman"/>
          <w:spacing w:val="-1"/>
          <w:sz w:val="18"/>
        </w:rPr>
        <w:t>H</w:t>
      </w:r>
      <w:r>
        <w:rPr>
          <w:rFonts w:ascii="Times New Roman" w:eastAsia="Times New Roman"/>
          <w:spacing w:val="-3"/>
          <w:sz w:val="18"/>
        </w:rPr>
        <w:t>B</w:t>
      </w:r>
      <w:r>
        <w:rPr>
          <w:rFonts w:ascii="Times New Roman" w:eastAsia="Times New Roman"/>
          <w:sz w:val="18"/>
        </w:rPr>
        <w:t>V</w:t>
      </w:r>
      <w:r>
        <w:rPr>
          <w:rFonts w:ascii="Times New Roman" w:eastAsia="Times New Roman"/>
          <w:spacing w:val="-7"/>
          <w:sz w:val="18"/>
        </w:rPr>
        <w:t> </w:t>
      </w:r>
      <w:r>
        <w:rPr>
          <w:rFonts w:ascii="Times New Roman" w:eastAsia="Times New Roman"/>
          <w:sz w:val="18"/>
        </w:rPr>
        <w:t>i</w:t>
      </w:r>
      <w:r>
        <w:rPr>
          <w:rFonts w:ascii="Times New Roman" w:eastAsia="Times New Roman"/>
          <w:spacing w:val="-2"/>
          <w:sz w:val="18"/>
        </w:rPr>
        <w:t>n</w:t>
      </w:r>
      <w:r>
        <w:rPr>
          <w:rFonts w:ascii="Times New Roman" w:eastAsia="Times New Roman"/>
          <w:spacing w:val="-5"/>
          <w:sz w:val="18"/>
        </w:rPr>
        <w:t>f</w:t>
      </w:r>
      <w:r>
        <w:rPr>
          <w:rFonts w:ascii="Times New Roman" w:eastAsia="Times New Roman"/>
          <w:spacing w:val="-1"/>
          <w:sz w:val="18"/>
        </w:rPr>
        <w:t>e</w:t>
      </w:r>
      <w:r>
        <w:rPr>
          <w:rFonts w:ascii="Times New Roman" w:eastAsia="Times New Roman"/>
          <w:spacing w:val="-4"/>
          <w:sz w:val="18"/>
        </w:rPr>
        <w:t>c</w:t>
      </w:r>
      <w:r>
        <w:rPr>
          <w:rFonts w:ascii="Times New Roman" w:eastAsia="Times New Roman"/>
          <w:spacing w:val="-2"/>
          <w:sz w:val="18"/>
        </w:rPr>
        <w:t>tion:</w:t>
      </w:r>
      <w:r>
        <w:rPr>
          <w:rFonts w:ascii="Times New Roman" w:eastAsia="Times New Roman"/>
          <w:spacing w:val="-4"/>
          <w:sz w:val="18"/>
        </w:rPr>
        <w:t>a</w:t>
      </w:r>
      <w:r>
        <w:rPr>
          <w:rFonts w:ascii="Times New Roman" w:eastAsia="Times New Roman"/>
          <w:spacing w:val="-2"/>
          <w:sz w:val="18"/>
        </w:rPr>
        <w:t>n</w:t>
      </w:r>
      <w:r>
        <w:rPr>
          <w:rFonts w:ascii="Times New Roman" w:eastAsia="Times New Roman"/>
          <w:spacing w:val="-4"/>
          <w:sz w:val="18"/>
        </w:rPr>
        <w:t>a</w:t>
      </w:r>
      <w:r>
        <w:rPr>
          <w:rFonts w:ascii="Times New Roman" w:eastAsia="Times New Roman"/>
          <w:spacing w:val="-2"/>
          <w:sz w:val="18"/>
        </w:rPr>
        <w:t>l</w:t>
      </w:r>
      <w:r>
        <w:rPr>
          <w:rFonts w:ascii="Times New Roman" w:eastAsia="Times New Roman"/>
          <w:spacing w:val="-4"/>
          <w:sz w:val="18"/>
        </w:rPr>
        <w:t>y</w:t>
      </w:r>
      <w:r>
        <w:rPr>
          <w:rFonts w:ascii="Times New Roman" w:eastAsia="Times New Roman"/>
          <w:spacing w:val="-1"/>
          <w:sz w:val="18"/>
        </w:rPr>
        <w:t>s</w:t>
      </w:r>
      <w:r>
        <w:rPr>
          <w:rFonts w:ascii="Times New Roman" w:eastAsia="Times New Roman"/>
          <w:spacing w:val="-2"/>
          <w:sz w:val="18"/>
        </w:rPr>
        <w:t>i</w:t>
      </w:r>
      <w:r>
        <w:rPr>
          <w:rFonts w:ascii="Times New Roman" w:eastAsia="Times New Roman"/>
          <w:sz w:val="18"/>
        </w:rPr>
        <w:t>s</w:t>
      </w:r>
      <w:r>
        <w:rPr>
          <w:rFonts w:ascii="Times New Roman" w:eastAsia="Times New Roman"/>
          <w:spacing w:val="-5"/>
          <w:sz w:val="18"/>
        </w:rPr>
        <w:t> </w:t>
      </w:r>
      <w:r>
        <w:rPr>
          <w:rFonts w:ascii="Times New Roman" w:eastAsia="Times New Roman"/>
          <w:spacing w:val="-1"/>
          <w:sz w:val="18"/>
        </w:rPr>
        <w:t>a</w:t>
      </w:r>
      <w:r>
        <w:rPr>
          <w:rFonts w:ascii="Times New Roman" w:eastAsia="Times New Roman"/>
          <w:spacing w:val="-2"/>
          <w:sz w:val="18"/>
        </w:rPr>
        <w:t>n</w:t>
      </w:r>
      <w:r>
        <w:rPr>
          <w:rFonts w:ascii="Times New Roman" w:eastAsia="Times New Roman"/>
          <w:sz w:val="18"/>
        </w:rPr>
        <w:t>d </w:t>
      </w:r>
      <w:r>
        <w:rPr>
          <w:rFonts w:ascii="Times New Roman" w:eastAsia="Times New Roman"/>
          <w:spacing w:val="-2"/>
          <w:sz w:val="18"/>
        </w:rPr>
        <w:t>review </w:t>
      </w:r>
      <w:r>
        <w:rPr>
          <w:rFonts w:ascii="Times New Roman" w:eastAsia="Times New Roman"/>
          <w:sz w:val="18"/>
        </w:rPr>
        <w:t>of the </w:t>
      </w:r>
      <w:r>
        <w:rPr>
          <w:rFonts w:ascii="Times New Roman" w:eastAsia="Times New Roman"/>
          <w:spacing w:val="-3"/>
          <w:sz w:val="18"/>
        </w:rPr>
        <w:t>literature. </w:t>
      </w:r>
      <w:r>
        <w:rPr>
          <w:rFonts w:ascii="Times New Roman" w:eastAsia="Times New Roman"/>
          <w:spacing w:val="-4"/>
          <w:sz w:val="18"/>
        </w:rPr>
        <w:t>Hepatology, </w:t>
      </w:r>
      <w:r>
        <w:rPr>
          <w:rFonts w:ascii="Times New Roman" w:eastAsia="Times New Roman"/>
          <w:sz w:val="18"/>
        </w:rPr>
        <w:t>2003, 37:</w:t>
      </w:r>
      <w:r>
        <w:rPr>
          <w:rFonts w:ascii="Times New Roman" w:eastAsia="Times New Roman"/>
          <w:spacing w:val="6"/>
          <w:sz w:val="18"/>
        </w:rPr>
        <w:t> </w:t>
      </w:r>
      <w:r>
        <w:rPr>
          <w:rFonts w:ascii="Times New Roman" w:eastAsia="Times New Roman"/>
          <w:spacing w:val="-3"/>
          <w:sz w:val="18"/>
        </w:rPr>
        <w:t>1309-1319.</w:t>
      </w:r>
    </w:p>
    <w:p>
      <w:pPr>
        <w:pStyle w:val="ListParagraph"/>
        <w:numPr>
          <w:ilvl w:val="0"/>
          <w:numId w:val="7"/>
        </w:numPr>
        <w:tabs>
          <w:tab w:pos="425" w:val="left" w:leader="none"/>
        </w:tabs>
        <w:spacing w:line="230" w:lineRule="auto" w:before="5" w:after="0"/>
        <w:ind w:left="127" w:right="194" w:firstLine="0"/>
        <w:jc w:val="left"/>
        <w:rPr>
          <w:rFonts w:ascii="Times New Roman" w:hAnsi="Times New Roman"/>
          <w:sz w:val="18"/>
        </w:rPr>
      </w:pPr>
      <w:r>
        <w:rPr>
          <w:rFonts w:ascii="Times New Roman" w:hAnsi="Times New Roman"/>
          <w:spacing w:val="-3"/>
          <w:sz w:val="18"/>
        </w:rPr>
        <w:t>Jeffrey </w:t>
      </w:r>
      <w:r>
        <w:rPr>
          <w:rFonts w:ascii="Times New Roman" w:hAnsi="Times New Roman"/>
          <w:sz w:val="18"/>
        </w:rPr>
        <w:t>J G, </w:t>
      </w:r>
      <w:r>
        <w:rPr>
          <w:rFonts w:ascii="Times New Roman" w:hAnsi="Times New Roman"/>
          <w:spacing w:val="-3"/>
          <w:sz w:val="18"/>
        </w:rPr>
        <w:t>Mohammed </w:t>
      </w:r>
      <w:r>
        <w:rPr>
          <w:rFonts w:ascii="Times New Roman" w:hAnsi="Times New Roman"/>
          <w:sz w:val="18"/>
        </w:rPr>
        <w:t>O Q, et al. </w:t>
      </w:r>
      <w:r>
        <w:rPr>
          <w:rFonts w:ascii="Times New Roman" w:hAnsi="Times New Roman"/>
          <w:spacing w:val="-3"/>
          <w:sz w:val="18"/>
        </w:rPr>
        <w:t>Quantification </w:t>
      </w:r>
      <w:r>
        <w:rPr>
          <w:rFonts w:ascii="Times New Roman" w:hAnsi="Times New Roman"/>
          <w:sz w:val="18"/>
        </w:rPr>
        <w:t>of </w:t>
      </w:r>
      <w:r>
        <w:rPr>
          <w:rFonts w:ascii="Times New Roman" w:hAnsi="Times New Roman"/>
          <w:spacing w:val="-3"/>
          <w:sz w:val="18"/>
        </w:rPr>
        <w:t>Hepatitis </w:t>
      </w:r>
      <w:r>
        <w:rPr>
          <w:rFonts w:ascii="Times New Roman" w:hAnsi="Times New Roman"/>
          <w:sz w:val="18"/>
        </w:rPr>
        <w:t>B </w:t>
      </w:r>
      <w:r>
        <w:rPr>
          <w:rFonts w:ascii="Times New Roman" w:hAnsi="Times New Roman"/>
          <w:spacing w:val="-4"/>
          <w:sz w:val="18"/>
        </w:rPr>
        <w:t>Virus </w:t>
      </w:r>
      <w:r>
        <w:rPr>
          <w:rFonts w:ascii="Times New Roman" w:hAnsi="Times New Roman"/>
          <w:sz w:val="18"/>
        </w:rPr>
        <w:t>(HBV) DNA with a </w:t>
      </w:r>
      <w:r>
        <w:rPr>
          <w:rFonts w:ascii="Times New Roman" w:hAnsi="Times New Roman"/>
          <w:spacing w:val="-4"/>
          <w:sz w:val="18"/>
        </w:rPr>
        <w:t>TaqMan </w:t>
      </w:r>
      <w:r>
        <w:rPr>
          <w:rFonts w:ascii="Times New Roman" w:hAnsi="Times New Roman"/>
          <w:sz w:val="18"/>
        </w:rPr>
        <w:t>HBV </w:t>
      </w:r>
      <w:r>
        <w:rPr>
          <w:rFonts w:ascii="Times New Roman" w:hAnsi="Times New Roman"/>
          <w:spacing w:val="-3"/>
          <w:sz w:val="18"/>
        </w:rPr>
        <w:t>Analyte-Specific </w:t>
      </w:r>
      <w:r>
        <w:rPr>
          <w:rFonts w:ascii="Times New Roman" w:hAnsi="Times New Roman"/>
          <w:sz w:val="18"/>
        </w:rPr>
        <w:t>Reagent following</w:t>
      </w:r>
      <w:r>
        <w:rPr>
          <w:rFonts w:ascii="Times New Roman" w:hAnsi="Times New Roman"/>
          <w:spacing w:val="-7"/>
          <w:sz w:val="18"/>
        </w:rPr>
        <w:t> </w:t>
      </w:r>
      <w:r>
        <w:rPr>
          <w:rFonts w:ascii="Times New Roman" w:hAnsi="Times New Roman"/>
          <w:sz w:val="18"/>
        </w:rPr>
        <w:t>Sample</w:t>
      </w:r>
      <w:r>
        <w:rPr>
          <w:rFonts w:ascii="Times New Roman" w:hAnsi="Times New Roman"/>
          <w:spacing w:val="-9"/>
          <w:sz w:val="18"/>
        </w:rPr>
        <w:t> </w:t>
      </w:r>
      <w:r>
        <w:rPr>
          <w:rFonts w:ascii="Times New Roman" w:hAnsi="Times New Roman"/>
          <w:spacing w:val="-3"/>
          <w:sz w:val="18"/>
        </w:rPr>
        <w:t>Processing</w:t>
      </w:r>
      <w:r>
        <w:rPr>
          <w:rFonts w:ascii="Times New Roman" w:hAnsi="Times New Roman"/>
          <w:spacing w:val="-7"/>
          <w:sz w:val="18"/>
        </w:rPr>
        <w:t> </w:t>
      </w:r>
      <w:r>
        <w:rPr>
          <w:rFonts w:ascii="Times New Roman" w:hAnsi="Times New Roman"/>
          <w:sz w:val="18"/>
        </w:rPr>
        <w:t>with</w:t>
      </w:r>
      <w:r>
        <w:rPr>
          <w:rFonts w:ascii="Times New Roman" w:hAnsi="Times New Roman"/>
          <w:spacing w:val="-7"/>
          <w:sz w:val="18"/>
        </w:rPr>
        <w:t> </w:t>
      </w:r>
      <w:r>
        <w:rPr>
          <w:rFonts w:ascii="Times New Roman" w:hAnsi="Times New Roman"/>
          <w:sz w:val="18"/>
        </w:rPr>
        <w:t>the</w:t>
      </w:r>
      <w:r>
        <w:rPr>
          <w:rFonts w:ascii="Times New Roman" w:hAnsi="Times New Roman"/>
          <w:spacing w:val="-9"/>
          <w:sz w:val="18"/>
        </w:rPr>
        <w:t> </w:t>
      </w:r>
      <w:r>
        <w:rPr>
          <w:rFonts w:ascii="Times New Roman" w:hAnsi="Times New Roman"/>
          <w:sz w:val="18"/>
        </w:rPr>
        <w:t>MagNA</w:t>
      </w:r>
      <w:r>
        <w:rPr>
          <w:rFonts w:ascii="Times New Roman" w:hAnsi="Times New Roman"/>
          <w:spacing w:val="-18"/>
          <w:sz w:val="18"/>
        </w:rPr>
        <w:t> </w:t>
      </w:r>
      <w:r>
        <w:rPr>
          <w:rFonts w:ascii="Times New Roman" w:hAnsi="Times New Roman"/>
          <w:sz w:val="18"/>
        </w:rPr>
        <w:t>Pure</w:t>
      </w:r>
      <w:r>
        <w:rPr>
          <w:rFonts w:ascii="Times New Roman" w:hAnsi="Times New Roman"/>
          <w:spacing w:val="-6"/>
          <w:sz w:val="18"/>
        </w:rPr>
        <w:t> </w:t>
      </w:r>
      <w:r>
        <w:rPr>
          <w:rFonts w:ascii="Times New Roman" w:hAnsi="Times New Roman"/>
          <w:sz w:val="18"/>
        </w:rPr>
        <w:t>LC</w:t>
      </w:r>
      <w:r>
        <w:rPr>
          <w:rFonts w:ascii="Times New Roman" w:hAnsi="Times New Roman"/>
          <w:spacing w:val="-6"/>
          <w:sz w:val="18"/>
        </w:rPr>
        <w:t> </w:t>
      </w:r>
      <w:r>
        <w:rPr>
          <w:rFonts w:ascii="Times New Roman" w:hAnsi="Times New Roman"/>
          <w:spacing w:val="-3"/>
          <w:sz w:val="18"/>
        </w:rPr>
        <w:t>Instrument.</w:t>
      </w:r>
      <w:r>
        <w:rPr>
          <w:rFonts w:ascii="Times New Roman" w:hAnsi="Times New Roman"/>
          <w:spacing w:val="-7"/>
          <w:sz w:val="18"/>
        </w:rPr>
        <w:t> </w:t>
      </w:r>
      <w:r>
        <w:rPr>
          <w:rFonts w:ascii="Times New Roman" w:hAnsi="Times New Roman"/>
          <w:sz w:val="18"/>
        </w:rPr>
        <w:t>J.</w:t>
      </w:r>
      <w:r>
        <w:rPr>
          <w:rFonts w:ascii="Times New Roman" w:hAnsi="Times New Roman"/>
          <w:spacing w:val="-8"/>
          <w:sz w:val="18"/>
        </w:rPr>
        <w:t> </w:t>
      </w:r>
      <w:r>
        <w:rPr>
          <w:rFonts w:ascii="Times New Roman" w:hAnsi="Times New Roman"/>
          <w:sz w:val="18"/>
        </w:rPr>
        <w:t>Clin.</w:t>
      </w:r>
      <w:r>
        <w:rPr>
          <w:rFonts w:ascii="Times New Roman" w:hAnsi="Times New Roman"/>
          <w:spacing w:val="-7"/>
          <w:sz w:val="18"/>
        </w:rPr>
        <w:t> </w:t>
      </w:r>
      <w:r>
        <w:rPr>
          <w:rFonts w:ascii="Times New Roman" w:hAnsi="Times New Roman"/>
          <w:sz w:val="18"/>
        </w:rPr>
        <w:t>Microbiol,</w:t>
      </w:r>
      <w:r>
        <w:rPr>
          <w:rFonts w:ascii="Times New Roman" w:hAnsi="Times New Roman"/>
          <w:spacing w:val="-10"/>
          <w:sz w:val="18"/>
        </w:rPr>
        <w:t> </w:t>
      </w:r>
      <w:r>
        <w:rPr>
          <w:rFonts w:ascii="Times New Roman" w:hAnsi="Times New Roman"/>
          <w:sz w:val="18"/>
        </w:rPr>
        <w:t>2006,</w:t>
      </w:r>
      <w:r>
        <w:rPr>
          <w:rFonts w:ascii="Times New Roman" w:hAnsi="Times New Roman"/>
          <w:spacing w:val="-7"/>
          <w:sz w:val="18"/>
        </w:rPr>
        <w:t> </w:t>
      </w:r>
      <w:r>
        <w:rPr>
          <w:rFonts w:ascii="Times New Roman" w:hAnsi="Times New Roman"/>
          <w:sz w:val="18"/>
        </w:rPr>
        <w:t>44(4):</w:t>
      </w:r>
      <w:r>
        <w:rPr>
          <w:rFonts w:ascii="Times New Roman" w:hAnsi="Times New Roman"/>
          <w:spacing w:val="-8"/>
          <w:sz w:val="18"/>
        </w:rPr>
        <w:t> </w:t>
      </w:r>
      <w:r>
        <w:rPr>
          <w:rFonts w:ascii="Times New Roman" w:hAnsi="Times New Roman"/>
          <w:spacing w:val="-3"/>
          <w:sz w:val="18"/>
        </w:rPr>
        <w:t>1490–1494.</w:t>
      </w:r>
    </w:p>
    <w:p>
      <w:pPr>
        <w:pStyle w:val="Heading1"/>
        <w:spacing w:line="215" w:lineRule="exact"/>
      </w:pPr>
      <w:r>
        <w:rPr/>
        <w:t>【基本信息】</w:t>
      </w:r>
    </w:p>
    <w:p>
      <w:pPr>
        <w:pStyle w:val="BodyText"/>
        <w:spacing w:line="249" w:lineRule="auto"/>
        <w:ind w:left="122" w:right="6336"/>
      </w:pPr>
      <w:r>
        <w:rPr/>
        <w:t>注册人</w:t>
      </w:r>
      <w:r>
        <w:rPr>
          <w:rFonts w:ascii="Times New Roman" w:eastAsia="Times New Roman"/>
        </w:rPr>
        <w:t>/</w:t>
      </w:r>
      <w:r>
        <w:rPr/>
        <w:t>生产企业名称：圣湘生物科技股份有限公司住所：长沙高新技术产业开发区麓松路 </w:t>
      </w:r>
      <w:r>
        <w:rPr>
          <w:rFonts w:ascii="Times New Roman" w:eastAsia="Times New Roman"/>
        </w:rPr>
        <w:t>680 </w:t>
      </w:r>
      <w:r>
        <w:rPr/>
        <w:t>号</w:t>
      </w:r>
    </w:p>
    <w:p>
      <w:pPr>
        <w:pStyle w:val="BodyText"/>
        <w:tabs>
          <w:tab w:pos="2373" w:val="left" w:leader="none"/>
        </w:tabs>
        <w:spacing w:line="240" w:lineRule="auto"/>
        <w:ind w:left="122"/>
        <w:rPr>
          <w:rFonts w:ascii="Times New Roman" w:eastAsia="Times New Roman"/>
        </w:rPr>
      </w:pPr>
      <w:r>
        <w:rPr>
          <w:spacing w:val="-5"/>
        </w:rPr>
        <w:t>联</w:t>
      </w:r>
      <w:r>
        <w:rPr>
          <w:spacing w:val="-3"/>
        </w:rPr>
        <w:t>系</w:t>
      </w:r>
      <w:r>
        <w:rPr>
          <w:spacing w:val="-5"/>
        </w:rPr>
        <w:t>方式</w:t>
      </w:r>
      <w:r>
        <w:rPr>
          <w:spacing w:val="-3"/>
        </w:rPr>
        <w:t>：</w:t>
      </w:r>
      <w:r>
        <w:rPr>
          <w:rFonts w:ascii="Times New Roman" w:eastAsia="Times New Roman"/>
          <w:spacing w:val="-3"/>
        </w:rPr>
        <w:t>0731-88883176</w:t>
        <w:tab/>
      </w:r>
      <w:r>
        <w:rPr>
          <w:spacing w:val="-5"/>
        </w:rPr>
        <w:t>传</w:t>
      </w:r>
      <w:r>
        <w:rPr>
          <w:spacing w:val="-3"/>
        </w:rPr>
        <w:t>真</w:t>
      </w:r>
      <w:r>
        <w:rPr>
          <w:spacing w:val="-5"/>
        </w:rPr>
        <w:t>号码</w:t>
      </w:r>
      <w:r>
        <w:rPr>
          <w:spacing w:val="-3"/>
        </w:rPr>
        <w:t>：</w:t>
      </w:r>
      <w:r>
        <w:rPr>
          <w:rFonts w:ascii="Times New Roman" w:eastAsia="Times New Roman"/>
          <w:spacing w:val="-3"/>
        </w:rPr>
        <w:t>0731-88884876</w:t>
      </w:r>
    </w:p>
    <w:p>
      <w:pPr>
        <w:pStyle w:val="BodyText"/>
        <w:spacing w:line="240" w:lineRule="auto" w:before="9"/>
        <w:ind w:left="122"/>
      </w:pPr>
      <w:r>
        <w:rPr/>
        <w:t>售后服务单位名称：圣湘生物科技股份有限公司</w:t>
      </w:r>
    </w:p>
    <w:p>
      <w:pPr>
        <w:pStyle w:val="BodyText"/>
        <w:tabs>
          <w:tab w:pos="2373" w:val="left" w:leader="none"/>
        </w:tabs>
        <w:spacing w:line="240" w:lineRule="auto" w:before="10"/>
        <w:ind w:left="122"/>
        <w:rPr>
          <w:rFonts w:ascii="Times New Roman" w:eastAsia="Times New Roman"/>
        </w:rPr>
      </w:pPr>
      <w:r>
        <w:rPr>
          <w:spacing w:val="-5"/>
        </w:rPr>
        <w:t>联</w:t>
      </w:r>
      <w:r>
        <w:rPr>
          <w:spacing w:val="-3"/>
        </w:rPr>
        <w:t>系</w:t>
      </w:r>
      <w:r>
        <w:rPr>
          <w:spacing w:val="-5"/>
        </w:rPr>
        <w:t>方式</w:t>
      </w:r>
      <w:r>
        <w:rPr>
          <w:spacing w:val="-3"/>
        </w:rPr>
        <w:t>：</w:t>
      </w:r>
      <w:r>
        <w:rPr>
          <w:rFonts w:ascii="Times New Roman" w:eastAsia="Times New Roman"/>
          <w:spacing w:val="-3"/>
        </w:rPr>
        <w:t>0731-88883176</w:t>
        <w:tab/>
      </w:r>
      <w:r>
        <w:rPr>
          <w:spacing w:val="-5"/>
        </w:rPr>
        <w:t>传</w:t>
      </w:r>
      <w:r>
        <w:rPr>
          <w:spacing w:val="-3"/>
        </w:rPr>
        <w:t>真</w:t>
      </w:r>
      <w:r>
        <w:rPr>
          <w:spacing w:val="-5"/>
        </w:rPr>
        <w:t>号码</w:t>
      </w:r>
      <w:r>
        <w:rPr>
          <w:spacing w:val="-3"/>
        </w:rPr>
        <w:t>：</w:t>
      </w:r>
      <w:r>
        <w:rPr>
          <w:rFonts w:ascii="Times New Roman" w:eastAsia="Times New Roman"/>
          <w:spacing w:val="-3"/>
        </w:rPr>
        <w:t>0731-88884876</w:t>
      </w:r>
    </w:p>
    <w:p>
      <w:pPr>
        <w:pStyle w:val="BodyText"/>
        <w:spacing w:line="218" w:lineRule="auto" w:before="25"/>
        <w:ind w:right="6465" w:hanging="5"/>
      </w:pPr>
      <w:r>
        <w:rPr>
          <w:spacing w:val="-8"/>
        </w:rPr>
        <w:t>生产地址：长沙高新技术产业开发区麓松路 </w:t>
      </w:r>
      <w:r>
        <w:rPr>
          <w:rFonts w:ascii="Times New Roman" w:eastAsia="Times New Roman"/>
        </w:rPr>
        <w:t>680 </w:t>
      </w:r>
      <w:r>
        <w:rPr/>
        <w:t>号</w:t>
      </w:r>
      <w:r>
        <w:rPr>
          <w:spacing w:val="-5"/>
        </w:rPr>
        <w:t>生产许可证编号：湘食药监械生产许</w:t>
      </w:r>
      <w:r>
        <w:rPr>
          <w:rFonts w:ascii="Times New Roman" w:eastAsia="Times New Roman"/>
          <w:spacing w:val="-3"/>
        </w:rPr>
        <w:t>20150036</w:t>
      </w:r>
      <w:r>
        <w:rPr/>
        <w:t>号</w:t>
      </w:r>
    </w:p>
    <w:p>
      <w:pPr>
        <w:pStyle w:val="Heading1"/>
        <w:spacing w:line="188" w:lineRule="exact"/>
        <w:ind w:left="129"/>
        <w:rPr>
          <w:rFonts w:ascii="Times New Roman" w:eastAsia="Times New Roman"/>
        </w:rPr>
      </w:pPr>
      <w:r>
        <w:rPr/>
        <w:t>【医疗器械注册证书编号</w:t>
      </w:r>
      <w:r>
        <w:rPr>
          <w:rFonts w:ascii="Times New Roman" w:eastAsia="Times New Roman"/>
        </w:rPr>
        <w:t>/</w:t>
      </w:r>
      <w:r>
        <w:rPr/>
        <w:t>产品技术要求编号】国械注准</w:t>
      </w:r>
      <w:r>
        <w:rPr>
          <w:rFonts w:ascii="Times New Roman" w:eastAsia="Times New Roman"/>
        </w:rPr>
        <w:t>20193400886</w:t>
      </w:r>
    </w:p>
    <w:p>
      <w:pPr>
        <w:spacing w:line="216" w:lineRule="exact" w:before="0"/>
        <w:ind w:left="129" w:right="0" w:firstLine="0"/>
        <w:jc w:val="left"/>
        <w:rPr>
          <w:b/>
          <w:sz w:val="18"/>
        </w:rPr>
      </w:pPr>
      <w:r>
        <w:rPr>
          <w:b/>
          <w:sz w:val="18"/>
        </w:rPr>
        <w:t>【说明书核准日期及修改日期】</w:t>
      </w:r>
      <w:r>
        <w:rPr>
          <w:rFonts w:ascii="Times New Roman" w:eastAsia="Times New Roman"/>
          <w:b/>
          <w:sz w:val="18"/>
        </w:rPr>
        <w:t>2019</w:t>
      </w:r>
      <w:r>
        <w:rPr>
          <w:b/>
          <w:sz w:val="18"/>
        </w:rPr>
        <w:t>年</w:t>
      </w:r>
      <w:r>
        <w:rPr>
          <w:rFonts w:ascii="Times New Roman" w:eastAsia="Times New Roman"/>
          <w:b/>
          <w:sz w:val="18"/>
        </w:rPr>
        <w:t>12</w:t>
      </w:r>
      <w:r>
        <w:rPr>
          <w:b/>
          <w:sz w:val="18"/>
        </w:rPr>
        <w:t>月</w:t>
      </w:r>
      <w:r>
        <w:rPr>
          <w:rFonts w:ascii="Times New Roman" w:eastAsia="Times New Roman"/>
          <w:b/>
          <w:sz w:val="18"/>
        </w:rPr>
        <w:t>02</w:t>
      </w:r>
      <w:r>
        <w:rPr>
          <w:b/>
          <w:sz w:val="18"/>
        </w:rPr>
        <w:t>日</w:t>
      </w:r>
    </w:p>
    <w:sectPr>
      <w:pgSz w:w="11910" w:h="16840"/>
      <w:pgMar w:header="462" w:footer="480" w:top="680" w:bottom="660" w:left="780" w:right="6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宋体">
    <w:altName w:val="宋体"/>
    <w:charset w:val="86"/>
    <w:family w:val="auto"/>
    <w:pitch w:val="variable"/>
  </w:font>
  <w:font w:name="Arial">
    <w:altName w:val="Arial"/>
    <w:charset w:val="0"/>
    <w:family w:val="swiss"/>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0"/>
      </w:rPr>
    </w:pPr>
    <w:r>
      <w:rPr/>
      <w:pict>
        <v:shape style="position:absolute;margin-left:543.400024pt;margin-top:806.910034pt;width:8.5pt;height:12pt;mso-position-horizontal-relative:page;mso-position-vertical-relative:page;z-index:-252064768" type="#_x0000_t202" filled="false" stroked="false">
          <v:textbox inset="0,0,0,0">
            <w:txbxContent>
              <w:p>
                <w:pPr>
                  <w:pStyle w:val="BodyText"/>
                  <w:spacing w:line="240" w:lineRule="auto" w:before="12"/>
                  <w:ind w:left="40"/>
                  <w:rPr>
                    <w:rFonts w:ascii="Times New Roman"/>
                  </w:rPr>
                </w:pPr>
                <w:r>
                  <w:rPr/>
                  <w:fldChar w:fldCharType="begin"/>
                </w:r>
                <w:r>
                  <w:rPr>
                    <w:rFonts w:ascii="Times New Roman"/>
                  </w:rPr>
                  <w:instrText> PAGE </w:instrText>
                </w:r>
                <w:r>
                  <w:rPr/>
                  <w:fldChar w:fldCharType="separate"/>
                </w:r>
                <w:r>
                  <w:rPr/>
                  <w:t>1</w:t>
                </w:r>
                <w:r>
                  <w:rPr/>
                  <w:fldChar w:fldCharType="end"/>
                </w:r>
              </w:p>
            </w:txbxContent>
          </v:textbox>
          <w10:wrap type="none"/>
        </v:shape>
      </w:pict>
    </w:r>
    <w:r>
      <w:rPr/>
      <w:pict>
        <v:shape style="position:absolute;margin-left:254.600006pt;margin-top:807.630005pt;width:68.25pt;height:12pt;mso-position-horizontal-relative:page;mso-position-vertical-relative:page;z-index:-252063744" type="#_x0000_t202" filled="false" stroked="false">
          <v:textbox inset="0,0,0,0">
            <w:txbxContent>
              <w:p>
                <w:pPr>
                  <w:pStyle w:val="BodyText"/>
                  <w:spacing w:line="240" w:lineRule="auto"/>
                  <w:ind w:left="20"/>
                </w:pPr>
                <w:r>
                  <w:rPr>
                    <w:rFonts w:ascii="Times New Roman" w:eastAsia="Times New Roman"/>
                  </w:rPr>
                  <w:t>HBV </w:t>
                </w:r>
                <w:r>
                  <w:rPr/>
                  <w:t>产品说明书</w:t>
                </w:r>
              </w:p>
            </w:txbxContent>
          </v:textbox>
          <w10:wrap type="non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0"/>
      </w:rPr>
    </w:pPr>
    <w:r>
      <w:rPr/>
      <w:pict>
        <v:shapetype id="_x0000_t202" o:spt="202" coordsize="21600,21600" path="m,l,21600r21600,l21600,xe">
          <v:stroke joinstyle="miter"/>
          <v:path gradientshapeok="t" o:connecttype="rect"/>
        </v:shapetype>
        <v:shape style="position:absolute;margin-left:440.959015pt;margin-top:23.11565pt;width:110pt;height:11pt;mso-position-horizontal-relative:page;mso-position-vertical-relative:page;z-index:-252065792" type="#_x0000_t202" filled="false" stroked="false">
          <v:textbox inset="0,0,0,0">
            <w:txbxContent>
              <w:p>
                <w:pPr>
                  <w:pStyle w:val="BodyText"/>
                  <w:spacing w:line="220" w:lineRule="exact"/>
                  <w:ind w:left="20"/>
                </w:pPr>
                <w:r>
                  <w:rPr/>
                  <w:t>圣湘生物科技股份有限公司</w:t>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multiLevelType w:val="hybridMultilevel"/>
    <w:lvl w:ilvl="0">
      <w:start w:val="1"/>
      <w:numFmt w:val="decimal"/>
      <w:lvlText w:val="[%1]"/>
      <w:lvlJc w:val="left"/>
      <w:pPr>
        <w:ind w:left="417" w:hanging="288"/>
        <w:jc w:val="left"/>
      </w:pPr>
      <w:rPr>
        <w:rFonts w:hint="default" w:ascii="Times New Roman" w:hAnsi="Times New Roman" w:eastAsia="Times New Roman" w:cs="Times New Roman"/>
        <w:spacing w:val="-11"/>
        <w:w w:val="100"/>
        <w:sz w:val="18"/>
        <w:szCs w:val="18"/>
        <w:lang w:val="zh-CN" w:eastAsia="zh-CN" w:bidi="zh-CN"/>
      </w:rPr>
    </w:lvl>
    <w:lvl w:ilvl="1">
      <w:start w:val="0"/>
      <w:numFmt w:val="bullet"/>
      <w:lvlText w:val="•"/>
      <w:lvlJc w:val="left"/>
      <w:pPr>
        <w:ind w:left="1424" w:hanging="288"/>
      </w:pPr>
      <w:rPr>
        <w:rFonts w:hint="default"/>
        <w:lang w:val="zh-CN" w:eastAsia="zh-CN" w:bidi="zh-CN"/>
      </w:rPr>
    </w:lvl>
    <w:lvl w:ilvl="2">
      <w:start w:val="0"/>
      <w:numFmt w:val="bullet"/>
      <w:lvlText w:val="•"/>
      <w:lvlJc w:val="left"/>
      <w:pPr>
        <w:ind w:left="2429" w:hanging="288"/>
      </w:pPr>
      <w:rPr>
        <w:rFonts w:hint="default"/>
        <w:lang w:val="zh-CN" w:eastAsia="zh-CN" w:bidi="zh-CN"/>
      </w:rPr>
    </w:lvl>
    <w:lvl w:ilvl="3">
      <w:start w:val="0"/>
      <w:numFmt w:val="bullet"/>
      <w:lvlText w:val="•"/>
      <w:lvlJc w:val="left"/>
      <w:pPr>
        <w:ind w:left="3433" w:hanging="288"/>
      </w:pPr>
      <w:rPr>
        <w:rFonts w:hint="default"/>
        <w:lang w:val="zh-CN" w:eastAsia="zh-CN" w:bidi="zh-CN"/>
      </w:rPr>
    </w:lvl>
    <w:lvl w:ilvl="4">
      <w:start w:val="0"/>
      <w:numFmt w:val="bullet"/>
      <w:lvlText w:val="•"/>
      <w:lvlJc w:val="left"/>
      <w:pPr>
        <w:ind w:left="4438" w:hanging="288"/>
      </w:pPr>
      <w:rPr>
        <w:rFonts w:hint="default"/>
        <w:lang w:val="zh-CN" w:eastAsia="zh-CN" w:bidi="zh-CN"/>
      </w:rPr>
    </w:lvl>
    <w:lvl w:ilvl="5">
      <w:start w:val="0"/>
      <w:numFmt w:val="bullet"/>
      <w:lvlText w:val="•"/>
      <w:lvlJc w:val="left"/>
      <w:pPr>
        <w:ind w:left="5443" w:hanging="288"/>
      </w:pPr>
      <w:rPr>
        <w:rFonts w:hint="default"/>
        <w:lang w:val="zh-CN" w:eastAsia="zh-CN" w:bidi="zh-CN"/>
      </w:rPr>
    </w:lvl>
    <w:lvl w:ilvl="6">
      <w:start w:val="0"/>
      <w:numFmt w:val="bullet"/>
      <w:lvlText w:val="•"/>
      <w:lvlJc w:val="left"/>
      <w:pPr>
        <w:ind w:left="6447" w:hanging="288"/>
      </w:pPr>
      <w:rPr>
        <w:rFonts w:hint="default"/>
        <w:lang w:val="zh-CN" w:eastAsia="zh-CN" w:bidi="zh-CN"/>
      </w:rPr>
    </w:lvl>
    <w:lvl w:ilvl="7">
      <w:start w:val="0"/>
      <w:numFmt w:val="bullet"/>
      <w:lvlText w:val="•"/>
      <w:lvlJc w:val="left"/>
      <w:pPr>
        <w:ind w:left="7452" w:hanging="288"/>
      </w:pPr>
      <w:rPr>
        <w:rFonts w:hint="default"/>
        <w:lang w:val="zh-CN" w:eastAsia="zh-CN" w:bidi="zh-CN"/>
      </w:rPr>
    </w:lvl>
    <w:lvl w:ilvl="8">
      <w:start w:val="0"/>
      <w:numFmt w:val="bullet"/>
      <w:lvlText w:val="•"/>
      <w:lvlJc w:val="left"/>
      <w:pPr>
        <w:ind w:left="8456" w:hanging="288"/>
      </w:pPr>
      <w:rPr>
        <w:rFonts w:hint="default"/>
        <w:lang w:val="zh-CN" w:eastAsia="zh-CN" w:bidi="zh-CN"/>
      </w:rPr>
    </w:lvl>
  </w:abstractNum>
  <w:abstractNum w:abstractNumId="5">
    <w:multiLevelType w:val="hybridMultilevel"/>
    <w:lvl w:ilvl="0">
      <w:start w:val="1"/>
      <w:numFmt w:val="decimal"/>
      <w:lvlText w:val="%1."/>
      <w:lvlJc w:val="left"/>
      <w:pPr>
        <w:ind w:left="261" w:hanging="135"/>
        <w:jc w:val="left"/>
      </w:pPr>
      <w:rPr>
        <w:rFonts w:hint="default" w:ascii="Times New Roman" w:hAnsi="Times New Roman" w:eastAsia="Times New Roman" w:cs="Times New Roman"/>
        <w:spacing w:val="-5"/>
        <w:w w:val="100"/>
        <w:sz w:val="16"/>
        <w:szCs w:val="16"/>
        <w:lang w:val="zh-CN" w:eastAsia="zh-CN" w:bidi="zh-CN"/>
      </w:rPr>
    </w:lvl>
    <w:lvl w:ilvl="1">
      <w:start w:val="0"/>
      <w:numFmt w:val="bullet"/>
      <w:lvlText w:val="•"/>
      <w:lvlJc w:val="left"/>
      <w:pPr>
        <w:ind w:left="1280" w:hanging="135"/>
      </w:pPr>
      <w:rPr>
        <w:rFonts w:hint="default"/>
        <w:lang w:val="zh-CN" w:eastAsia="zh-CN" w:bidi="zh-CN"/>
      </w:rPr>
    </w:lvl>
    <w:lvl w:ilvl="2">
      <w:start w:val="0"/>
      <w:numFmt w:val="bullet"/>
      <w:lvlText w:val="•"/>
      <w:lvlJc w:val="left"/>
      <w:pPr>
        <w:ind w:left="2301" w:hanging="135"/>
      </w:pPr>
      <w:rPr>
        <w:rFonts w:hint="default"/>
        <w:lang w:val="zh-CN" w:eastAsia="zh-CN" w:bidi="zh-CN"/>
      </w:rPr>
    </w:lvl>
    <w:lvl w:ilvl="3">
      <w:start w:val="0"/>
      <w:numFmt w:val="bullet"/>
      <w:lvlText w:val="•"/>
      <w:lvlJc w:val="left"/>
      <w:pPr>
        <w:ind w:left="3321" w:hanging="135"/>
      </w:pPr>
      <w:rPr>
        <w:rFonts w:hint="default"/>
        <w:lang w:val="zh-CN" w:eastAsia="zh-CN" w:bidi="zh-CN"/>
      </w:rPr>
    </w:lvl>
    <w:lvl w:ilvl="4">
      <w:start w:val="0"/>
      <w:numFmt w:val="bullet"/>
      <w:lvlText w:val="•"/>
      <w:lvlJc w:val="left"/>
      <w:pPr>
        <w:ind w:left="4342" w:hanging="135"/>
      </w:pPr>
      <w:rPr>
        <w:rFonts w:hint="default"/>
        <w:lang w:val="zh-CN" w:eastAsia="zh-CN" w:bidi="zh-CN"/>
      </w:rPr>
    </w:lvl>
    <w:lvl w:ilvl="5">
      <w:start w:val="0"/>
      <w:numFmt w:val="bullet"/>
      <w:lvlText w:val="•"/>
      <w:lvlJc w:val="left"/>
      <w:pPr>
        <w:ind w:left="5363" w:hanging="135"/>
      </w:pPr>
      <w:rPr>
        <w:rFonts w:hint="default"/>
        <w:lang w:val="zh-CN" w:eastAsia="zh-CN" w:bidi="zh-CN"/>
      </w:rPr>
    </w:lvl>
    <w:lvl w:ilvl="6">
      <w:start w:val="0"/>
      <w:numFmt w:val="bullet"/>
      <w:lvlText w:val="•"/>
      <w:lvlJc w:val="left"/>
      <w:pPr>
        <w:ind w:left="6383" w:hanging="135"/>
      </w:pPr>
      <w:rPr>
        <w:rFonts w:hint="default"/>
        <w:lang w:val="zh-CN" w:eastAsia="zh-CN" w:bidi="zh-CN"/>
      </w:rPr>
    </w:lvl>
    <w:lvl w:ilvl="7">
      <w:start w:val="0"/>
      <w:numFmt w:val="bullet"/>
      <w:lvlText w:val="•"/>
      <w:lvlJc w:val="left"/>
      <w:pPr>
        <w:ind w:left="7404" w:hanging="135"/>
      </w:pPr>
      <w:rPr>
        <w:rFonts w:hint="default"/>
        <w:lang w:val="zh-CN" w:eastAsia="zh-CN" w:bidi="zh-CN"/>
      </w:rPr>
    </w:lvl>
    <w:lvl w:ilvl="8">
      <w:start w:val="0"/>
      <w:numFmt w:val="bullet"/>
      <w:lvlText w:val="•"/>
      <w:lvlJc w:val="left"/>
      <w:pPr>
        <w:ind w:left="8424" w:hanging="135"/>
      </w:pPr>
      <w:rPr>
        <w:rFonts w:hint="default"/>
        <w:lang w:val="zh-CN" w:eastAsia="zh-CN" w:bidi="zh-CN"/>
      </w:rPr>
    </w:lvl>
  </w:abstractNum>
  <w:abstractNum w:abstractNumId="4">
    <w:multiLevelType w:val="hybridMultilevel"/>
    <w:lvl w:ilvl="0">
      <w:start w:val="1"/>
      <w:numFmt w:val="decimal"/>
      <w:lvlText w:val="%1."/>
      <w:lvlJc w:val="left"/>
      <w:pPr>
        <w:ind w:left="261" w:hanging="135"/>
        <w:jc w:val="left"/>
      </w:pPr>
      <w:rPr>
        <w:rFonts w:hint="default" w:ascii="Times New Roman" w:hAnsi="Times New Roman" w:eastAsia="Times New Roman" w:cs="Times New Roman"/>
        <w:spacing w:val="-5"/>
        <w:w w:val="100"/>
        <w:sz w:val="16"/>
        <w:szCs w:val="16"/>
        <w:lang w:val="zh-CN" w:eastAsia="zh-CN" w:bidi="zh-CN"/>
      </w:rPr>
    </w:lvl>
    <w:lvl w:ilvl="1">
      <w:start w:val="0"/>
      <w:numFmt w:val="bullet"/>
      <w:lvlText w:val="•"/>
      <w:lvlJc w:val="left"/>
      <w:pPr>
        <w:ind w:left="1280" w:hanging="135"/>
      </w:pPr>
      <w:rPr>
        <w:rFonts w:hint="default"/>
        <w:lang w:val="zh-CN" w:eastAsia="zh-CN" w:bidi="zh-CN"/>
      </w:rPr>
    </w:lvl>
    <w:lvl w:ilvl="2">
      <w:start w:val="0"/>
      <w:numFmt w:val="bullet"/>
      <w:lvlText w:val="•"/>
      <w:lvlJc w:val="left"/>
      <w:pPr>
        <w:ind w:left="2301" w:hanging="135"/>
      </w:pPr>
      <w:rPr>
        <w:rFonts w:hint="default"/>
        <w:lang w:val="zh-CN" w:eastAsia="zh-CN" w:bidi="zh-CN"/>
      </w:rPr>
    </w:lvl>
    <w:lvl w:ilvl="3">
      <w:start w:val="0"/>
      <w:numFmt w:val="bullet"/>
      <w:lvlText w:val="•"/>
      <w:lvlJc w:val="left"/>
      <w:pPr>
        <w:ind w:left="3321" w:hanging="135"/>
      </w:pPr>
      <w:rPr>
        <w:rFonts w:hint="default"/>
        <w:lang w:val="zh-CN" w:eastAsia="zh-CN" w:bidi="zh-CN"/>
      </w:rPr>
    </w:lvl>
    <w:lvl w:ilvl="4">
      <w:start w:val="0"/>
      <w:numFmt w:val="bullet"/>
      <w:lvlText w:val="•"/>
      <w:lvlJc w:val="left"/>
      <w:pPr>
        <w:ind w:left="4342" w:hanging="135"/>
      </w:pPr>
      <w:rPr>
        <w:rFonts w:hint="default"/>
        <w:lang w:val="zh-CN" w:eastAsia="zh-CN" w:bidi="zh-CN"/>
      </w:rPr>
    </w:lvl>
    <w:lvl w:ilvl="5">
      <w:start w:val="0"/>
      <w:numFmt w:val="bullet"/>
      <w:lvlText w:val="•"/>
      <w:lvlJc w:val="left"/>
      <w:pPr>
        <w:ind w:left="5363" w:hanging="135"/>
      </w:pPr>
      <w:rPr>
        <w:rFonts w:hint="default"/>
        <w:lang w:val="zh-CN" w:eastAsia="zh-CN" w:bidi="zh-CN"/>
      </w:rPr>
    </w:lvl>
    <w:lvl w:ilvl="6">
      <w:start w:val="0"/>
      <w:numFmt w:val="bullet"/>
      <w:lvlText w:val="•"/>
      <w:lvlJc w:val="left"/>
      <w:pPr>
        <w:ind w:left="6383" w:hanging="135"/>
      </w:pPr>
      <w:rPr>
        <w:rFonts w:hint="default"/>
        <w:lang w:val="zh-CN" w:eastAsia="zh-CN" w:bidi="zh-CN"/>
      </w:rPr>
    </w:lvl>
    <w:lvl w:ilvl="7">
      <w:start w:val="0"/>
      <w:numFmt w:val="bullet"/>
      <w:lvlText w:val="•"/>
      <w:lvlJc w:val="left"/>
      <w:pPr>
        <w:ind w:left="7404" w:hanging="135"/>
      </w:pPr>
      <w:rPr>
        <w:rFonts w:hint="default"/>
        <w:lang w:val="zh-CN" w:eastAsia="zh-CN" w:bidi="zh-CN"/>
      </w:rPr>
    </w:lvl>
    <w:lvl w:ilvl="8">
      <w:start w:val="0"/>
      <w:numFmt w:val="bullet"/>
      <w:lvlText w:val="•"/>
      <w:lvlJc w:val="left"/>
      <w:pPr>
        <w:ind w:left="8424" w:hanging="135"/>
      </w:pPr>
      <w:rPr>
        <w:rFonts w:hint="default"/>
        <w:lang w:val="zh-CN" w:eastAsia="zh-CN" w:bidi="zh-CN"/>
      </w:rPr>
    </w:lvl>
  </w:abstractNum>
  <w:abstractNum w:abstractNumId="3">
    <w:multiLevelType w:val="hybridMultilevel"/>
    <w:lvl w:ilvl="0">
      <w:start w:val="1"/>
      <w:numFmt w:val="decimal"/>
      <w:lvlText w:val="%1."/>
      <w:lvlJc w:val="left"/>
      <w:pPr>
        <w:ind w:left="345" w:hanging="216"/>
        <w:jc w:val="left"/>
      </w:pPr>
      <w:rPr>
        <w:rFonts w:hint="default" w:ascii="Times New Roman" w:hAnsi="Times New Roman" w:eastAsia="Times New Roman" w:cs="Times New Roman"/>
        <w:spacing w:val="-50"/>
        <w:w w:val="100"/>
        <w:sz w:val="18"/>
        <w:szCs w:val="18"/>
        <w:lang w:val="zh-CN" w:eastAsia="zh-CN" w:bidi="zh-CN"/>
      </w:rPr>
    </w:lvl>
    <w:lvl w:ilvl="1">
      <w:start w:val="0"/>
      <w:numFmt w:val="bullet"/>
      <w:lvlText w:val="•"/>
      <w:lvlJc w:val="left"/>
      <w:pPr>
        <w:ind w:left="1352" w:hanging="216"/>
      </w:pPr>
      <w:rPr>
        <w:rFonts w:hint="default"/>
        <w:lang w:val="zh-CN" w:eastAsia="zh-CN" w:bidi="zh-CN"/>
      </w:rPr>
    </w:lvl>
    <w:lvl w:ilvl="2">
      <w:start w:val="0"/>
      <w:numFmt w:val="bullet"/>
      <w:lvlText w:val="•"/>
      <w:lvlJc w:val="left"/>
      <w:pPr>
        <w:ind w:left="2365" w:hanging="216"/>
      </w:pPr>
      <w:rPr>
        <w:rFonts w:hint="default"/>
        <w:lang w:val="zh-CN" w:eastAsia="zh-CN" w:bidi="zh-CN"/>
      </w:rPr>
    </w:lvl>
    <w:lvl w:ilvl="3">
      <w:start w:val="0"/>
      <w:numFmt w:val="bullet"/>
      <w:lvlText w:val="•"/>
      <w:lvlJc w:val="left"/>
      <w:pPr>
        <w:ind w:left="3377" w:hanging="216"/>
      </w:pPr>
      <w:rPr>
        <w:rFonts w:hint="default"/>
        <w:lang w:val="zh-CN" w:eastAsia="zh-CN" w:bidi="zh-CN"/>
      </w:rPr>
    </w:lvl>
    <w:lvl w:ilvl="4">
      <w:start w:val="0"/>
      <w:numFmt w:val="bullet"/>
      <w:lvlText w:val="•"/>
      <w:lvlJc w:val="left"/>
      <w:pPr>
        <w:ind w:left="4390" w:hanging="216"/>
      </w:pPr>
      <w:rPr>
        <w:rFonts w:hint="default"/>
        <w:lang w:val="zh-CN" w:eastAsia="zh-CN" w:bidi="zh-CN"/>
      </w:rPr>
    </w:lvl>
    <w:lvl w:ilvl="5">
      <w:start w:val="0"/>
      <w:numFmt w:val="bullet"/>
      <w:lvlText w:val="•"/>
      <w:lvlJc w:val="left"/>
      <w:pPr>
        <w:ind w:left="5403" w:hanging="216"/>
      </w:pPr>
      <w:rPr>
        <w:rFonts w:hint="default"/>
        <w:lang w:val="zh-CN" w:eastAsia="zh-CN" w:bidi="zh-CN"/>
      </w:rPr>
    </w:lvl>
    <w:lvl w:ilvl="6">
      <w:start w:val="0"/>
      <w:numFmt w:val="bullet"/>
      <w:lvlText w:val="•"/>
      <w:lvlJc w:val="left"/>
      <w:pPr>
        <w:ind w:left="6415" w:hanging="216"/>
      </w:pPr>
      <w:rPr>
        <w:rFonts w:hint="default"/>
        <w:lang w:val="zh-CN" w:eastAsia="zh-CN" w:bidi="zh-CN"/>
      </w:rPr>
    </w:lvl>
    <w:lvl w:ilvl="7">
      <w:start w:val="0"/>
      <w:numFmt w:val="bullet"/>
      <w:lvlText w:val="•"/>
      <w:lvlJc w:val="left"/>
      <w:pPr>
        <w:ind w:left="7428" w:hanging="216"/>
      </w:pPr>
      <w:rPr>
        <w:rFonts w:hint="default"/>
        <w:lang w:val="zh-CN" w:eastAsia="zh-CN" w:bidi="zh-CN"/>
      </w:rPr>
    </w:lvl>
    <w:lvl w:ilvl="8">
      <w:start w:val="0"/>
      <w:numFmt w:val="bullet"/>
      <w:lvlText w:val="•"/>
      <w:lvlJc w:val="left"/>
      <w:pPr>
        <w:ind w:left="8440" w:hanging="216"/>
      </w:pPr>
      <w:rPr>
        <w:rFonts w:hint="default"/>
        <w:lang w:val="zh-CN" w:eastAsia="zh-CN" w:bidi="zh-CN"/>
      </w:rPr>
    </w:lvl>
  </w:abstractNum>
  <w:abstractNum w:abstractNumId="2">
    <w:multiLevelType w:val="hybridMultilevel"/>
    <w:lvl w:ilvl="0">
      <w:start w:val="1"/>
      <w:numFmt w:val="decimal"/>
      <w:lvlText w:val="%1."/>
      <w:lvlJc w:val="left"/>
      <w:pPr>
        <w:ind w:left="343" w:hanging="216"/>
        <w:jc w:val="left"/>
      </w:pPr>
      <w:rPr>
        <w:rFonts w:hint="default" w:ascii="Times New Roman" w:hAnsi="Times New Roman" w:eastAsia="Times New Roman" w:cs="Times New Roman"/>
        <w:b/>
        <w:bCs/>
        <w:spacing w:val="-8"/>
        <w:w w:val="99"/>
        <w:sz w:val="18"/>
        <w:szCs w:val="18"/>
        <w:lang w:val="zh-CN" w:eastAsia="zh-CN" w:bidi="zh-CN"/>
      </w:rPr>
    </w:lvl>
    <w:lvl w:ilvl="1">
      <w:start w:val="1"/>
      <w:numFmt w:val="decimal"/>
      <w:lvlText w:val="%1.%2"/>
      <w:lvlJc w:val="left"/>
      <w:pPr>
        <w:ind w:left="432" w:hanging="305"/>
        <w:jc w:val="left"/>
      </w:pPr>
      <w:rPr>
        <w:rFonts w:hint="default" w:ascii="Times New Roman" w:hAnsi="Times New Roman" w:eastAsia="Times New Roman" w:cs="Times New Roman"/>
        <w:spacing w:val="-8"/>
        <w:w w:val="100"/>
        <w:sz w:val="18"/>
        <w:szCs w:val="18"/>
        <w:lang w:val="zh-CN" w:eastAsia="zh-CN" w:bidi="zh-CN"/>
      </w:rPr>
    </w:lvl>
    <w:lvl w:ilvl="2">
      <w:start w:val="1"/>
      <w:numFmt w:val="decimal"/>
      <w:lvlText w:val="%1.%2.%3"/>
      <w:lvlJc w:val="left"/>
      <w:pPr>
        <w:ind w:left="520" w:hanging="394"/>
        <w:jc w:val="left"/>
      </w:pPr>
      <w:rPr>
        <w:rFonts w:hint="default" w:ascii="Times New Roman" w:hAnsi="Times New Roman" w:eastAsia="Times New Roman" w:cs="Times New Roman"/>
        <w:spacing w:val="-2"/>
        <w:w w:val="100"/>
        <w:sz w:val="18"/>
        <w:szCs w:val="18"/>
        <w:lang w:val="zh-CN" w:eastAsia="zh-CN" w:bidi="zh-CN"/>
      </w:rPr>
    </w:lvl>
    <w:lvl w:ilvl="3">
      <w:start w:val="0"/>
      <w:numFmt w:val="bullet"/>
      <w:lvlText w:val="•"/>
      <w:lvlJc w:val="left"/>
      <w:pPr>
        <w:ind w:left="440" w:hanging="394"/>
      </w:pPr>
      <w:rPr>
        <w:rFonts w:hint="default"/>
        <w:lang w:val="zh-CN" w:eastAsia="zh-CN" w:bidi="zh-CN"/>
      </w:rPr>
    </w:lvl>
    <w:lvl w:ilvl="4">
      <w:start w:val="0"/>
      <w:numFmt w:val="bullet"/>
      <w:lvlText w:val="•"/>
      <w:lvlJc w:val="left"/>
      <w:pPr>
        <w:ind w:left="520" w:hanging="394"/>
      </w:pPr>
      <w:rPr>
        <w:rFonts w:hint="default"/>
        <w:lang w:val="zh-CN" w:eastAsia="zh-CN" w:bidi="zh-CN"/>
      </w:rPr>
    </w:lvl>
    <w:lvl w:ilvl="5">
      <w:start w:val="0"/>
      <w:numFmt w:val="bullet"/>
      <w:lvlText w:val="•"/>
      <w:lvlJc w:val="left"/>
      <w:pPr>
        <w:ind w:left="2177" w:hanging="394"/>
      </w:pPr>
      <w:rPr>
        <w:rFonts w:hint="default"/>
        <w:lang w:val="zh-CN" w:eastAsia="zh-CN" w:bidi="zh-CN"/>
      </w:rPr>
    </w:lvl>
    <w:lvl w:ilvl="6">
      <w:start w:val="0"/>
      <w:numFmt w:val="bullet"/>
      <w:lvlText w:val="•"/>
      <w:lvlJc w:val="left"/>
      <w:pPr>
        <w:ind w:left="3835" w:hanging="394"/>
      </w:pPr>
      <w:rPr>
        <w:rFonts w:hint="default"/>
        <w:lang w:val="zh-CN" w:eastAsia="zh-CN" w:bidi="zh-CN"/>
      </w:rPr>
    </w:lvl>
    <w:lvl w:ilvl="7">
      <w:start w:val="0"/>
      <w:numFmt w:val="bullet"/>
      <w:lvlText w:val="•"/>
      <w:lvlJc w:val="left"/>
      <w:pPr>
        <w:ind w:left="5493" w:hanging="394"/>
      </w:pPr>
      <w:rPr>
        <w:rFonts w:hint="default"/>
        <w:lang w:val="zh-CN" w:eastAsia="zh-CN" w:bidi="zh-CN"/>
      </w:rPr>
    </w:lvl>
    <w:lvl w:ilvl="8">
      <w:start w:val="0"/>
      <w:numFmt w:val="bullet"/>
      <w:lvlText w:val="•"/>
      <w:lvlJc w:val="left"/>
      <w:pPr>
        <w:ind w:left="7150" w:hanging="394"/>
      </w:pPr>
      <w:rPr>
        <w:rFonts w:hint="default"/>
        <w:lang w:val="zh-CN" w:eastAsia="zh-CN" w:bidi="zh-CN"/>
      </w:rPr>
    </w:lvl>
  </w:abstractNum>
  <w:abstractNum w:abstractNumId="1">
    <w:multiLevelType w:val="hybridMultilevel"/>
    <w:lvl w:ilvl="0">
      <w:start w:val="1"/>
      <w:numFmt w:val="decimal"/>
      <w:lvlText w:val="%1"/>
      <w:lvlJc w:val="left"/>
      <w:pPr>
        <w:ind w:left="300" w:hanging="173"/>
        <w:jc w:val="left"/>
      </w:pPr>
      <w:rPr>
        <w:rFonts w:hint="default" w:ascii="Times New Roman" w:hAnsi="Times New Roman" w:eastAsia="Times New Roman" w:cs="Times New Roman"/>
        <w:spacing w:val="-8"/>
        <w:w w:val="100"/>
        <w:sz w:val="18"/>
        <w:szCs w:val="18"/>
        <w:lang w:val="zh-CN" w:eastAsia="zh-CN" w:bidi="zh-CN"/>
      </w:rPr>
    </w:lvl>
    <w:lvl w:ilvl="1">
      <w:start w:val="1"/>
      <w:numFmt w:val="decimal"/>
      <w:lvlText w:val="%1.%2"/>
      <w:lvlJc w:val="left"/>
      <w:pPr>
        <w:ind w:left="388" w:hanging="262"/>
        <w:jc w:val="left"/>
      </w:pPr>
      <w:rPr>
        <w:rFonts w:hint="default" w:ascii="Times New Roman" w:hAnsi="Times New Roman" w:eastAsia="Times New Roman" w:cs="Times New Roman"/>
        <w:spacing w:val="-2"/>
        <w:w w:val="100"/>
        <w:sz w:val="18"/>
        <w:szCs w:val="18"/>
        <w:lang w:val="zh-CN" w:eastAsia="zh-CN" w:bidi="zh-CN"/>
      </w:rPr>
    </w:lvl>
    <w:lvl w:ilvl="2">
      <w:start w:val="0"/>
      <w:numFmt w:val="bullet"/>
      <w:lvlText w:val="•"/>
      <w:lvlJc w:val="left"/>
      <w:pPr>
        <w:ind w:left="1500" w:hanging="262"/>
      </w:pPr>
      <w:rPr>
        <w:rFonts w:hint="default"/>
        <w:lang w:val="zh-CN" w:eastAsia="zh-CN" w:bidi="zh-CN"/>
      </w:rPr>
    </w:lvl>
    <w:lvl w:ilvl="3">
      <w:start w:val="0"/>
      <w:numFmt w:val="bullet"/>
      <w:lvlText w:val="•"/>
      <w:lvlJc w:val="left"/>
      <w:pPr>
        <w:ind w:left="2621" w:hanging="262"/>
      </w:pPr>
      <w:rPr>
        <w:rFonts w:hint="default"/>
        <w:lang w:val="zh-CN" w:eastAsia="zh-CN" w:bidi="zh-CN"/>
      </w:rPr>
    </w:lvl>
    <w:lvl w:ilvl="4">
      <w:start w:val="0"/>
      <w:numFmt w:val="bullet"/>
      <w:lvlText w:val="•"/>
      <w:lvlJc w:val="left"/>
      <w:pPr>
        <w:ind w:left="3742" w:hanging="262"/>
      </w:pPr>
      <w:rPr>
        <w:rFonts w:hint="default"/>
        <w:lang w:val="zh-CN" w:eastAsia="zh-CN" w:bidi="zh-CN"/>
      </w:rPr>
    </w:lvl>
    <w:lvl w:ilvl="5">
      <w:start w:val="0"/>
      <w:numFmt w:val="bullet"/>
      <w:lvlText w:val="•"/>
      <w:lvlJc w:val="left"/>
      <w:pPr>
        <w:ind w:left="4862" w:hanging="262"/>
      </w:pPr>
      <w:rPr>
        <w:rFonts w:hint="default"/>
        <w:lang w:val="zh-CN" w:eastAsia="zh-CN" w:bidi="zh-CN"/>
      </w:rPr>
    </w:lvl>
    <w:lvl w:ilvl="6">
      <w:start w:val="0"/>
      <w:numFmt w:val="bullet"/>
      <w:lvlText w:val="•"/>
      <w:lvlJc w:val="left"/>
      <w:pPr>
        <w:ind w:left="5983" w:hanging="262"/>
      </w:pPr>
      <w:rPr>
        <w:rFonts w:hint="default"/>
        <w:lang w:val="zh-CN" w:eastAsia="zh-CN" w:bidi="zh-CN"/>
      </w:rPr>
    </w:lvl>
    <w:lvl w:ilvl="7">
      <w:start w:val="0"/>
      <w:numFmt w:val="bullet"/>
      <w:lvlText w:val="•"/>
      <w:lvlJc w:val="left"/>
      <w:pPr>
        <w:ind w:left="7104" w:hanging="262"/>
      </w:pPr>
      <w:rPr>
        <w:rFonts w:hint="default"/>
        <w:lang w:val="zh-CN" w:eastAsia="zh-CN" w:bidi="zh-CN"/>
      </w:rPr>
    </w:lvl>
    <w:lvl w:ilvl="8">
      <w:start w:val="0"/>
      <w:numFmt w:val="bullet"/>
      <w:lvlText w:val="•"/>
      <w:lvlJc w:val="left"/>
      <w:pPr>
        <w:ind w:left="8224" w:hanging="262"/>
      </w:pPr>
      <w:rPr>
        <w:rFonts w:hint="default"/>
        <w:lang w:val="zh-CN" w:eastAsia="zh-CN" w:bidi="zh-CN"/>
      </w:rPr>
    </w:lvl>
  </w:abstractNum>
  <w:abstractNum w:abstractNumId="0">
    <w:multiLevelType w:val="hybridMultilevel"/>
    <w:lvl w:ilvl="0">
      <w:start w:val="2"/>
      <w:numFmt w:val="decimal"/>
      <w:lvlText w:val="%1）"/>
      <w:lvlJc w:val="left"/>
      <w:pPr>
        <w:ind w:left="1275" w:hanging="268"/>
        <w:jc w:val="left"/>
      </w:pPr>
      <w:rPr>
        <w:rFonts w:hint="default" w:ascii="Times New Roman" w:hAnsi="Times New Roman" w:eastAsia="Times New Roman" w:cs="Times New Roman"/>
        <w:b/>
        <w:bCs/>
        <w:spacing w:val="-4"/>
        <w:w w:val="99"/>
        <w:sz w:val="16"/>
        <w:szCs w:val="16"/>
        <w:lang w:val="zh-CN" w:eastAsia="zh-CN" w:bidi="zh-CN"/>
      </w:rPr>
    </w:lvl>
    <w:lvl w:ilvl="1">
      <w:start w:val="0"/>
      <w:numFmt w:val="bullet"/>
      <w:lvlText w:val="•"/>
      <w:lvlJc w:val="left"/>
      <w:pPr>
        <w:ind w:left="2198" w:hanging="268"/>
      </w:pPr>
      <w:rPr>
        <w:rFonts w:hint="default"/>
        <w:lang w:val="zh-CN" w:eastAsia="zh-CN" w:bidi="zh-CN"/>
      </w:rPr>
    </w:lvl>
    <w:lvl w:ilvl="2">
      <w:start w:val="0"/>
      <w:numFmt w:val="bullet"/>
      <w:lvlText w:val="•"/>
      <w:lvlJc w:val="left"/>
      <w:pPr>
        <w:ind w:left="3117" w:hanging="268"/>
      </w:pPr>
      <w:rPr>
        <w:rFonts w:hint="default"/>
        <w:lang w:val="zh-CN" w:eastAsia="zh-CN" w:bidi="zh-CN"/>
      </w:rPr>
    </w:lvl>
    <w:lvl w:ilvl="3">
      <w:start w:val="0"/>
      <w:numFmt w:val="bullet"/>
      <w:lvlText w:val="•"/>
      <w:lvlJc w:val="left"/>
      <w:pPr>
        <w:ind w:left="4035" w:hanging="268"/>
      </w:pPr>
      <w:rPr>
        <w:rFonts w:hint="default"/>
        <w:lang w:val="zh-CN" w:eastAsia="zh-CN" w:bidi="zh-CN"/>
      </w:rPr>
    </w:lvl>
    <w:lvl w:ilvl="4">
      <w:start w:val="0"/>
      <w:numFmt w:val="bullet"/>
      <w:lvlText w:val="•"/>
      <w:lvlJc w:val="left"/>
      <w:pPr>
        <w:ind w:left="4954" w:hanging="268"/>
      </w:pPr>
      <w:rPr>
        <w:rFonts w:hint="default"/>
        <w:lang w:val="zh-CN" w:eastAsia="zh-CN" w:bidi="zh-CN"/>
      </w:rPr>
    </w:lvl>
    <w:lvl w:ilvl="5">
      <w:start w:val="0"/>
      <w:numFmt w:val="bullet"/>
      <w:lvlText w:val="•"/>
      <w:lvlJc w:val="left"/>
      <w:pPr>
        <w:ind w:left="5873" w:hanging="268"/>
      </w:pPr>
      <w:rPr>
        <w:rFonts w:hint="default"/>
        <w:lang w:val="zh-CN" w:eastAsia="zh-CN" w:bidi="zh-CN"/>
      </w:rPr>
    </w:lvl>
    <w:lvl w:ilvl="6">
      <w:start w:val="0"/>
      <w:numFmt w:val="bullet"/>
      <w:lvlText w:val="•"/>
      <w:lvlJc w:val="left"/>
      <w:pPr>
        <w:ind w:left="6791" w:hanging="268"/>
      </w:pPr>
      <w:rPr>
        <w:rFonts w:hint="default"/>
        <w:lang w:val="zh-CN" w:eastAsia="zh-CN" w:bidi="zh-CN"/>
      </w:rPr>
    </w:lvl>
    <w:lvl w:ilvl="7">
      <w:start w:val="0"/>
      <w:numFmt w:val="bullet"/>
      <w:lvlText w:val="•"/>
      <w:lvlJc w:val="left"/>
      <w:pPr>
        <w:ind w:left="7710" w:hanging="268"/>
      </w:pPr>
      <w:rPr>
        <w:rFonts w:hint="default"/>
        <w:lang w:val="zh-CN" w:eastAsia="zh-CN" w:bidi="zh-CN"/>
      </w:rPr>
    </w:lvl>
    <w:lvl w:ilvl="8">
      <w:start w:val="0"/>
      <w:numFmt w:val="bullet"/>
      <w:lvlText w:val="•"/>
      <w:lvlJc w:val="left"/>
      <w:pPr>
        <w:ind w:left="8628" w:hanging="268"/>
      </w:pPr>
      <w:rPr>
        <w:rFonts w:hint="default"/>
        <w:lang w:val="zh-CN" w:eastAsia="zh-CN" w:bidi="zh-CN"/>
      </w:rPr>
    </w:lvl>
  </w:abstract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宋体" w:hAnsi="宋体" w:eastAsia="宋体" w:cs="宋体"/>
      <w:lang w:val="zh-CN" w:eastAsia="zh-CN" w:bidi="zh-CN"/>
    </w:rPr>
  </w:style>
  <w:style w:styleId="BodyText" w:type="paragraph">
    <w:name w:val="Body Text"/>
    <w:basedOn w:val="Normal"/>
    <w:uiPriority w:val="1"/>
    <w:qFormat/>
    <w:pPr>
      <w:spacing w:line="200" w:lineRule="exact"/>
      <w:ind w:left="127"/>
    </w:pPr>
    <w:rPr>
      <w:rFonts w:ascii="宋体" w:hAnsi="宋体" w:eastAsia="宋体" w:cs="宋体"/>
      <w:sz w:val="18"/>
      <w:szCs w:val="18"/>
      <w:lang w:val="zh-CN" w:eastAsia="zh-CN" w:bidi="zh-CN"/>
    </w:rPr>
  </w:style>
  <w:style w:styleId="Heading1" w:type="paragraph">
    <w:name w:val="Heading 1"/>
    <w:basedOn w:val="Normal"/>
    <w:uiPriority w:val="1"/>
    <w:qFormat/>
    <w:pPr>
      <w:spacing w:line="200" w:lineRule="exact"/>
      <w:ind w:left="127"/>
      <w:outlineLvl w:val="1"/>
    </w:pPr>
    <w:rPr>
      <w:rFonts w:ascii="宋体" w:hAnsi="宋体" w:eastAsia="宋体" w:cs="宋体"/>
      <w:b/>
      <w:bCs/>
      <w:sz w:val="18"/>
      <w:szCs w:val="18"/>
      <w:lang w:val="zh-CN" w:eastAsia="zh-CN" w:bidi="zh-CN"/>
    </w:rPr>
  </w:style>
  <w:style w:styleId="ListParagraph" w:type="paragraph">
    <w:name w:val="List Paragraph"/>
    <w:basedOn w:val="Normal"/>
    <w:uiPriority w:val="1"/>
    <w:qFormat/>
    <w:pPr>
      <w:spacing w:line="200" w:lineRule="exact"/>
      <w:ind w:left="432" w:hanging="135"/>
    </w:pPr>
    <w:rPr>
      <w:rFonts w:ascii="宋体" w:hAnsi="宋体" w:eastAsia="宋体" w:cs="宋体"/>
      <w:lang w:val="zh-CN" w:eastAsia="zh-CN" w:bidi="zh-CN"/>
    </w:rPr>
  </w:style>
  <w:style w:styleId="TableParagraph" w:type="paragraph">
    <w:name w:val="Table Paragraph"/>
    <w:basedOn w:val="Normal"/>
    <w:uiPriority w:val="1"/>
    <w:qFormat/>
    <w:pPr>
      <w:spacing w:line="180" w:lineRule="exact"/>
      <w:ind w:left="13"/>
      <w:jc w:val="center"/>
    </w:pPr>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雨林木风</dc:creator>
  <dc:title>乙型肝炎病毒核酸定量检测试剂盒（PCR-荧光探针法）说明书</dc:title>
  <dcterms:created xsi:type="dcterms:W3CDTF">2021-04-21T13:46:22Z</dcterms:created>
  <dcterms:modified xsi:type="dcterms:W3CDTF">2021-04-21T13:46:22Z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2019-12-13T00:00:00Z</vt:filetime>
  </property>
  <property fmtid="{D5CDD505-2E9C-101B-9397-08002B2CF9AE}" pid="3" name="Creator">
    <vt:lpwstr>WPS 文字</vt:lpwstr>
  </property>
  <property fmtid="{D5CDD505-2E9C-101B-9397-08002B2CF9AE}" pid="4" name="LastSaved">
    <vt:filetime>2021-04-21T00:00:00Z</vt:filetime>
  </property>
</Properties>
</file>